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57"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 the quarterly period ended March 31, 2021</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49"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83" w:lineRule="exact"/>
        <w:rPr>
          <w:sz w:val="24"/>
          <w:szCs w:val="24"/>
          <w:color w:val="auto"/>
        </w:rPr>
      </w:pPr>
    </w:p>
    <w:p>
      <w:pPr>
        <w:ind w:left="660"/>
        <w:spacing w:after="0"/>
        <w:tabs>
          <w:tab w:leader="none" w:pos="3660" w:val="left"/>
          <w:tab w:leader="none" w:pos="474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-14605</wp:posOffset>
            </wp:positionV>
            <wp:extent cx="1257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92075</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Blackbaud,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16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11-2617163</w:t>
      </w:r>
    </w:p>
    <w:p>
      <w:pPr>
        <w:spacing w:after="0" w:line="52" w:lineRule="exact"/>
        <w:rPr>
          <w:sz w:val="24"/>
          <w:szCs w:val="24"/>
          <w:color w:val="auto"/>
        </w:rPr>
      </w:pPr>
    </w:p>
    <w:p>
      <w:pPr>
        <w:sectPr>
          <w:pgSz w:w="11900" w:h="16838" w:orient="portrait"/>
          <w:cols w:equalWidth="0" w:num="2">
            <w:col w:w="7320" w:space="720"/>
            <w:col w:w="3200"/>
          </w:cols>
          <w:pgMar w:left="320" w:top="908"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93" w:lineRule="exact"/>
        <w:rPr>
          <w:sz w:val="24"/>
          <w:szCs w:val="24"/>
          <w:color w:val="auto"/>
        </w:rPr>
      </w:pPr>
    </w:p>
    <w:p>
      <w:pPr>
        <w:sectPr>
          <w:pgSz w:w="11900" w:h="16838" w:orient="portrait"/>
          <w:cols w:equalWidth="0" w:num="2">
            <w:col w:w="6520" w:space="720"/>
            <w:col w:w="4000"/>
          </w:cols>
          <w:pgMar w:left="320" w:top="908"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 Fairchild Street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Charleston, South Carolina 29492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(843) 216-6200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auto"/>
              </w:rPr>
              <w:t>Securities Registered Pursuant to Section 12(b) of the Act: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2"/>
        </w:trPr>
        <w:tc>
          <w:tcPr>
            <w:tcW w:w="1460" w:type="dxa"/>
            <w:vAlign w:val="bottom"/>
          </w:tcPr>
          <w:p>
            <w:pPr>
              <w:spacing w:after="0"/>
              <w:rPr>
                <w:sz w:val="15"/>
                <w:szCs w:val="15"/>
                <w:color w:val="auto"/>
              </w:rPr>
            </w:pPr>
          </w:p>
        </w:tc>
        <w:tc>
          <w:tcPr>
            <w:tcW w:w="1360" w:type="dxa"/>
            <w:vAlign w:val="bottom"/>
          </w:tcPr>
          <w:p>
            <w:pPr>
              <w:jc w:val="center"/>
              <w:spacing w:after="0" w:line="181" w:lineRule="exact"/>
              <w:rPr>
                <w:sz w:val="20"/>
                <w:szCs w:val="20"/>
                <w:color w:val="auto"/>
              </w:rPr>
            </w:pPr>
            <w:r>
              <w:rPr>
                <w:rFonts w:ascii="Arial" w:cs="Arial" w:eastAsia="Arial" w:hAnsi="Arial"/>
                <w:sz w:val="16"/>
                <w:szCs w:val="16"/>
                <w:color w:val="auto"/>
              </w:rPr>
              <w:t>Title of Each Class</w:t>
            </w:r>
          </w:p>
        </w:tc>
        <w:tc>
          <w:tcPr>
            <w:tcW w:w="1800" w:type="dxa"/>
            <w:vAlign w:val="bottom"/>
          </w:tcPr>
          <w:p>
            <w:pPr>
              <w:spacing w:after="0"/>
              <w:rPr>
                <w:sz w:val="15"/>
                <w:szCs w:val="15"/>
                <w:color w:val="auto"/>
              </w:rPr>
            </w:pPr>
          </w:p>
        </w:tc>
        <w:tc>
          <w:tcPr>
            <w:tcW w:w="1720" w:type="dxa"/>
            <w:vAlign w:val="bottom"/>
            <w:gridSpan w:val="2"/>
          </w:tcPr>
          <w:p>
            <w:pPr>
              <w:jc w:val="center"/>
              <w:ind w:left="319"/>
              <w:spacing w:after="0" w:line="181" w:lineRule="exact"/>
              <w:rPr>
                <w:sz w:val="20"/>
                <w:szCs w:val="20"/>
                <w:color w:val="auto"/>
              </w:rPr>
            </w:pPr>
            <w:r>
              <w:rPr>
                <w:rFonts w:ascii="Arial" w:cs="Arial" w:eastAsia="Arial" w:hAnsi="Arial"/>
                <w:sz w:val="16"/>
                <w:szCs w:val="16"/>
                <w:color w:val="auto"/>
              </w:rPr>
              <w:t>Trading Symbol(s)</w:t>
            </w:r>
          </w:p>
        </w:tc>
        <w:tc>
          <w:tcPr>
            <w:tcW w:w="1160" w:type="dxa"/>
            <w:vAlign w:val="bottom"/>
          </w:tcPr>
          <w:p>
            <w:pPr>
              <w:spacing w:after="0"/>
              <w:rPr>
                <w:sz w:val="15"/>
                <w:szCs w:val="15"/>
                <w:color w:val="auto"/>
              </w:rPr>
            </w:pPr>
          </w:p>
        </w:tc>
        <w:tc>
          <w:tcPr>
            <w:tcW w:w="3740" w:type="dxa"/>
            <w:vAlign w:val="bottom"/>
            <w:gridSpan w:val="2"/>
          </w:tcPr>
          <w:p>
            <w:pPr>
              <w:jc w:val="center"/>
              <w:ind w:right="420"/>
              <w:spacing w:after="0" w:line="181" w:lineRule="exact"/>
              <w:rPr>
                <w:sz w:val="20"/>
                <w:szCs w:val="20"/>
                <w:color w:val="auto"/>
              </w:rPr>
            </w:pPr>
            <w:r>
              <w:rPr>
                <w:rFonts w:ascii="Arial" w:cs="Arial" w:eastAsia="Arial" w:hAnsi="Arial"/>
                <w:sz w:val="16"/>
                <w:szCs w:val="16"/>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0"/>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Common Stock, $0.001 Par Value</w:t>
            </w:r>
          </w:p>
        </w:tc>
        <w:tc>
          <w:tcPr>
            <w:tcW w:w="4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BLKB</w:t>
            </w:r>
          </w:p>
        </w:tc>
        <w:tc>
          <w:tcPr>
            <w:tcW w:w="1160" w:type="dxa"/>
            <w:vAlign w:val="bottom"/>
          </w:tcPr>
          <w:p>
            <w:pPr>
              <w:spacing w:after="0"/>
              <w:rPr>
                <w:sz w:val="20"/>
                <w:szCs w:val="20"/>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Nasdaq Global Select Market</w:t>
            </w:r>
          </w:p>
        </w:tc>
      </w:tr>
      <w:tr>
        <w:trPr>
          <w:trHeight w:val="60"/>
        </w:trPr>
        <w:tc>
          <w:tcPr>
            <w:tcW w:w="14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r>
    </w:tbl>
    <w:p>
      <w:pPr>
        <w:spacing w:after="0" w:line="326"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9"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19"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6"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05"/>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40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05"/>
        </w:trPr>
        <w:tc>
          <w:tcPr>
            <w:tcW w:w="2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0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84" w:lineRule="exact"/>
        <w:rPr>
          <w:sz w:val="24"/>
          <w:szCs w:val="24"/>
          <w:color w:val="auto"/>
        </w:rPr>
      </w:pPr>
    </w:p>
    <w:p>
      <w:pPr>
        <w:ind w:right="2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April 28, 2021 was 48,818,991.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4D5259"/>
        </w:rPr>
        <w:t>TABLE OF CONTENTS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320" w:type="dxa"/>
            <w:vAlign w:val="bottom"/>
            <w:tcBorders>
              <w:bottom w:val="single" w:sz="8" w:color="71BF43"/>
            </w:tcBorders>
            <w:gridSpan w:val="2"/>
          </w:tcPr>
          <w:p>
            <w:pPr>
              <w:ind w:left="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CAUTIONARY STATEMENT REGARDING FORWARD-LOOKING STATEMENTS</w:t>
              </w:r>
            </w:hyperlink>
          </w:p>
        </w:tc>
        <w:tc>
          <w:tcPr>
            <w:tcW w:w="1880" w:type="dxa"/>
            <w:vAlign w:val="bottom"/>
            <w:tcBorders>
              <w:bottom w:val="single" w:sz="8" w:color="71BF43"/>
            </w:tcBorders>
          </w:tcPr>
          <w:p>
            <w:pPr>
              <w:ind w:left="14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2</w:t>
              </w:r>
            </w:hyperlink>
          </w:p>
        </w:tc>
      </w:tr>
      <w:tr>
        <w:trPr>
          <w:trHeight w:val="466"/>
        </w:trPr>
        <w:tc>
          <w:tcPr>
            <w:tcW w:w="900" w:type="dxa"/>
            <w:vAlign w:val="bottom"/>
            <w:tcBorders>
              <w:bottom w:val="single" w:sz="8" w:color="71BF43"/>
            </w:tcBorders>
          </w:tcPr>
          <w:p>
            <w:pPr>
              <w:ind w:left="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PART I.</w:t>
              </w:r>
            </w:hyperlink>
          </w:p>
        </w:tc>
        <w:tc>
          <w:tcPr>
            <w:tcW w:w="8420" w:type="dxa"/>
            <w:vAlign w:val="bottom"/>
            <w:tcBorders>
              <w:bottom w:val="single" w:sz="8" w:color="71BF43"/>
            </w:tcBorders>
          </w:tcPr>
          <w:p>
            <w:pPr>
              <w:ind w:left="18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FINANCIAL INFORMATION</w:t>
              </w:r>
            </w:hyperlink>
          </w:p>
        </w:tc>
        <w:tc>
          <w:tcPr>
            <w:tcW w:w="1880" w:type="dxa"/>
            <w:vAlign w:val="bottom"/>
            <w:tcBorders>
              <w:bottom w:val="single" w:sz="8" w:color="71BF43"/>
            </w:tcBorders>
          </w:tcPr>
          <w:p>
            <w:pPr>
              <w:ind w:left="14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3</w:t>
              </w:r>
            </w:hyperlink>
          </w:p>
        </w:tc>
      </w:tr>
      <w:tr>
        <w:trPr>
          <w:trHeight w:val="263"/>
        </w:trPr>
        <w:tc>
          <w:tcPr>
            <w:tcW w:w="90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420" w:type="dxa"/>
            <w:vAlign w:val="bottom"/>
          </w:tcPr>
          <w:p>
            <w:pPr>
              <w:ind w:left="18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1880" w:type="dxa"/>
            <w:vAlign w:val="bottom"/>
          </w:tcPr>
          <w:p>
            <w:pPr>
              <w:spacing w:after="0"/>
              <w:rPr>
                <w:sz w:val="22"/>
                <w:szCs w:val="22"/>
                <w:color w:val="auto"/>
              </w:rPr>
            </w:pPr>
          </w:p>
        </w:tc>
      </w:tr>
      <w:tr>
        <w:trPr>
          <w:trHeight w:val="229"/>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(Unaudited)</w:t>
              </w:r>
            </w:hyperlink>
          </w:p>
        </w:tc>
        <w:tc>
          <w:tcPr>
            <w:tcW w:w="1880" w:type="dxa"/>
            <w:vAlign w:val="bottom"/>
          </w:tcPr>
          <w:p>
            <w:pPr>
              <w:ind w:left="14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30"/>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Comprehensive Income (Unaudited)</w:t>
              </w:r>
            </w:hyperlink>
          </w:p>
        </w:tc>
        <w:tc>
          <w:tcPr>
            <w:tcW w:w="1880" w:type="dxa"/>
            <w:vAlign w:val="bottom"/>
          </w:tcPr>
          <w:p>
            <w:pPr>
              <w:ind w:left="142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29"/>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Cash Flows (Unaudited)</w:t>
              </w:r>
            </w:hyperlink>
          </w:p>
        </w:tc>
        <w:tc>
          <w:tcPr>
            <w:tcW w:w="1880" w:type="dxa"/>
            <w:vAlign w:val="bottom"/>
          </w:tcPr>
          <w:p>
            <w:pPr>
              <w:ind w:left="14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29"/>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Stockholders’ Equity (Unaudited)</w:t>
              </w:r>
            </w:hyperlink>
          </w:p>
        </w:tc>
        <w:tc>
          <w:tcPr>
            <w:tcW w:w="1880" w:type="dxa"/>
            <w:vAlign w:val="bottom"/>
          </w:tcPr>
          <w:p>
            <w:pPr>
              <w:ind w:left="14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30"/>
        </w:trPr>
        <w:tc>
          <w:tcPr>
            <w:tcW w:w="900" w:type="dxa"/>
            <w:vAlign w:val="bottom"/>
          </w:tcPr>
          <w:p>
            <w:pPr>
              <w:spacing w:after="0"/>
              <w:rPr>
                <w:sz w:val="19"/>
                <w:szCs w:val="19"/>
                <w:color w:val="auto"/>
              </w:rPr>
            </w:pPr>
          </w:p>
        </w:tc>
        <w:tc>
          <w:tcPr>
            <w:tcW w:w="8420" w:type="dxa"/>
            <w:vAlign w:val="bottom"/>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1880" w:type="dxa"/>
            <w:vAlign w:val="bottom"/>
          </w:tcPr>
          <w:p>
            <w:pPr>
              <w:ind w:left="1420"/>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29"/>
        </w:trPr>
        <w:tc>
          <w:tcPr>
            <w:tcW w:w="900" w:type="dxa"/>
            <w:vAlign w:val="bottom"/>
          </w:tcPr>
          <w:p>
            <w:pPr>
              <w:ind w:left="140"/>
              <w:spacing w:after="0"/>
              <w:rPr>
                <w:rFonts w:ascii="Arial" w:cs="Arial" w:eastAsia="Arial" w:hAnsi="Arial"/>
                <w:sz w:val="18"/>
                <w:szCs w:val="18"/>
                <w:color w:val="auto"/>
              </w:rPr>
            </w:pPr>
            <w:hyperlink w:anchor="page21">
              <w:r>
                <w:rPr>
                  <w:rFonts w:ascii="Arial" w:cs="Arial" w:eastAsia="Arial" w:hAnsi="Arial"/>
                  <w:sz w:val="18"/>
                  <w:szCs w:val="18"/>
                  <w:color w:val="auto"/>
                </w:rPr>
                <w:t>Item 2.</w:t>
              </w:r>
            </w:hyperlink>
          </w:p>
        </w:tc>
        <w:tc>
          <w:tcPr>
            <w:tcW w:w="8420" w:type="dxa"/>
            <w:vAlign w:val="bottom"/>
          </w:tcPr>
          <w:p>
            <w:pPr>
              <w:ind w:left="180"/>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1880" w:type="dxa"/>
            <w:vAlign w:val="bottom"/>
          </w:tcPr>
          <w:p>
            <w:pPr>
              <w:ind w:left="1420"/>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30"/>
        </w:trPr>
        <w:tc>
          <w:tcPr>
            <w:tcW w:w="9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Item 3.</w:t>
              </w:r>
            </w:hyperlink>
          </w:p>
        </w:tc>
        <w:tc>
          <w:tcPr>
            <w:tcW w:w="8420" w:type="dxa"/>
            <w:vAlign w:val="bottom"/>
          </w:tcPr>
          <w:p>
            <w:pPr>
              <w:ind w:left="180"/>
              <w:spacing w:after="0"/>
              <w:rPr>
                <w:rFonts w:ascii="Arial" w:cs="Arial" w:eastAsia="Arial" w:hAnsi="Arial"/>
                <w:sz w:val="18"/>
                <w:szCs w:val="18"/>
                <w:color w:val="auto"/>
              </w:rPr>
            </w:pPr>
            <w:hyperlink w:anchor="page38">
              <w:r>
                <w:rPr>
                  <w:rFonts w:ascii="Arial" w:cs="Arial" w:eastAsia="Arial" w:hAnsi="Arial"/>
                  <w:sz w:val="18"/>
                  <w:szCs w:val="18"/>
                  <w:color w:val="auto"/>
                </w:rPr>
                <w:t>Quantitative and qualitative disclosures about market risk</w:t>
              </w:r>
            </w:hyperlink>
          </w:p>
        </w:tc>
        <w:tc>
          <w:tcPr>
            <w:tcW w:w="1880" w:type="dxa"/>
            <w:vAlign w:val="bottom"/>
          </w:tcPr>
          <w:p>
            <w:pPr>
              <w:ind w:left="1420"/>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29"/>
        </w:trPr>
        <w:tc>
          <w:tcPr>
            <w:tcW w:w="90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8420" w:type="dxa"/>
            <w:vAlign w:val="bottom"/>
          </w:tcPr>
          <w:p>
            <w:pPr>
              <w:ind w:left="180"/>
              <w:spacing w:after="0"/>
              <w:rPr>
                <w:rFonts w:ascii="Arial" w:cs="Arial" w:eastAsia="Arial" w:hAnsi="Arial"/>
                <w:sz w:val="18"/>
                <w:szCs w:val="18"/>
                <w:color w:val="auto"/>
              </w:rPr>
            </w:pPr>
            <w:hyperlink w:anchor="page38">
              <w:r>
                <w:rPr>
                  <w:rFonts w:ascii="Arial" w:cs="Arial" w:eastAsia="Arial" w:hAnsi="Arial"/>
                  <w:sz w:val="18"/>
                  <w:szCs w:val="18"/>
                  <w:color w:val="auto"/>
                </w:rPr>
                <w:t>Controls and procedures</w:t>
              </w:r>
            </w:hyperlink>
          </w:p>
        </w:tc>
        <w:tc>
          <w:tcPr>
            <w:tcW w:w="1880" w:type="dxa"/>
            <w:vAlign w:val="bottom"/>
          </w:tcPr>
          <w:p>
            <w:pPr>
              <w:ind w:left="1420"/>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40" w:type="dxa"/>
            <w:vAlign w:val="bottom"/>
            <w:tcBorders>
              <w:bottom w:val="single" w:sz="8" w:color="71BF43"/>
            </w:tcBorders>
          </w:tcPr>
          <w:p>
            <w:pPr>
              <w:ind w:left="20"/>
              <w:spacing w:after="0"/>
              <w:rPr>
                <w:rFonts w:ascii="Arial" w:cs="Arial" w:eastAsia="Arial" w:hAnsi="Arial"/>
                <w:sz w:val="20"/>
                <w:szCs w:val="20"/>
                <w:b w:val="1"/>
                <w:bCs w:val="1"/>
                <w:color w:val="71BF43"/>
              </w:rPr>
            </w:pPr>
            <w:hyperlink w:anchor="page39">
              <w:r>
                <w:rPr>
                  <w:rFonts w:ascii="Arial" w:cs="Arial" w:eastAsia="Arial" w:hAnsi="Arial"/>
                  <w:sz w:val="20"/>
                  <w:szCs w:val="20"/>
                  <w:b w:val="1"/>
                  <w:bCs w:val="1"/>
                  <w:color w:val="71BF43"/>
                </w:rPr>
                <w:t>PART II.</w:t>
              </w:r>
            </w:hyperlink>
          </w:p>
        </w:tc>
        <w:tc>
          <w:tcPr>
            <w:tcW w:w="7320" w:type="dxa"/>
            <w:vAlign w:val="bottom"/>
            <w:tcBorders>
              <w:bottom w:val="single" w:sz="8" w:color="71BF43"/>
            </w:tcBorders>
          </w:tcPr>
          <w:p>
            <w:pPr>
              <w:ind w:left="140"/>
              <w:spacing w:after="0"/>
              <w:rPr>
                <w:rFonts w:ascii="Arial" w:cs="Arial" w:eastAsia="Arial" w:hAnsi="Arial"/>
                <w:sz w:val="20"/>
                <w:szCs w:val="20"/>
                <w:b w:val="1"/>
                <w:bCs w:val="1"/>
                <w:color w:val="71BF43"/>
              </w:rPr>
            </w:pPr>
            <w:hyperlink w:anchor="page39">
              <w:r>
                <w:rPr>
                  <w:rFonts w:ascii="Arial" w:cs="Arial" w:eastAsia="Arial" w:hAnsi="Arial"/>
                  <w:sz w:val="20"/>
                  <w:szCs w:val="20"/>
                  <w:b w:val="1"/>
                  <w:bCs w:val="1"/>
                  <w:color w:val="71BF43"/>
                </w:rPr>
                <w:t>OTHER INFORMATION</w:t>
              </w:r>
            </w:hyperlink>
          </w:p>
        </w:tc>
        <w:tc>
          <w:tcPr>
            <w:tcW w:w="2940" w:type="dxa"/>
            <w:vAlign w:val="bottom"/>
            <w:tcBorders>
              <w:bottom w:val="single" w:sz="8" w:color="71BF43"/>
            </w:tcBorders>
          </w:tcPr>
          <w:p>
            <w:pPr>
              <w:ind w:left="2480"/>
              <w:spacing w:after="0"/>
              <w:rPr>
                <w:rFonts w:ascii="Arial" w:cs="Arial" w:eastAsia="Arial" w:hAnsi="Arial"/>
                <w:sz w:val="20"/>
                <w:szCs w:val="20"/>
                <w:b w:val="1"/>
                <w:bCs w:val="1"/>
                <w:color w:val="71BF43"/>
              </w:rPr>
            </w:pPr>
            <w:hyperlink w:anchor="page39">
              <w:r>
                <w:rPr>
                  <w:rFonts w:ascii="Arial" w:cs="Arial" w:eastAsia="Arial" w:hAnsi="Arial"/>
                  <w:sz w:val="20"/>
                  <w:szCs w:val="20"/>
                  <w:b w:val="1"/>
                  <w:bCs w:val="1"/>
                  <w:color w:val="71BF43"/>
                </w:rPr>
                <w:t>39</w:t>
              </w:r>
            </w:hyperlink>
          </w:p>
        </w:tc>
      </w:tr>
      <w:tr>
        <w:trPr>
          <w:trHeight w:val="264"/>
        </w:trPr>
        <w:tc>
          <w:tcPr>
            <w:tcW w:w="940" w:type="dxa"/>
            <w:vAlign w:val="bottom"/>
          </w:tcPr>
          <w:p>
            <w:pPr>
              <w:ind w:left="140"/>
              <w:spacing w:after="0"/>
              <w:rPr>
                <w:rFonts w:ascii="Arial" w:cs="Arial" w:eastAsia="Arial" w:hAnsi="Arial"/>
                <w:sz w:val="18"/>
                <w:szCs w:val="18"/>
                <w:color w:val="auto"/>
              </w:rPr>
            </w:pPr>
            <w:hyperlink w:anchor="page40">
              <w:r>
                <w:rPr>
                  <w:rFonts w:ascii="Arial" w:cs="Arial" w:eastAsia="Arial" w:hAnsi="Arial"/>
                  <w:sz w:val="18"/>
                  <w:szCs w:val="18"/>
                  <w:color w:val="auto"/>
                </w:rPr>
                <w:t>Item 1.</w:t>
              </w:r>
            </w:hyperlink>
          </w:p>
        </w:tc>
        <w:tc>
          <w:tcPr>
            <w:tcW w:w="7320" w:type="dxa"/>
            <w:vAlign w:val="bottom"/>
          </w:tcPr>
          <w:p>
            <w:pPr>
              <w:ind w:left="140"/>
              <w:spacing w:after="0"/>
              <w:rPr>
                <w:rFonts w:ascii="Arial" w:cs="Arial" w:eastAsia="Arial" w:hAnsi="Arial"/>
                <w:sz w:val="18"/>
                <w:szCs w:val="18"/>
                <w:color w:val="auto"/>
              </w:rPr>
            </w:pPr>
            <w:hyperlink w:anchor="page40">
              <w:r>
                <w:rPr>
                  <w:rFonts w:ascii="Arial" w:cs="Arial" w:eastAsia="Arial" w:hAnsi="Arial"/>
                  <w:sz w:val="18"/>
                  <w:szCs w:val="18"/>
                  <w:color w:val="auto"/>
                </w:rPr>
                <w:t>Legal proceedings</w:t>
              </w:r>
            </w:hyperlink>
          </w:p>
        </w:tc>
        <w:tc>
          <w:tcPr>
            <w:tcW w:w="2940" w:type="dxa"/>
            <w:vAlign w:val="bottom"/>
          </w:tcPr>
          <w:p>
            <w:pPr>
              <w:ind w:left="2480"/>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40">
              <w:r>
                <w:rPr>
                  <w:rFonts w:ascii="Arial" w:cs="Arial" w:eastAsia="Arial" w:hAnsi="Arial"/>
                  <w:sz w:val="18"/>
                  <w:szCs w:val="18"/>
                  <w:color w:val="auto"/>
                </w:rPr>
                <w:t>Item 1A.</w:t>
              </w:r>
            </w:hyperlink>
          </w:p>
        </w:tc>
        <w:tc>
          <w:tcPr>
            <w:tcW w:w="7320" w:type="dxa"/>
            <w:vAlign w:val="bottom"/>
          </w:tcPr>
          <w:p>
            <w:pPr>
              <w:ind w:left="140"/>
              <w:spacing w:after="0"/>
              <w:rPr>
                <w:rFonts w:ascii="Arial" w:cs="Arial" w:eastAsia="Arial" w:hAnsi="Arial"/>
                <w:sz w:val="18"/>
                <w:szCs w:val="18"/>
                <w:color w:val="auto"/>
              </w:rPr>
            </w:pPr>
            <w:hyperlink w:anchor="page40">
              <w:r>
                <w:rPr>
                  <w:rFonts w:ascii="Arial" w:cs="Arial" w:eastAsia="Arial" w:hAnsi="Arial"/>
                  <w:sz w:val="18"/>
                  <w:szCs w:val="18"/>
                  <w:color w:val="auto"/>
                </w:rPr>
                <w:t>Risk factors</w:t>
              </w:r>
            </w:hyperlink>
          </w:p>
        </w:tc>
        <w:tc>
          <w:tcPr>
            <w:tcW w:w="2940" w:type="dxa"/>
            <w:vAlign w:val="bottom"/>
          </w:tcPr>
          <w:p>
            <w:pPr>
              <w:ind w:left="2480"/>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29"/>
        </w:trPr>
        <w:tc>
          <w:tcPr>
            <w:tcW w:w="940" w:type="dxa"/>
            <w:vAlign w:val="bottom"/>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Item 2.</w:t>
              </w:r>
            </w:hyperlink>
          </w:p>
        </w:tc>
        <w:tc>
          <w:tcPr>
            <w:tcW w:w="7320" w:type="dxa"/>
            <w:vAlign w:val="bottom"/>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Unregistered sales of equity securities and use of proceeds</w:t>
              </w:r>
            </w:hyperlink>
          </w:p>
        </w:tc>
        <w:tc>
          <w:tcPr>
            <w:tcW w:w="2940" w:type="dxa"/>
            <w:vAlign w:val="bottom"/>
          </w:tcPr>
          <w:p>
            <w:pPr>
              <w:ind w:left="2480"/>
              <w:spacing w:after="0"/>
              <w:rPr>
                <w:rFonts w:ascii="Arial" w:cs="Arial" w:eastAsia="Arial" w:hAnsi="Arial"/>
                <w:sz w:val="18"/>
                <w:szCs w:val="18"/>
                <w:color w:val="auto"/>
              </w:rPr>
            </w:pPr>
            <w:hyperlink w:anchor="page41">
              <w:r>
                <w:rPr>
                  <w:rFonts w:ascii="Arial" w:cs="Arial" w:eastAsia="Arial" w:hAnsi="Arial"/>
                  <w:sz w:val="18"/>
                  <w:szCs w:val="18"/>
                  <w:color w:val="auto"/>
                </w:rPr>
                <w:t>40</w:t>
              </w:r>
            </w:hyperlink>
          </w:p>
        </w:tc>
      </w:tr>
      <w:tr>
        <w:trPr>
          <w:trHeight w:val="230"/>
        </w:trPr>
        <w:tc>
          <w:tcPr>
            <w:tcW w:w="940" w:type="dxa"/>
            <w:vAlign w:val="bottom"/>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Item 6.</w:t>
              </w:r>
            </w:hyperlink>
          </w:p>
        </w:tc>
        <w:tc>
          <w:tcPr>
            <w:tcW w:w="7320" w:type="dxa"/>
            <w:vAlign w:val="bottom"/>
          </w:tcPr>
          <w:p>
            <w:pPr>
              <w:ind w:left="140"/>
              <w:spacing w:after="0"/>
              <w:rPr>
                <w:rFonts w:ascii="Arial" w:cs="Arial" w:eastAsia="Arial" w:hAnsi="Arial"/>
                <w:sz w:val="18"/>
                <w:szCs w:val="18"/>
                <w:color w:val="auto"/>
              </w:rPr>
            </w:pPr>
            <w:hyperlink w:anchor="page41">
              <w:r>
                <w:rPr>
                  <w:rFonts w:ascii="Arial" w:cs="Arial" w:eastAsia="Arial" w:hAnsi="Arial"/>
                  <w:sz w:val="18"/>
                  <w:szCs w:val="18"/>
                  <w:color w:val="auto"/>
                </w:rPr>
                <w:t>Exhibits</w:t>
              </w:r>
            </w:hyperlink>
          </w:p>
        </w:tc>
        <w:tc>
          <w:tcPr>
            <w:tcW w:w="2940" w:type="dxa"/>
            <w:vAlign w:val="bottom"/>
          </w:tcPr>
          <w:p>
            <w:pPr>
              <w:ind w:left="2480"/>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r>
      <w:tr>
        <w:trPr>
          <w:trHeight w:val="513"/>
        </w:trPr>
        <w:tc>
          <w:tcPr>
            <w:tcW w:w="8260" w:type="dxa"/>
            <w:vAlign w:val="bottom"/>
            <w:tcBorders>
              <w:bottom w:val="single" w:sz="8" w:color="71BF43"/>
            </w:tcBorders>
            <w:gridSpan w:val="2"/>
          </w:tcPr>
          <w:p>
            <w:pPr>
              <w:ind w:left="20"/>
              <w:spacing w:after="0"/>
              <w:rPr>
                <w:rFonts w:ascii="Arial" w:cs="Arial" w:eastAsia="Arial" w:hAnsi="Arial"/>
                <w:sz w:val="20"/>
                <w:szCs w:val="20"/>
                <w:b w:val="1"/>
                <w:bCs w:val="1"/>
                <w:color w:val="71BF43"/>
              </w:rPr>
            </w:pPr>
            <w:hyperlink w:anchor="page42">
              <w:r>
                <w:rPr>
                  <w:rFonts w:ascii="Arial" w:cs="Arial" w:eastAsia="Arial" w:hAnsi="Arial"/>
                  <w:sz w:val="20"/>
                  <w:szCs w:val="20"/>
                  <w:b w:val="1"/>
                  <w:bCs w:val="1"/>
                  <w:color w:val="71BF43"/>
                </w:rPr>
                <w:t>SIGNATURES</w:t>
              </w:r>
            </w:hyperlink>
          </w:p>
        </w:tc>
        <w:tc>
          <w:tcPr>
            <w:tcW w:w="2940" w:type="dxa"/>
            <w:vAlign w:val="bottom"/>
            <w:tcBorders>
              <w:bottom w:val="single" w:sz="8" w:color="71BF43"/>
            </w:tcBorders>
          </w:tcPr>
          <w:p>
            <w:pPr>
              <w:ind w:left="2480"/>
              <w:spacing w:after="0"/>
              <w:rPr>
                <w:rFonts w:ascii="Arial" w:cs="Arial" w:eastAsia="Arial" w:hAnsi="Arial"/>
                <w:sz w:val="20"/>
                <w:szCs w:val="20"/>
                <w:b w:val="1"/>
                <w:bCs w:val="1"/>
                <w:color w:val="71BF43"/>
              </w:rPr>
            </w:pPr>
            <w:hyperlink w:anchor="page42">
              <w:r>
                <w:rPr>
                  <w:rFonts w:ascii="Arial" w:cs="Arial" w:eastAsia="Arial" w:hAnsi="Arial"/>
                  <w:sz w:val="20"/>
                  <w:szCs w:val="20"/>
                  <w:b w:val="1"/>
                  <w:bCs w:val="1"/>
                  <w:color w:val="71BF43"/>
                </w:rPr>
                <w:t>42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436880</wp:posOffset>
            </wp:positionV>
            <wp:extent cx="67691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8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80" w:right="640"/>
        <w:spacing w:after="0" w:line="239" w:lineRule="auto"/>
        <w:rPr>
          <w:sz w:val="20"/>
          <w:szCs w:val="20"/>
          <w:color w:val="auto"/>
        </w:rPr>
      </w:pPr>
      <w:r>
        <w:rPr>
          <w:rFonts w:ascii="Arial" w:cs="Arial" w:eastAsia="Arial" w:hAnsi="Arial"/>
          <w:sz w:val="40"/>
          <w:szCs w:val="40"/>
          <w:b w:val="1"/>
          <w:bCs w:val="1"/>
          <w:color w:val="4D5259"/>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-433070</wp:posOffset>
            </wp:positionV>
            <wp:extent cx="1803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222885"/>
                    </a:xfrm>
                    <a:prstGeom prst="rect">
                      <a:avLst/>
                    </a:prstGeom>
                    <a:noFill/>
                  </pic:spPr>
                </pic:pic>
              </a:graphicData>
            </a:graphic>
          </wp:anchor>
        </w:drawing>
      </w:r>
    </w:p>
    <w:p>
      <w:pPr>
        <w:spacing w:after="0" w:line="1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potential litigation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2020 and in our other SEC filings.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16"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2</w:t>
      </w:r>
      <w:r>
        <w:rPr>
          <w:sz w:val="20"/>
          <w:szCs w:val="20"/>
          <w:color w:val="auto"/>
        </w:rPr>
        <w:tab/>
      </w:r>
      <w:r>
        <w:rPr>
          <w:sz w:val="1"/>
          <w:szCs w:val="1"/>
          <w:color w:val="auto"/>
        </w:rPr>
        <w:drawing>
          <wp:inline distT="0" distB="0" distL="0" distR="0">
            <wp:extent cx="676910" cy="171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ind w:left="260"/>
        <w:spacing w:after="0"/>
        <w:rPr>
          <w:sz w:val="20"/>
          <w:szCs w:val="20"/>
          <w:color w:val="auto"/>
        </w:rPr>
      </w:pPr>
      <w:r>
        <w:rPr>
          <w:sz w:val="1"/>
          <w:szCs w:val="1"/>
          <w:color w:val="auto"/>
        </w:rPr>
        <w:drawing>
          <wp:inline distT="0" distB="0" distL="0" distR="0">
            <wp:extent cx="180340" cy="2400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340" cy="24003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 FINANCIAL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92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shd w:val="clear" w:color="auto" w:fill="ACACAC"/>
          </w:tcPr>
          <w:p>
            <w:pPr>
              <w:spacing w:after="0"/>
              <w:rPr>
                <w:sz w:val="14"/>
                <w:szCs w:val="14"/>
                <w:color w:val="auto"/>
              </w:rPr>
            </w:pPr>
          </w:p>
        </w:tc>
        <w:tc>
          <w:tcPr>
            <w:tcW w:w="11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20" w:type="dxa"/>
            <w:vAlign w:val="bottom"/>
            <w:vMerge w:val="continue"/>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1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Assets</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spacing w:after="0"/>
              <w:rPr>
                <w:sz w:val="18"/>
                <w:szCs w:val="18"/>
                <w:color w:val="auto"/>
              </w:rPr>
            </w:pP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27,753</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35,750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Arial" w:cs="Arial" w:eastAsia="Arial" w:hAnsi="Arial"/>
                <w:sz w:val="16"/>
                <w:szCs w:val="16"/>
                <w:color w:val="auto"/>
              </w:rPr>
              <w:t>Restricted cash</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255,158</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609,219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920" w:type="dxa"/>
            <w:vAlign w:val="bottom"/>
            <w:shd w:val="clear" w:color="auto" w:fill="F4F4F4"/>
          </w:tcPr>
          <w:p>
            <w:pPr>
              <w:ind w:left="540"/>
              <w:spacing w:after="0" w:line="181" w:lineRule="exact"/>
              <w:rPr>
                <w:sz w:val="20"/>
                <w:szCs w:val="20"/>
                <w:color w:val="auto"/>
              </w:rPr>
            </w:pPr>
            <w:r>
              <w:rPr>
                <w:rFonts w:ascii="Arial" w:cs="Arial" w:eastAsia="Arial" w:hAnsi="Arial"/>
                <w:sz w:val="16"/>
                <w:szCs w:val="16"/>
                <w:color w:val="auto"/>
              </w:rPr>
              <w:t>Accounts receivable, net of allowance of $10,361 and $10,292 at March 31, 2021 and December 31,</w:t>
            </w: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c>
          <w:tcPr>
            <w:tcW w:w="400" w:type="dxa"/>
            <w:vAlign w:val="bottom"/>
            <w:shd w:val="clear" w:color="auto" w:fill="F4F4F4"/>
          </w:tcPr>
          <w:p>
            <w:pPr>
              <w:spacing w:after="0"/>
              <w:rPr>
                <w:sz w:val="15"/>
                <w:szCs w:val="15"/>
                <w:color w:val="auto"/>
              </w:rPr>
            </w:pPr>
          </w:p>
        </w:tc>
        <w:tc>
          <w:tcPr>
            <w:tcW w:w="124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2020, respectively</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83,333</w:t>
            </w:r>
          </w:p>
        </w:tc>
        <w:tc>
          <w:tcPr>
            <w:tcW w:w="400" w:type="dxa"/>
            <w:vAlign w:val="bottom"/>
            <w:shd w:val="clear" w:color="auto" w:fill="F4F4F4"/>
          </w:tcPr>
          <w:p>
            <w:pPr>
              <w:spacing w:after="0"/>
              <w:rPr>
                <w:sz w:val="17"/>
                <w:szCs w:val="17"/>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95,404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Arial" w:cs="Arial" w:eastAsia="Arial" w:hAnsi="Arial"/>
                <w:sz w:val="16"/>
                <w:szCs w:val="16"/>
                <w:color w:val="auto"/>
              </w:rPr>
              <w:t>Customer funds receivable</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945</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Borders>
              <w:bottom w:val="single" w:sz="8" w:color="auto"/>
            </w:tcBorders>
            <w:shd w:val="clear" w:color="auto" w:fill="F4F4F4"/>
          </w:tcPr>
          <w:p>
            <w:pPr>
              <w:spacing w:after="0"/>
              <w:rPr>
                <w:sz w:val="19"/>
                <w:szCs w:val="19"/>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98,095</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78,366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9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465,284</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819,060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340"/>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105,124</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105,177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20,055</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340"/>
              <w:spacing w:after="0"/>
              <w:rPr>
                <w:sz w:val="20"/>
                <w:szCs w:val="20"/>
                <w:color w:val="auto"/>
              </w:rPr>
            </w:pPr>
            <w:r>
              <w:rPr>
                <w:rFonts w:ascii="Arial" w:cs="Arial" w:eastAsia="Arial" w:hAnsi="Arial"/>
                <w:sz w:val="16"/>
                <w:szCs w:val="16"/>
                <w:color w:val="auto"/>
              </w:rPr>
              <w:t>Software development costs, net</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113,624</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111,827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637,113</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635,854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34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269,118</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277,506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Borders>
              <w:bottom w:val="single" w:sz="8" w:color="F4F4F4"/>
            </w:tcBorders>
          </w:tcPr>
          <w:p>
            <w:pPr>
              <w:ind w:left="34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74,022</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shd w:val="clear" w:color="auto" w:fill="F4F4F4"/>
          </w:tcPr>
          <w:p>
            <w:pPr>
              <w:ind w:left="112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auto"/>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1,684,340</w:t>
            </w:r>
          </w:p>
        </w:tc>
        <w:tc>
          <w:tcPr>
            <w:tcW w:w="400" w:type="dxa"/>
            <w:vAlign w:val="bottom"/>
            <w:tcBorders>
              <w:bottom w:val="single" w:sz="8" w:color="auto"/>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2,044,734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20" w:type="dxa"/>
            <w:vAlign w:val="bottom"/>
          </w:tcPr>
          <w:p>
            <w:pPr>
              <w:ind w:left="140"/>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920" w:type="dxa"/>
            <w:vAlign w:val="bottom"/>
            <w:shd w:val="clear" w:color="auto" w:fill="F4F4F4"/>
          </w:tcPr>
          <w:p>
            <w:pPr>
              <w:ind w:left="340"/>
              <w:spacing w:after="0"/>
              <w:rPr>
                <w:sz w:val="20"/>
                <w:szCs w:val="20"/>
                <w:color w:val="auto"/>
              </w:rPr>
            </w:pPr>
            <w:r>
              <w:rPr>
                <w:rFonts w:ascii="Arial" w:cs="Arial" w:eastAsia="Arial" w:hAnsi="Arial"/>
                <w:sz w:val="16"/>
                <w:szCs w:val="16"/>
                <w:color w:val="auto"/>
              </w:rPr>
              <w:t>Current liabilities:</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spacing w:after="0"/>
              <w:rPr>
                <w:sz w:val="18"/>
                <w:szCs w:val="18"/>
                <w:color w:val="auto"/>
              </w:rPr>
            </w:pP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Arial" w:cs="Arial" w:eastAsia="Arial" w:hAnsi="Arial"/>
                <w:sz w:val="16"/>
                <w:szCs w:val="16"/>
                <w:color w:val="auto"/>
              </w:rPr>
              <w:t>Trade accounts payable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35,274</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53,013</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52,228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Arial" w:cs="Arial" w:eastAsia="Arial" w:hAnsi="Arial"/>
                <w:sz w:val="16"/>
                <w:szCs w:val="16"/>
                <w:color w:val="auto"/>
              </w:rPr>
              <w:t>Due to customers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254,947</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608,264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Debt, current portion</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12,875</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Borders>
              <w:bottom w:val="single" w:sz="8" w:color="F4F4F4"/>
            </w:tcBorders>
          </w:tcPr>
          <w:p>
            <w:pPr>
              <w:ind w:left="540"/>
              <w:spacing w:after="0"/>
              <w:rPr>
                <w:sz w:val="20"/>
                <w:szCs w:val="20"/>
                <w:color w:val="auto"/>
              </w:rPr>
            </w:pPr>
            <w:r>
              <w:rPr>
                <w:rFonts w:ascii="Arial" w:cs="Arial" w:eastAsia="Arial" w:hAnsi="Arial"/>
                <w:sz w:val="16"/>
                <w:szCs w:val="16"/>
                <w:color w:val="auto"/>
              </w:rPr>
              <w:t>Deferred revenue, current portion</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290,025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646,134</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1,013,404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Debt, net of current portion</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537,924</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518,193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340"/>
              <w:spacing w:after="0"/>
              <w:rPr>
                <w:sz w:val="20"/>
                <w:szCs w:val="20"/>
                <w:color w:val="auto"/>
              </w:rPr>
            </w:pPr>
            <w:r>
              <w:rPr>
                <w:rFonts w:ascii="Arial" w:cs="Arial" w:eastAsia="Arial" w:hAnsi="Arial"/>
                <w:sz w:val="16"/>
                <w:szCs w:val="16"/>
                <w:color w:val="auto"/>
              </w:rPr>
              <w:t>Deferred tax liability</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54,444</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54,086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340"/>
              <w:spacing w:after="0"/>
              <w:rPr>
                <w:sz w:val="20"/>
                <w:szCs w:val="20"/>
                <w:color w:val="auto"/>
              </w:rPr>
            </w:pPr>
            <w:r>
              <w:rPr>
                <w:rFonts w:ascii="Arial" w:cs="Arial" w:eastAsia="Arial" w:hAnsi="Arial"/>
                <w:sz w:val="16"/>
                <w:szCs w:val="16"/>
                <w:color w:val="auto"/>
              </w:rPr>
              <w:t>Deferred revenue, net of current portion</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4,495</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340"/>
              <w:spacing w:after="0"/>
              <w:rPr>
                <w:sz w:val="20"/>
                <w:szCs w:val="20"/>
                <w:color w:val="auto"/>
              </w:rPr>
            </w:pPr>
            <w:r>
              <w:rPr>
                <w:rFonts w:ascii="Arial" w:cs="Arial" w:eastAsia="Arial" w:hAnsi="Arial"/>
                <w:sz w:val="16"/>
                <w:szCs w:val="16"/>
                <w:color w:val="auto"/>
              </w:rPr>
              <w:t>Operating lease liabilities, net of current portion</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15,744</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17,357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Borders>
              <w:bottom w:val="single" w:sz="8" w:color="F4F4F4"/>
            </w:tcBorders>
          </w:tcPr>
          <w:p>
            <w:pPr>
              <w:ind w:left="340"/>
              <w:spacing w:after="0"/>
              <w:rPr>
                <w:sz w:val="20"/>
                <w:szCs w:val="20"/>
                <w:color w:val="auto"/>
              </w:rPr>
            </w:pPr>
            <w:r>
              <w:rPr>
                <w:rFonts w:ascii="Arial" w:cs="Arial" w:eastAsia="Arial" w:hAnsi="Arial"/>
                <w:sz w:val="16"/>
                <w:szCs w:val="16"/>
                <w:color w:val="auto"/>
              </w:rPr>
              <w:t>Other liabilities</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9,439</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20" w:type="dxa"/>
            <w:vAlign w:val="bottom"/>
            <w:shd w:val="clear" w:color="auto" w:fill="F4F4F4"/>
          </w:tcPr>
          <w:p>
            <w:pPr>
              <w:ind w:left="112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auto"/>
            </w:tcBorders>
            <w:shd w:val="clear" w:color="auto" w:fill="F4F4F4"/>
          </w:tcPr>
          <w:p>
            <w:pPr>
              <w:spacing w:after="0"/>
              <w:rPr>
                <w:sz w:val="18"/>
                <w:szCs w:val="18"/>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1,268,180</w:t>
            </w:r>
          </w:p>
        </w:tc>
        <w:tc>
          <w:tcPr>
            <w:tcW w:w="400" w:type="dxa"/>
            <w:vAlign w:val="bottom"/>
            <w:tcBorders>
              <w:bottom w:val="single" w:sz="8" w:color="auto"/>
            </w:tcBorders>
            <w:shd w:val="clear" w:color="auto" w:fill="F4F4F4"/>
          </w:tcPr>
          <w:p>
            <w:pPr>
              <w:spacing w:after="0"/>
              <w:rPr>
                <w:sz w:val="18"/>
                <w:szCs w:val="18"/>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1,618,584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20" w:type="dxa"/>
            <w:vAlign w:val="bottom"/>
          </w:tcPr>
          <w:p>
            <w:pPr>
              <w:ind w:left="340"/>
              <w:spacing w:after="0"/>
              <w:rPr>
                <w:sz w:val="20"/>
                <w:szCs w:val="20"/>
                <w:color w:val="auto"/>
              </w:rPr>
            </w:pPr>
            <w:r>
              <w:rPr>
                <w:rFonts w:ascii="Arial" w:cs="Arial" w:eastAsia="Arial" w:hAnsi="Arial"/>
                <w:sz w:val="16"/>
                <w:szCs w:val="16"/>
                <w:color w:val="auto"/>
              </w:rPr>
              <w:t>Commitments and contingencies (see Note 9)</w:t>
            </w: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340"/>
              <w:spacing w:after="0"/>
              <w:rPr>
                <w:sz w:val="20"/>
                <w:szCs w:val="20"/>
                <w:color w:val="auto"/>
              </w:rPr>
            </w:pPr>
            <w:r>
              <w:rPr>
                <w:rFonts w:ascii="Arial" w:cs="Arial" w:eastAsia="Arial" w:hAnsi="Arial"/>
                <w:sz w:val="16"/>
                <w:szCs w:val="16"/>
                <w:color w:val="auto"/>
              </w:rPr>
              <w:t>Stockholders’ equity:</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Arial" w:cs="Arial" w:eastAsia="Arial" w:hAnsi="Arial"/>
                <w:sz w:val="16"/>
                <w:szCs w:val="16"/>
                <w:color w:val="auto"/>
              </w:rPr>
              <w:t>Preferred stock; 20,000,000 shares authorized, none outstanding</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920" w:type="dxa"/>
            <w:vAlign w:val="bottom"/>
            <w:shd w:val="clear" w:color="auto" w:fill="F4F4F4"/>
          </w:tcPr>
          <w:p>
            <w:pPr>
              <w:ind w:left="540"/>
              <w:spacing w:after="0" w:line="181" w:lineRule="exact"/>
              <w:rPr>
                <w:sz w:val="20"/>
                <w:szCs w:val="20"/>
                <w:color w:val="auto"/>
              </w:rPr>
            </w:pPr>
            <w:r>
              <w:rPr>
                <w:rFonts w:ascii="Arial" w:cs="Arial" w:eastAsia="Arial" w:hAnsi="Arial"/>
                <w:sz w:val="16"/>
                <w:szCs w:val="16"/>
                <w:color w:val="auto"/>
              </w:rPr>
              <w:t>Common stock, $0.001 par value; 180,000,000 shares authorized, 61,595,276 and 60,904,638 shares</w:t>
            </w: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c>
          <w:tcPr>
            <w:tcW w:w="400" w:type="dxa"/>
            <w:vAlign w:val="bottom"/>
            <w:shd w:val="clear" w:color="auto" w:fill="F4F4F4"/>
          </w:tcPr>
          <w:p>
            <w:pPr>
              <w:spacing w:after="0"/>
              <w:rPr>
                <w:sz w:val="15"/>
                <w:szCs w:val="15"/>
                <w:color w:val="auto"/>
              </w:rPr>
            </w:pPr>
          </w:p>
        </w:tc>
        <w:tc>
          <w:tcPr>
            <w:tcW w:w="124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issued at March 31, 2021 and December 31, 2020, respectively</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400" w:type="dxa"/>
            <w:vAlign w:val="bottom"/>
            <w:shd w:val="clear" w:color="auto" w:fill="F4F4F4"/>
          </w:tcPr>
          <w:p>
            <w:pPr>
              <w:spacing w:after="0"/>
              <w:rPr>
                <w:sz w:val="17"/>
                <w:szCs w:val="17"/>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574,958</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544,963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920" w:type="dxa"/>
            <w:vAlign w:val="bottom"/>
            <w:shd w:val="clear" w:color="auto" w:fill="F4F4F4"/>
          </w:tcPr>
          <w:p>
            <w:pPr>
              <w:ind w:left="540"/>
              <w:spacing w:after="0" w:line="181" w:lineRule="exact"/>
              <w:rPr>
                <w:sz w:val="20"/>
                <w:szCs w:val="20"/>
                <w:color w:val="auto"/>
              </w:rPr>
            </w:pPr>
            <w:r>
              <w:rPr>
                <w:rFonts w:ascii="Arial" w:cs="Arial" w:eastAsia="Arial" w:hAnsi="Arial"/>
                <w:sz w:val="16"/>
                <w:szCs w:val="16"/>
                <w:color w:val="auto"/>
              </w:rPr>
              <w:t>Treasury stock, at cost; 12,760,956 and 12,054,268 shares at March 31, 2021 and December 31,</w:t>
            </w:r>
          </w:p>
        </w:tc>
        <w:tc>
          <w:tcPr>
            <w:tcW w:w="480" w:type="dxa"/>
            <w:vAlign w:val="bottom"/>
            <w:shd w:val="clear" w:color="auto" w:fill="F4F4F4"/>
          </w:tcPr>
          <w:p>
            <w:pPr>
              <w:spacing w:after="0"/>
              <w:rPr>
                <w:sz w:val="15"/>
                <w:szCs w:val="15"/>
                <w:color w:val="auto"/>
              </w:rPr>
            </w:pPr>
          </w:p>
        </w:tc>
        <w:tc>
          <w:tcPr>
            <w:tcW w:w="1160" w:type="dxa"/>
            <w:vAlign w:val="bottom"/>
            <w:shd w:val="clear" w:color="auto" w:fill="F4F4F4"/>
          </w:tcPr>
          <w:p>
            <w:pPr>
              <w:spacing w:after="0"/>
              <w:rPr>
                <w:sz w:val="15"/>
                <w:szCs w:val="15"/>
                <w:color w:val="auto"/>
              </w:rPr>
            </w:pPr>
          </w:p>
        </w:tc>
        <w:tc>
          <w:tcPr>
            <w:tcW w:w="400" w:type="dxa"/>
            <w:vAlign w:val="bottom"/>
            <w:shd w:val="clear" w:color="auto" w:fill="F4F4F4"/>
          </w:tcPr>
          <w:p>
            <w:pPr>
              <w:spacing w:after="0"/>
              <w:rPr>
                <w:sz w:val="15"/>
                <w:szCs w:val="15"/>
                <w:color w:val="auto"/>
              </w:rPr>
            </w:pPr>
          </w:p>
        </w:tc>
        <w:tc>
          <w:tcPr>
            <w:tcW w:w="124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2020, respectively</w:t>
            </w:r>
          </w:p>
        </w:tc>
        <w:tc>
          <w:tcPr>
            <w:tcW w:w="480" w:type="dxa"/>
            <w:vAlign w:val="bottom"/>
            <w:shd w:val="clear" w:color="auto" w:fill="F4F4F4"/>
          </w:tcPr>
          <w:p>
            <w:pPr>
              <w:spacing w:after="0"/>
              <w:rPr>
                <w:sz w:val="17"/>
                <w:szCs w:val="17"/>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(399,583)</w:t>
            </w:r>
          </w:p>
        </w:tc>
        <w:tc>
          <w:tcPr>
            <w:tcW w:w="400" w:type="dxa"/>
            <w:vAlign w:val="bottom"/>
            <w:shd w:val="clear" w:color="auto" w:fill="F4F4F4"/>
          </w:tcPr>
          <w:p>
            <w:pPr>
              <w:spacing w:after="0"/>
              <w:rPr>
                <w:sz w:val="17"/>
                <w:szCs w:val="17"/>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(353,091)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540"/>
              <w:spacing w:after="0"/>
              <w:rPr>
                <w:sz w:val="20"/>
                <w:szCs w:val="20"/>
                <w:color w:val="auto"/>
              </w:rPr>
            </w:pPr>
            <w:r>
              <w:rPr>
                <w:rFonts w:ascii="Arial" w:cs="Arial" w:eastAsia="Arial" w:hAnsi="Arial"/>
                <w:sz w:val="16"/>
                <w:szCs w:val="16"/>
                <w:color w:val="auto"/>
              </w:rPr>
              <w:t>Accumulated other comprehensive income (loss)</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4,163</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F4F4F4"/>
          </w:tcPr>
          <w:p>
            <w:pPr>
              <w:ind w:left="5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F4F4F4"/>
          </w:tcPr>
          <w:p>
            <w:pPr>
              <w:spacing w:after="0"/>
              <w:rPr>
                <w:sz w:val="19"/>
                <w:szCs w:val="19"/>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236,560</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236,714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920" w:type="dxa"/>
            <w:vAlign w:val="bottom"/>
            <w:tcBorders>
              <w:bottom w:val="single" w:sz="8" w:color="F4F4F4"/>
            </w:tcBorders>
          </w:tcPr>
          <w:p>
            <w:pPr>
              <w:ind w:left="1120"/>
              <w:spacing w:after="0"/>
              <w:rPr>
                <w:sz w:val="20"/>
                <w:szCs w:val="20"/>
                <w:color w:val="auto"/>
              </w:rPr>
            </w:pPr>
            <w:r>
              <w:rPr>
                <w:rFonts w:ascii="Arial" w:cs="Arial" w:eastAsia="Arial" w:hAnsi="Arial"/>
                <w:sz w:val="16"/>
                <w:szCs w:val="16"/>
                <w:b w:val="1"/>
                <w:bCs w:val="1"/>
                <w:color w:val="auto"/>
              </w:rPr>
              <w:t>Total stockholders’ equity</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416,160</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20" w:type="dxa"/>
            <w:vAlign w:val="bottom"/>
            <w:tcBorders>
              <w:bottom w:val="single" w:sz="8" w:color="71BF43"/>
            </w:tcBorders>
            <w:shd w:val="clear" w:color="auto" w:fill="F4F4F4"/>
          </w:tcPr>
          <w:p>
            <w:pPr>
              <w:ind w:left="1120"/>
              <w:spacing w:after="0"/>
              <w:rPr>
                <w:sz w:val="20"/>
                <w:szCs w:val="20"/>
                <w:color w:val="auto"/>
              </w:rPr>
            </w:pPr>
            <w:r>
              <w:rPr>
                <w:rFonts w:ascii="Arial" w:cs="Arial" w:eastAsia="Arial" w:hAnsi="Arial"/>
                <w:sz w:val="16"/>
                <w:szCs w:val="16"/>
                <w:b w:val="1"/>
                <w:bCs w:val="1"/>
                <w:color w:val="auto"/>
              </w:rPr>
              <w:t>Total liabilities and stockholders’ equity</w:t>
            </w:r>
          </w:p>
        </w:tc>
        <w:tc>
          <w:tcPr>
            <w:tcW w:w="480" w:type="dxa"/>
            <w:vAlign w:val="bottom"/>
            <w:tcBorders>
              <w:bottom w:val="single" w:sz="8" w:color="71BF43"/>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1,684,340</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2,044,734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293370</wp:posOffset>
            </wp:positionV>
            <wp:extent cx="6769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0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Blackbaud, Inc.</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Comprehensive Income</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30" w:type="dxa"/>
            <w:vAlign w:val="bottom"/>
            <w:shd w:val="clear" w:color="auto" w:fill="ACACAC"/>
          </w:tcPr>
          <w:p>
            <w:pPr>
              <w:spacing w:after="0"/>
              <w:rPr>
                <w:sz w:val="14"/>
                <w:szCs w:val="14"/>
                <w:color w:val="auto"/>
              </w:rPr>
            </w:pPr>
          </w:p>
        </w:tc>
        <w:tc>
          <w:tcPr>
            <w:tcW w:w="263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r>
      <w:tr>
        <w:trPr>
          <w:trHeight w:val="176"/>
        </w:trPr>
        <w:tc>
          <w:tcPr>
            <w:tcW w:w="8630" w:type="dxa"/>
            <w:vAlign w:val="bottom"/>
            <w:shd w:val="clear" w:color="auto" w:fill="ACACAC"/>
          </w:tcPr>
          <w:p>
            <w:pPr>
              <w:spacing w:after="0"/>
              <w:rPr>
                <w:sz w:val="15"/>
                <w:szCs w:val="15"/>
                <w:color w:val="auto"/>
              </w:rPr>
            </w:pPr>
          </w:p>
        </w:tc>
        <w:tc>
          <w:tcPr>
            <w:tcW w:w="1310" w:type="dxa"/>
            <w:vAlign w:val="bottom"/>
            <w:shd w:val="clear" w:color="auto" w:fill="ACACAC"/>
          </w:tcPr>
          <w:p>
            <w:pPr>
              <w:spacing w:after="0"/>
              <w:rPr>
                <w:sz w:val="15"/>
                <w:szCs w:val="15"/>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16"/>
        </w:trPr>
        <w:tc>
          <w:tcPr>
            <w:tcW w:w="863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-136525</wp:posOffset>
            </wp:positionV>
            <wp:extent cx="1671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8620" w:type="dxa"/>
            <w:vAlign w:val="bottom"/>
          </w:tcPr>
          <w:p>
            <w:pPr>
              <w:ind w:left="1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8620" w:type="dxa"/>
            <w:vAlign w:val="bottom"/>
          </w:tcPr>
          <w:p>
            <w:pPr>
              <w:ind w:left="360"/>
              <w:spacing w:after="0"/>
              <w:rPr>
                <w:sz w:val="20"/>
                <w:szCs w:val="20"/>
                <w:color w:val="auto"/>
              </w:rPr>
            </w:pPr>
            <w:r>
              <w:rPr>
                <w:rFonts w:ascii="Arial" w:cs="Arial" w:eastAsia="Arial" w:hAnsi="Arial"/>
                <w:sz w:val="16"/>
                <w:szCs w:val="16"/>
                <w:color w:val="auto"/>
              </w:rPr>
              <w:t>Recurring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206,750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204,867</w:t>
            </w:r>
          </w:p>
        </w:tc>
      </w:tr>
      <w:tr>
        <w:trPr>
          <w:trHeight w:val="219"/>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One-time services and other</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12,441</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18,754</w:t>
            </w:r>
          </w:p>
        </w:tc>
      </w:tr>
      <w:tr>
        <w:trPr>
          <w:trHeight w:val="206"/>
        </w:trPr>
        <w:tc>
          <w:tcPr>
            <w:tcW w:w="8620" w:type="dxa"/>
            <w:vAlign w:val="bottom"/>
          </w:tcPr>
          <w:p>
            <w:pPr>
              <w:ind w:left="56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219,191</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223,621</w:t>
            </w:r>
          </w:p>
        </w:tc>
      </w:tr>
      <w:tr>
        <w:trPr>
          <w:trHeight w:val="219"/>
        </w:trPr>
        <w:tc>
          <w:tcPr>
            <w:tcW w:w="862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Cost of revenue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Cost of recurring</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88,865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89,551</w:t>
            </w:r>
          </w:p>
        </w:tc>
      </w:tr>
      <w:tr>
        <w:trPr>
          <w:trHeight w:val="219"/>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Cost of one-time services and other</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14,520</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15,314</w:t>
            </w:r>
          </w:p>
        </w:tc>
      </w:tr>
      <w:tr>
        <w:trPr>
          <w:trHeight w:val="206"/>
        </w:trPr>
        <w:tc>
          <w:tcPr>
            <w:tcW w:w="8620" w:type="dxa"/>
            <w:vAlign w:val="bottom"/>
            <w:tcBorders>
              <w:bottom w:val="single" w:sz="8" w:color="F4F4F4"/>
            </w:tcBorders>
          </w:tcPr>
          <w:p>
            <w:pPr>
              <w:ind w:left="560"/>
              <w:spacing w:after="0"/>
              <w:rPr>
                <w:sz w:val="20"/>
                <w:szCs w:val="20"/>
                <w:color w:val="auto"/>
              </w:rPr>
            </w:pPr>
            <w:r>
              <w:rPr>
                <w:rFonts w:ascii="Arial" w:cs="Arial" w:eastAsia="Arial" w:hAnsi="Arial"/>
                <w:sz w:val="16"/>
                <w:szCs w:val="16"/>
                <w:b w:val="1"/>
                <w:bCs w:val="1"/>
                <w:color w:val="auto"/>
              </w:rPr>
              <w:t>Total cost of revenue</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103,385</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104,865</w:t>
            </w:r>
          </w:p>
        </w:tc>
      </w:tr>
      <w:tr>
        <w:trPr>
          <w:trHeight w:val="213"/>
        </w:trPr>
        <w:tc>
          <w:tcPr>
            <w:tcW w:w="862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115,806</w:t>
            </w:r>
          </w:p>
        </w:tc>
        <w:tc>
          <w:tcPr>
            <w:tcW w:w="28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118,756</w:t>
            </w:r>
          </w:p>
        </w:tc>
      </w:tr>
      <w:tr>
        <w:trPr>
          <w:trHeight w:val="195"/>
        </w:trPr>
        <w:tc>
          <w:tcPr>
            <w:tcW w:w="8620" w:type="dxa"/>
            <w:vAlign w:val="bottom"/>
          </w:tcPr>
          <w:p>
            <w:pPr>
              <w:ind w:left="14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7"/>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Sales, marketing and customer success</w:t>
            </w:r>
          </w:p>
        </w:tc>
        <w:tc>
          <w:tcPr>
            <w:tcW w:w="26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48,793</w:t>
            </w:r>
          </w:p>
        </w:tc>
        <w:tc>
          <w:tcPr>
            <w:tcW w:w="28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58,735</w:t>
            </w: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29,179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24,977</w:t>
            </w:r>
          </w:p>
        </w:tc>
      </w:tr>
      <w:tr>
        <w:trPr>
          <w:trHeight w:val="219"/>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30,587</w:t>
            </w: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25,855</w:t>
            </w: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19"/>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54</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w:t>
            </w:r>
          </w:p>
        </w:tc>
      </w:tr>
      <w:tr>
        <w:trPr>
          <w:trHeight w:val="206"/>
        </w:trPr>
        <w:tc>
          <w:tcPr>
            <w:tcW w:w="8620" w:type="dxa"/>
            <w:vAlign w:val="bottom"/>
            <w:tcBorders>
              <w:bottom w:val="single" w:sz="8" w:color="F4F4F4"/>
            </w:tcBorders>
          </w:tcPr>
          <w:p>
            <w:pPr>
              <w:ind w:left="56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109,162</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110,332</w:t>
            </w:r>
          </w:p>
        </w:tc>
      </w:tr>
      <w:tr>
        <w:trPr>
          <w:trHeight w:val="213"/>
        </w:trPr>
        <w:tc>
          <w:tcPr>
            <w:tcW w:w="862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Income from operations</w:t>
            </w:r>
          </w:p>
        </w:tc>
        <w:tc>
          <w:tcPr>
            <w:tcW w:w="26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6,644</w:t>
            </w:r>
          </w:p>
        </w:tc>
        <w:tc>
          <w:tcPr>
            <w:tcW w:w="280" w:type="dxa"/>
            <w:vAlign w:val="bottom"/>
            <w:tcBorders>
              <w:bottom w:val="single" w:sz="8" w:color="auto"/>
            </w:tcBorders>
            <w:shd w:val="clear" w:color="auto" w:fill="F4F4F4"/>
          </w:tcPr>
          <w:p>
            <w:pPr>
              <w:spacing w:after="0"/>
              <w:rPr>
                <w:sz w:val="18"/>
                <w:szCs w:val="18"/>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8,424</w:t>
            </w:r>
          </w:p>
        </w:tc>
      </w:tr>
      <w:tr>
        <w:trPr>
          <w:trHeight w:val="207"/>
        </w:trPr>
        <w:tc>
          <w:tcPr>
            <w:tcW w:w="862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(5,114)</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(4,159)</w:t>
            </w:r>
          </w:p>
        </w:tc>
      </w:tr>
      <w:tr>
        <w:trPr>
          <w:trHeight w:val="219"/>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(1,010)</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1,070</w:t>
            </w:r>
          </w:p>
        </w:tc>
      </w:tr>
      <w:tr>
        <w:trPr>
          <w:trHeight w:val="206"/>
        </w:trPr>
        <w:tc>
          <w:tcPr>
            <w:tcW w:w="8620" w:type="dxa"/>
            <w:vAlign w:val="bottom"/>
          </w:tcPr>
          <w:p>
            <w:pPr>
              <w:ind w:left="140"/>
              <w:spacing w:after="0"/>
              <w:rPr>
                <w:sz w:val="20"/>
                <w:szCs w:val="20"/>
                <w:color w:val="auto"/>
              </w:rPr>
            </w:pPr>
            <w:r>
              <w:rPr>
                <w:rFonts w:ascii="Arial" w:cs="Arial" w:eastAsia="Arial" w:hAnsi="Arial"/>
                <w:sz w:val="16"/>
                <w:szCs w:val="16"/>
                <w:b w:val="1"/>
                <w:bCs w:val="1"/>
                <w:color w:val="auto"/>
              </w:rPr>
              <w:t>Income before provision for income taxes</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5,335</w:t>
            </w:r>
          </w:p>
        </w:tc>
      </w:tr>
      <w:tr>
        <w:trPr>
          <w:trHeight w:val="219"/>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684</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696</w:t>
            </w:r>
          </w:p>
        </w:tc>
      </w:tr>
      <w:tr>
        <w:trPr>
          <w:trHeight w:val="206"/>
        </w:trPr>
        <w:tc>
          <w:tcPr>
            <w:tcW w:w="8620" w:type="dxa"/>
            <w:vAlign w:val="bottom"/>
            <w:tcBorders>
              <w:bottom w:val="single" w:sz="8" w:color="F4F4F4"/>
            </w:tcBorders>
          </w:tcPr>
          <w:p>
            <w:pPr>
              <w:ind w:left="140"/>
              <w:spacing w:after="0"/>
              <w:rPr>
                <w:sz w:val="20"/>
                <w:szCs w:val="20"/>
                <w:color w:val="auto"/>
              </w:rPr>
            </w:pPr>
            <w:r>
              <w:rPr>
                <w:rFonts w:ascii="Arial" w:cs="Arial" w:eastAsia="Arial" w:hAnsi="Arial"/>
                <w:sz w:val="16"/>
                <w:szCs w:val="16"/>
                <w:b w:val="1"/>
                <w:bCs w:val="1"/>
                <w:color w:val="auto"/>
              </w:rPr>
              <w:t>Net (loss)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4,639</w:t>
            </w:r>
          </w:p>
        </w:tc>
      </w:tr>
      <w:tr>
        <w:trPr>
          <w:trHeight w:val="199"/>
        </w:trPr>
        <w:tc>
          <w:tcPr>
            <w:tcW w:w="862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Earnings (loss) per share</w:t>
            </w:r>
          </w:p>
        </w:tc>
        <w:tc>
          <w:tcPr>
            <w:tcW w:w="26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c>
          <w:tcPr>
            <w:tcW w:w="280" w:type="dxa"/>
            <w:vAlign w:val="bottom"/>
            <w:shd w:val="clear" w:color="auto" w:fill="F4F4F4"/>
          </w:tcPr>
          <w:p>
            <w:pPr>
              <w:spacing w:after="0"/>
              <w:rPr>
                <w:sz w:val="17"/>
                <w:szCs w:val="17"/>
                <w:color w:val="auto"/>
              </w:rPr>
            </w:pPr>
          </w:p>
        </w:tc>
        <w:tc>
          <w:tcPr>
            <w:tcW w:w="1040" w:type="dxa"/>
            <w:vAlign w:val="bottom"/>
            <w:shd w:val="clear" w:color="auto" w:fill="F4F4F4"/>
          </w:tcPr>
          <w:p>
            <w:pPr>
              <w:spacing w:after="0"/>
              <w:rPr>
                <w:sz w:val="17"/>
                <w:szCs w:val="17"/>
                <w:color w:val="auto"/>
              </w:rPr>
            </w:pP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79"/>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19"/>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F4F4F4"/>
          </w:tcPr>
          <w:p>
            <w:pPr>
              <w:jc w:val="right"/>
              <w:ind w:right="79"/>
              <w:spacing w:after="0"/>
              <w:rPr>
                <w:sz w:val="20"/>
                <w:szCs w:val="20"/>
                <w:color w:val="auto"/>
              </w:rPr>
            </w:pPr>
            <w:r>
              <w:rPr>
                <w:rFonts w:ascii="Arial" w:cs="Arial" w:eastAsia="Arial" w:hAnsi="Arial"/>
                <w:sz w:val="16"/>
                <w:szCs w:val="16"/>
                <w:color w:val="auto"/>
              </w:rPr>
              <w:t>— $</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0.10</w:t>
            </w:r>
          </w:p>
        </w:tc>
      </w:tr>
      <w:tr>
        <w:trPr>
          <w:trHeight w:val="215"/>
        </w:trPr>
        <w:tc>
          <w:tcPr>
            <w:tcW w:w="8620" w:type="dxa"/>
            <w:vAlign w:val="bottom"/>
          </w:tcPr>
          <w:p>
            <w:pPr>
              <w:ind w:left="140"/>
              <w:spacing w:after="0"/>
              <w:rPr>
                <w:sz w:val="20"/>
                <w:szCs w:val="20"/>
                <w:color w:val="auto"/>
              </w:rPr>
            </w:pPr>
            <w:r>
              <w:rPr>
                <w:rFonts w:ascii="Arial" w:cs="Arial" w:eastAsia="Arial" w:hAnsi="Arial"/>
                <w:sz w:val="16"/>
                <w:szCs w:val="16"/>
                <w:b w:val="1"/>
                <w:bCs w:val="1"/>
                <w:color w:val="auto"/>
              </w:rPr>
              <w:t>Common shares and equivalents outstanding</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8620" w:type="dxa"/>
            <w:vAlign w:val="bottom"/>
            <w:shd w:val="clear" w:color="auto" w:fill="F4F4F4"/>
          </w:tcPr>
          <w:p>
            <w:pPr>
              <w:ind w:left="360"/>
              <w:spacing w:after="0"/>
              <w:rPr>
                <w:sz w:val="20"/>
                <w:szCs w:val="20"/>
                <w:color w:val="auto"/>
              </w:rPr>
            </w:pPr>
            <w:r>
              <w:rPr>
                <w:rFonts w:ascii="Arial" w:cs="Arial" w:eastAsia="Arial" w:hAnsi="Arial"/>
                <w:sz w:val="16"/>
                <w:szCs w:val="16"/>
                <w:color w:val="auto"/>
              </w:rPr>
              <w:t>Basic weighted average shares</w:t>
            </w:r>
          </w:p>
        </w:tc>
        <w:tc>
          <w:tcPr>
            <w:tcW w:w="26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47,363,197</w:t>
            </w:r>
          </w:p>
        </w:tc>
        <w:tc>
          <w:tcPr>
            <w:tcW w:w="280" w:type="dxa"/>
            <w:vAlign w:val="bottom"/>
            <w:shd w:val="clear" w:color="auto" w:fill="F4F4F4"/>
          </w:tcPr>
          <w:p>
            <w:pPr>
              <w:spacing w:after="0"/>
              <w:rPr>
                <w:sz w:val="18"/>
                <w:szCs w:val="18"/>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48,036,300</w:t>
            </w:r>
          </w:p>
        </w:tc>
      </w:tr>
      <w:tr>
        <w:trPr>
          <w:trHeight w:val="213"/>
        </w:trPr>
        <w:tc>
          <w:tcPr>
            <w:tcW w:w="8620" w:type="dxa"/>
            <w:vAlign w:val="bottom"/>
          </w:tcPr>
          <w:p>
            <w:pPr>
              <w:ind w:left="360"/>
              <w:spacing w:after="0"/>
              <w:rPr>
                <w:sz w:val="20"/>
                <w:szCs w:val="20"/>
                <w:color w:val="auto"/>
              </w:rPr>
            </w:pPr>
            <w:r>
              <w:rPr>
                <w:rFonts w:ascii="Arial" w:cs="Arial" w:eastAsia="Arial" w:hAnsi="Arial"/>
                <w:sz w:val="16"/>
                <w:szCs w:val="16"/>
                <w:color w:val="auto"/>
              </w:rPr>
              <w:t>Diluted weighted average shares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47,363,197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48,455,751</w:t>
            </w:r>
          </w:p>
        </w:tc>
      </w:tr>
      <w:tr>
        <w:trPr>
          <w:trHeight w:val="219"/>
        </w:trPr>
        <w:tc>
          <w:tcPr>
            <w:tcW w:w="862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Other comprehensive income (loss)</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13"/>
        </w:trPr>
        <w:tc>
          <w:tcPr>
            <w:tcW w:w="8620" w:type="dxa"/>
            <w:vAlign w:val="bottom"/>
          </w:tcPr>
          <w:p>
            <w:pPr>
              <w:ind w:left="40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(5,728)</w:t>
            </w:r>
          </w:p>
        </w:tc>
      </w:tr>
      <w:tr>
        <w:trPr>
          <w:trHeight w:val="219"/>
        </w:trPr>
        <w:tc>
          <w:tcPr>
            <w:tcW w:w="8620" w:type="dxa"/>
            <w:vAlign w:val="bottom"/>
            <w:shd w:val="clear" w:color="auto" w:fill="F4F4F4"/>
          </w:tcPr>
          <w:p>
            <w:pPr>
              <w:ind w:left="400"/>
              <w:spacing w:after="0"/>
              <w:rPr>
                <w:sz w:val="20"/>
                <w:szCs w:val="20"/>
                <w:color w:val="auto"/>
              </w:rPr>
            </w:pPr>
            <w:r>
              <w:rPr>
                <w:rFonts w:ascii="Arial" w:cs="Arial" w:eastAsia="Arial" w:hAnsi="Arial"/>
                <w:sz w:val="16"/>
                <w:szCs w:val="16"/>
                <w:color w:val="auto"/>
              </w:rPr>
              <w:t>Unrealized gain (loss) on derivative instruments, net of tax</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4,149</w:t>
            </w:r>
          </w:p>
        </w:tc>
        <w:tc>
          <w:tcPr>
            <w:tcW w:w="28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(3,122)</w:t>
            </w:r>
          </w:p>
        </w:tc>
      </w:tr>
      <w:tr>
        <w:trPr>
          <w:trHeight w:val="206"/>
        </w:trPr>
        <w:tc>
          <w:tcPr>
            <w:tcW w:w="8620" w:type="dxa"/>
            <w:vAlign w:val="bottom"/>
            <w:tcBorders>
              <w:bottom w:val="single" w:sz="8" w:color="F4F4F4"/>
            </w:tcBorders>
          </w:tcPr>
          <w:p>
            <w:pPr>
              <w:ind w:left="560"/>
              <w:spacing w:after="0"/>
              <w:rPr>
                <w:sz w:val="20"/>
                <w:szCs w:val="20"/>
                <w:color w:val="auto"/>
              </w:rPr>
            </w:pPr>
            <w:r>
              <w:rPr>
                <w:rFonts w:ascii="Arial" w:cs="Arial" w:eastAsia="Arial" w:hAnsi="Arial"/>
                <w:sz w:val="16"/>
                <w:szCs w:val="16"/>
                <w:b w:val="1"/>
                <w:bCs w:val="1"/>
                <w:color w:val="auto"/>
              </w:rPr>
              <w:t>Total other comprehensive income (loss)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r>
      <w:tr>
        <w:trPr>
          <w:trHeight w:val="210"/>
        </w:trPr>
        <w:tc>
          <w:tcPr>
            <w:tcW w:w="862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6"/>
                <w:szCs w:val="16"/>
                <w:b w:val="1"/>
                <w:bCs w:val="1"/>
                <w:color w:val="auto"/>
              </w:rPr>
              <w:t>Comprehensive income (loss)</w:t>
            </w: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6,496</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(4,211)</w:t>
            </w: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4</w:t>
      </w:r>
      <w:r>
        <w:rPr>
          <w:sz w:val="20"/>
          <w:szCs w:val="20"/>
          <w:color w:val="auto"/>
        </w:rPr>
        <w:tab/>
      </w:r>
      <w:r>
        <w:rPr>
          <w:sz w:val="1"/>
          <w:szCs w:val="1"/>
          <w:color w:val="auto"/>
        </w:rPr>
        <w:drawing>
          <wp:inline distT="0" distB="0" distL="0" distR="0">
            <wp:extent cx="67691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4"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Blackbaud, Inc.</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780" w:type="dxa"/>
            <w:vAlign w:val="bottom"/>
            <w:shd w:val="clear" w:color="auto" w:fill="ACACAC"/>
          </w:tcPr>
          <w:p>
            <w:pPr>
              <w:spacing w:after="0"/>
              <w:rPr>
                <w:sz w:val="14"/>
                <w:szCs w:val="14"/>
                <w:color w:val="auto"/>
              </w:rPr>
            </w:pPr>
          </w:p>
        </w:tc>
        <w:tc>
          <w:tcPr>
            <w:tcW w:w="300" w:type="dxa"/>
            <w:vAlign w:val="bottom"/>
            <w:shd w:val="clear" w:color="auto" w:fill="ACACAC"/>
          </w:tcPr>
          <w:p>
            <w:pPr>
              <w:spacing w:after="0"/>
              <w:rPr>
                <w:sz w:val="14"/>
                <w:szCs w:val="14"/>
                <w:color w:val="auto"/>
              </w:rPr>
            </w:pPr>
          </w:p>
        </w:tc>
        <w:tc>
          <w:tcPr>
            <w:tcW w:w="212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6"/>
        </w:trPr>
        <w:tc>
          <w:tcPr>
            <w:tcW w:w="878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920" w:type="dxa"/>
            <w:vAlign w:val="bottom"/>
            <w:shd w:val="clear" w:color="auto" w:fill="ACACAC"/>
          </w:tcPr>
          <w:p>
            <w:pPr>
              <w:spacing w:after="0"/>
              <w:rPr>
                <w:sz w:val="15"/>
                <w:szCs w:val="15"/>
                <w:color w:val="auto"/>
              </w:rPr>
            </w:pPr>
          </w:p>
        </w:tc>
        <w:tc>
          <w:tcPr>
            <w:tcW w:w="300" w:type="dxa"/>
            <w:vAlign w:val="bottom"/>
            <w:shd w:val="clear" w:color="auto" w:fill="ACACAC"/>
          </w:tcPr>
          <w:p>
            <w:pPr>
              <w:spacing w:after="0"/>
              <w:rPr>
                <w:sz w:val="15"/>
                <w:szCs w:val="15"/>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87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00" w:type="dxa"/>
            <w:vAlign w:val="bottom"/>
            <w:shd w:val="clear" w:color="auto" w:fill="ACACAC"/>
          </w:tcPr>
          <w:p>
            <w:pPr>
              <w:spacing w:after="0"/>
              <w:rPr>
                <w:sz w:val="18"/>
                <w:szCs w:val="18"/>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00" w:type="dxa"/>
            <w:vAlign w:val="bottom"/>
            <w:shd w:val="clear" w:color="auto" w:fill="ACACAC"/>
          </w:tcPr>
          <w:p>
            <w:pPr>
              <w:spacing w:after="0"/>
              <w:rPr>
                <w:sz w:val="18"/>
                <w:szCs w:val="18"/>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216"/>
        </w:trPr>
        <w:tc>
          <w:tcPr>
            <w:tcW w:w="878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F4F4F4"/>
          </w:tcPr>
          <w:p>
            <w:pPr>
              <w:spacing w:after="0"/>
              <w:rPr>
                <w:sz w:val="18"/>
                <w:szCs w:val="18"/>
                <w:color w:val="auto"/>
              </w:rPr>
            </w:pPr>
          </w:p>
        </w:tc>
        <w:tc>
          <w:tcPr>
            <w:tcW w:w="920" w:type="dxa"/>
            <w:vAlign w:val="bottom"/>
            <w:shd w:val="clear" w:color="auto" w:fill="F4F4F4"/>
          </w:tcPr>
          <w:p>
            <w:pPr>
              <w:spacing w:after="0"/>
              <w:rPr>
                <w:sz w:val="18"/>
                <w:szCs w:val="18"/>
                <w:color w:val="auto"/>
              </w:rPr>
            </w:pPr>
          </w:p>
        </w:tc>
        <w:tc>
          <w:tcPr>
            <w:tcW w:w="300" w:type="dxa"/>
            <w:vAlign w:val="bottom"/>
            <w:shd w:val="clear" w:color="auto" w:fill="F4F4F4"/>
          </w:tcPr>
          <w:p>
            <w:pPr>
              <w:spacing w:after="0"/>
              <w:rPr>
                <w:sz w:val="18"/>
                <w:szCs w:val="18"/>
                <w:color w:val="auto"/>
              </w:rPr>
            </w:pPr>
          </w:p>
        </w:tc>
        <w:tc>
          <w:tcPr>
            <w:tcW w:w="90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Net (loss)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4,639</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Adjustments to reconcile net (loss) income to net cash provided by (used in) operating activities:</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878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20,461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21,804</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540"/>
              <w:spacing w:after="0"/>
              <w:rPr>
                <w:sz w:val="20"/>
                <w:szCs w:val="20"/>
                <w:color w:val="auto"/>
              </w:rPr>
            </w:pPr>
            <w:r>
              <w:rPr>
                <w:rFonts w:ascii="Arial" w:cs="Arial" w:eastAsia="Arial" w:hAnsi="Arial"/>
                <w:sz w:val="16"/>
                <w:szCs w:val="16"/>
                <w:color w:val="auto"/>
              </w:rPr>
              <w:t>Provision for credit losses and sales returns</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2,141</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2,488</w:t>
            </w:r>
          </w:p>
        </w:tc>
        <w:tc>
          <w:tcPr>
            <w:tcW w:w="20" w:type="dxa"/>
            <w:vAlign w:val="bottom"/>
          </w:tcPr>
          <w:p>
            <w:pPr>
              <w:spacing w:after="0"/>
              <w:rPr>
                <w:sz w:val="19"/>
                <w:szCs w:val="19"/>
                <w:color w:val="auto"/>
              </w:rPr>
            </w:pPr>
          </w:p>
        </w:tc>
      </w:tr>
      <w:tr>
        <w:trPr>
          <w:trHeight w:val="213"/>
        </w:trPr>
        <w:tc>
          <w:tcPr>
            <w:tcW w:w="8780" w:type="dxa"/>
            <w:vAlign w:val="bottom"/>
          </w:tcPr>
          <w:p>
            <w:pPr>
              <w:ind w:left="54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13,580</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540"/>
              <w:spacing w:after="0"/>
              <w:rPr>
                <w:sz w:val="20"/>
                <w:szCs w:val="20"/>
                <w:color w:val="auto"/>
              </w:rPr>
            </w:pPr>
            <w:r>
              <w:rPr>
                <w:rFonts w:ascii="Arial" w:cs="Arial" w:eastAsia="Arial" w:hAnsi="Arial"/>
                <w:sz w:val="16"/>
                <w:szCs w:val="16"/>
                <w:color w:val="auto"/>
              </w:rPr>
              <w:t>Deferred taxes</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(1,142)</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954</w:t>
            </w:r>
          </w:p>
        </w:tc>
        <w:tc>
          <w:tcPr>
            <w:tcW w:w="20" w:type="dxa"/>
            <w:vAlign w:val="bottom"/>
          </w:tcPr>
          <w:p>
            <w:pPr>
              <w:spacing w:after="0"/>
              <w:rPr>
                <w:sz w:val="19"/>
                <w:szCs w:val="19"/>
                <w:color w:val="auto"/>
              </w:rPr>
            </w:pPr>
          </w:p>
        </w:tc>
      </w:tr>
      <w:tr>
        <w:trPr>
          <w:trHeight w:val="213"/>
        </w:trPr>
        <w:tc>
          <w:tcPr>
            <w:tcW w:w="8780" w:type="dxa"/>
            <w:vAlign w:val="bottom"/>
          </w:tcPr>
          <w:p>
            <w:pPr>
              <w:ind w:left="540"/>
              <w:spacing w:after="0"/>
              <w:rPr>
                <w:sz w:val="20"/>
                <w:szCs w:val="20"/>
                <w:color w:val="auto"/>
              </w:rPr>
            </w:pPr>
            <w:r>
              <w:rPr>
                <w:rFonts w:ascii="Arial" w:cs="Arial" w:eastAsia="Arial" w:hAnsi="Arial"/>
                <w:sz w:val="16"/>
                <w:szCs w:val="16"/>
                <w:color w:val="auto"/>
              </w:rPr>
              <w:t>Amortization of deferred financing costs and discount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540"/>
              <w:spacing w:after="0"/>
              <w:rPr>
                <w:sz w:val="20"/>
                <w:szCs w:val="20"/>
                <w:color w:val="auto"/>
              </w:rPr>
            </w:pPr>
            <w:r>
              <w:rPr>
                <w:rFonts w:ascii="Arial" w:cs="Arial" w:eastAsia="Arial" w:hAnsi="Arial"/>
                <w:sz w:val="16"/>
                <w:szCs w:val="16"/>
                <w:color w:val="auto"/>
              </w:rPr>
              <w:t>Other non-cash adjustments</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(32)</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9"/>
                <w:szCs w:val="19"/>
                <w:color w:val="auto"/>
              </w:rPr>
            </w:pPr>
          </w:p>
        </w:tc>
      </w:tr>
      <w:tr>
        <w:trPr>
          <w:trHeight w:val="213"/>
        </w:trPr>
        <w:tc>
          <w:tcPr>
            <w:tcW w:w="87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 net of acquisition and disposal of businesses: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10,407</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(3,876)</w:t>
            </w:r>
          </w:p>
        </w:tc>
        <w:tc>
          <w:tcPr>
            <w:tcW w:w="20" w:type="dxa"/>
            <w:vAlign w:val="bottom"/>
          </w:tcPr>
          <w:p>
            <w:pPr>
              <w:spacing w:after="0"/>
              <w:rPr>
                <w:sz w:val="19"/>
                <w:szCs w:val="19"/>
                <w:color w:val="auto"/>
              </w:rPr>
            </w:pPr>
          </w:p>
        </w:tc>
      </w:tr>
      <w:tr>
        <w:trPr>
          <w:trHeight w:val="213"/>
        </w:trPr>
        <w:tc>
          <w:tcPr>
            <w:tcW w:w="878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(17,426)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(5,303)</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Trade accounts payable</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7,550</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(4,021)</w:t>
            </w:r>
          </w:p>
        </w:tc>
        <w:tc>
          <w:tcPr>
            <w:tcW w:w="20" w:type="dxa"/>
            <w:vAlign w:val="bottom"/>
          </w:tcPr>
          <w:p>
            <w:pPr>
              <w:spacing w:after="0"/>
              <w:rPr>
                <w:sz w:val="19"/>
                <w:szCs w:val="19"/>
                <w:color w:val="auto"/>
              </w:rPr>
            </w:pPr>
          </w:p>
        </w:tc>
      </w:tr>
      <w:tr>
        <w:trPr>
          <w:trHeight w:val="213"/>
        </w:trPr>
        <w:tc>
          <w:tcPr>
            <w:tcW w:w="8780" w:type="dxa"/>
            <w:vAlign w:val="bottom"/>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(31,694)</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(22,752)</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(23,364)</w:t>
            </w:r>
          </w:p>
        </w:tc>
        <w:tc>
          <w:tcPr>
            <w:tcW w:w="20" w:type="dxa"/>
            <w:vAlign w:val="bottom"/>
          </w:tcPr>
          <w:p>
            <w:pPr>
              <w:spacing w:after="0"/>
              <w:rPr>
                <w:sz w:val="19"/>
                <w:szCs w:val="19"/>
                <w:color w:val="auto"/>
              </w:rPr>
            </w:pPr>
          </w:p>
        </w:tc>
      </w:tr>
      <w:tr>
        <w:trPr>
          <w:trHeight w:val="207"/>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30,103</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(24,503)</w:t>
            </w:r>
          </w:p>
        </w:tc>
        <w:tc>
          <w:tcPr>
            <w:tcW w:w="20" w:type="dxa"/>
            <w:vAlign w:val="bottom"/>
          </w:tcPr>
          <w:p>
            <w:pPr>
              <w:spacing w:after="0"/>
              <w:rPr>
                <w:sz w:val="17"/>
                <w:szCs w:val="17"/>
                <w:color w:val="auto"/>
              </w:rPr>
            </w:pPr>
          </w:p>
        </w:tc>
      </w:tr>
      <w:tr>
        <w:trPr>
          <w:trHeight w:val="219"/>
        </w:trPr>
        <w:tc>
          <w:tcPr>
            <w:tcW w:w="878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8780" w:type="dxa"/>
            <w:vAlign w:val="bottom"/>
          </w:tcPr>
          <w:p>
            <w:pPr>
              <w:ind w:left="34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(2,867)</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(9,302)</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(10,937)</w:t>
            </w:r>
          </w:p>
        </w:tc>
        <w:tc>
          <w:tcPr>
            <w:tcW w:w="20" w:type="dxa"/>
            <w:vAlign w:val="bottom"/>
          </w:tcPr>
          <w:p>
            <w:pPr>
              <w:spacing w:after="0"/>
              <w:rPr>
                <w:sz w:val="19"/>
                <w:szCs w:val="19"/>
                <w:color w:val="auto"/>
              </w:rPr>
            </w:pPr>
          </w:p>
        </w:tc>
      </w:tr>
      <w:tr>
        <w:trPr>
          <w:trHeight w:val="206"/>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(12,772)</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(13,804)</w:t>
            </w:r>
          </w:p>
        </w:tc>
        <w:tc>
          <w:tcPr>
            <w:tcW w:w="20" w:type="dxa"/>
            <w:vAlign w:val="bottom"/>
          </w:tcPr>
          <w:p>
            <w:pPr>
              <w:spacing w:after="0"/>
              <w:rPr>
                <w:sz w:val="17"/>
                <w:szCs w:val="17"/>
                <w:color w:val="auto"/>
              </w:rPr>
            </w:pPr>
          </w:p>
        </w:tc>
      </w:tr>
      <w:tr>
        <w:trPr>
          <w:trHeight w:val="219"/>
        </w:trPr>
        <w:tc>
          <w:tcPr>
            <w:tcW w:w="8780" w:type="dxa"/>
            <w:vAlign w:val="bottom"/>
            <w:shd w:val="clear" w:color="auto" w:fill="F4F4F4"/>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8780" w:type="dxa"/>
            <w:vAlign w:val="bottom"/>
          </w:tcPr>
          <w:p>
            <w:pPr>
              <w:ind w:left="340"/>
              <w:spacing w:after="0"/>
              <w:rPr>
                <w:sz w:val="20"/>
                <w:szCs w:val="20"/>
                <w:color w:val="auto"/>
              </w:rPr>
            </w:pPr>
            <w:r>
              <w:rPr>
                <w:rFonts w:ascii="Arial" w:cs="Arial" w:eastAsia="Arial" w:hAnsi="Arial"/>
                <w:sz w:val="16"/>
                <w:szCs w:val="16"/>
                <w:color w:val="auto"/>
              </w:rPr>
              <w:t>Proceeds from issuance of debt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80,700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144,700</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Payments on debt</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(59,667)</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(86,075)</w:t>
            </w:r>
          </w:p>
        </w:tc>
        <w:tc>
          <w:tcPr>
            <w:tcW w:w="20" w:type="dxa"/>
            <w:vAlign w:val="bottom"/>
          </w:tcPr>
          <w:p>
            <w:pPr>
              <w:spacing w:after="0"/>
              <w:rPr>
                <w:sz w:val="19"/>
                <w:szCs w:val="19"/>
                <w:color w:val="auto"/>
              </w:rPr>
            </w:pPr>
          </w:p>
        </w:tc>
      </w:tr>
      <w:tr>
        <w:trPr>
          <w:trHeight w:val="213"/>
        </w:trPr>
        <w:tc>
          <w:tcPr>
            <w:tcW w:w="8780" w:type="dxa"/>
            <w:vAlign w:val="bottom"/>
          </w:tcPr>
          <w:p>
            <w:pPr>
              <w:ind w:left="340"/>
              <w:spacing w:after="0"/>
              <w:rPr>
                <w:sz w:val="20"/>
                <w:szCs w:val="20"/>
                <w:color w:val="auto"/>
              </w:rPr>
            </w:pPr>
            <w:r>
              <w:rPr>
                <w:rFonts w:ascii="Arial" w:cs="Arial" w:eastAsia="Arial" w:hAnsi="Arial"/>
                <w:sz w:val="16"/>
                <w:szCs w:val="16"/>
                <w:color w:val="auto"/>
              </w:rPr>
              <w:t>Employee taxes paid for withheld shares upon equity award settlement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(18,426)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(19,782)</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r>
      <w:tr>
        <w:trPr>
          <w:trHeight w:val="213"/>
        </w:trPr>
        <w:tc>
          <w:tcPr>
            <w:tcW w:w="8780" w:type="dxa"/>
            <w:vAlign w:val="bottom"/>
          </w:tcPr>
          <w:p>
            <w:pPr>
              <w:ind w:left="340"/>
              <w:spacing w:after="0"/>
              <w:rPr>
                <w:sz w:val="20"/>
                <w:szCs w:val="20"/>
                <w:color w:val="auto"/>
              </w:rPr>
            </w:pPr>
            <w:r>
              <w:rPr>
                <w:rFonts w:ascii="Arial" w:cs="Arial" w:eastAsia="Arial" w:hAnsi="Arial"/>
                <w:sz w:val="16"/>
                <w:szCs w:val="16"/>
                <w:color w:val="auto"/>
              </w:rPr>
              <w:t>Change in due to customers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(353,597)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(311,095)</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Change in customer funds receivable</w:t>
            </w:r>
          </w:p>
        </w:tc>
        <w:tc>
          <w:tcPr>
            <w:tcW w:w="30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(563)</w:t>
            </w:r>
          </w:p>
        </w:tc>
        <w:tc>
          <w:tcPr>
            <w:tcW w:w="3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(733)</w:t>
            </w:r>
          </w:p>
        </w:tc>
        <w:tc>
          <w:tcPr>
            <w:tcW w:w="20" w:type="dxa"/>
            <w:vAlign w:val="bottom"/>
          </w:tcPr>
          <w:p>
            <w:pPr>
              <w:spacing w:after="0"/>
              <w:rPr>
                <w:sz w:val="19"/>
                <w:szCs w:val="19"/>
                <w:color w:val="auto"/>
              </w:rPr>
            </w:pPr>
          </w:p>
        </w:tc>
      </w:tr>
      <w:tr>
        <w:trPr>
          <w:trHeight w:val="213"/>
        </w:trPr>
        <w:tc>
          <w:tcPr>
            <w:tcW w:w="8780" w:type="dxa"/>
            <w:vAlign w:val="bottom"/>
          </w:tcPr>
          <w:p>
            <w:pPr>
              <w:ind w:left="340"/>
              <w:spacing w:after="0"/>
              <w:rPr>
                <w:sz w:val="20"/>
                <w:szCs w:val="20"/>
                <w:color w:val="auto"/>
              </w:rPr>
            </w:pPr>
            <w:r>
              <w:rPr>
                <w:rFonts w:ascii="Arial" w:cs="Arial" w:eastAsia="Arial" w:hAnsi="Arial"/>
                <w:sz w:val="16"/>
                <w:szCs w:val="16"/>
                <w:color w:val="auto"/>
              </w:rPr>
              <w:t>Purchase of treasury stock</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(28,066)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9"/>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Dividend payments to stockholders</w:t>
            </w:r>
          </w:p>
        </w:tc>
        <w:tc>
          <w:tcPr>
            <w:tcW w:w="3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(5,960)</w:t>
            </w:r>
          </w:p>
        </w:tc>
        <w:tc>
          <w:tcPr>
            <w:tcW w:w="20" w:type="dxa"/>
            <w:vAlign w:val="bottom"/>
          </w:tcPr>
          <w:p>
            <w:pPr>
              <w:spacing w:after="0"/>
              <w:rPr>
                <w:sz w:val="19"/>
                <w:szCs w:val="19"/>
                <w:color w:val="auto"/>
              </w:rPr>
            </w:pPr>
          </w:p>
        </w:tc>
      </w:tr>
      <w:tr>
        <w:trPr>
          <w:trHeight w:val="206"/>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(379,619)</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(278,944)</w:t>
            </w:r>
          </w:p>
        </w:tc>
        <w:tc>
          <w:tcPr>
            <w:tcW w:w="20" w:type="dxa"/>
            <w:vAlign w:val="bottom"/>
          </w:tcPr>
          <w:p>
            <w:pPr>
              <w:spacing w:after="0"/>
              <w:rPr>
                <w:sz w:val="17"/>
                <w:szCs w:val="17"/>
                <w:color w:val="auto"/>
              </w:rPr>
            </w:pPr>
          </w:p>
        </w:tc>
      </w:tr>
      <w:tr>
        <w:trPr>
          <w:trHeight w:val="219"/>
        </w:trPr>
        <w:tc>
          <w:tcPr>
            <w:tcW w:w="8780" w:type="dxa"/>
            <w:vAlign w:val="bottom"/>
            <w:shd w:val="clear" w:color="auto" w:fill="F4F4F4"/>
          </w:tcPr>
          <w:p>
            <w:pPr>
              <w:ind w:left="20"/>
              <w:spacing w:after="0"/>
              <w:rPr>
                <w:sz w:val="20"/>
                <w:szCs w:val="20"/>
                <w:color w:val="auto"/>
              </w:rPr>
            </w:pPr>
            <w:r>
              <w:rPr>
                <w:rFonts w:ascii="Arial" w:cs="Arial" w:eastAsia="Arial" w:hAnsi="Arial"/>
                <w:sz w:val="16"/>
                <w:szCs w:val="16"/>
                <w:color w:val="auto"/>
              </w:rPr>
              <w:t>Effect of exchange rate on cash, cash equivalents and restricted cash</w:t>
            </w:r>
          </w:p>
        </w:tc>
        <w:tc>
          <w:tcPr>
            <w:tcW w:w="3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(2,822)</w:t>
            </w:r>
          </w:p>
        </w:tc>
        <w:tc>
          <w:tcPr>
            <w:tcW w:w="20" w:type="dxa"/>
            <w:vAlign w:val="bottom"/>
          </w:tcPr>
          <w:p>
            <w:pPr>
              <w:spacing w:after="0"/>
              <w:rPr>
                <w:sz w:val="19"/>
                <w:szCs w:val="19"/>
                <w:color w:val="auto"/>
              </w:rPr>
            </w:pPr>
          </w:p>
        </w:tc>
      </w:tr>
      <w:tr>
        <w:trPr>
          <w:trHeight w:val="206"/>
        </w:trPr>
        <w:tc>
          <w:tcPr>
            <w:tcW w:w="878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(362,058)</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(320,073)</w:t>
            </w:r>
          </w:p>
        </w:tc>
        <w:tc>
          <w:tcPr>
            <w:tcW w:w="20" w:type="dxa"/>
            <w:vAlign w:val="bottom"/>
          </w:tcPr>
          <w:p>
            <w:pPr>
              <w:spacing w:after="0"/>
              <w:rPr>
                <w:sz w:val="17"/>
                <w:szCs w:val="17"/>
                <w:color w:val="auto"/>
              </w:rPr>
            </w:pPr>
          </w:p>
        </w:tc>
      </w:tr>
      <w:tr>
        <w:trPr>
          <w:trHeight w:val="219"/>
        </w:trPr>
        <w:tc>
          <w:tcPr>
            <w:tcW w:w="878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Cash, cash equivalents and restricted cash, beginning of period</w:t>
            </w:r>
          </w:p>
        </w:tc>
        <w:tc>
          <w:tcPr>
            <w:tcW w:w="30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644,969</w:t>
            </w:r>
          </w:p>
        </w:tc>
        <w:tc>
          <w:tcPr>
            <w:tcW w:w="30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577,295</w:t>
            </w:r>
          </w:p>
        </w:tc>
        <w:tc>
          <w:tcPr>
            <w:tcW w:w="20" w:type="dxa"/>
            <w:vAlign w:val="bottom"/>
          </w:tcPr>
          <w:p>
            <w:pPr>
              <w:spacing w:after="0"/>
              <w:rPr>
                <w:sz w:val="19"/>
                <w:szCs w:val="19"/>
                <w:color w:val="auto"/>
              </w:rPr>
            </w:pPr>
          </w:p>
        </w:tc>
      </w:tr>
      <w:tr>
        <w:trPr>
          <w:trHeight w:val="207"/>
        </w:trPr>
        <w:tc>
          <w:tcPr>
            <w:tcW w:w="8780" w:type="dxa"/>
            <w:vAlign w:val="bottom"/>
            <w:tcBorders>
              <w:bottom w:val="single" w:sz="8" w:color="71BF43"/>
            </w:tcBorders>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300" w:type="dxa"/>
            <w:vAlign w:val="bottom"/>
            <w:tcBorders>
              <w:bottom w:val="single" w:sz="8" w:color="71BF43"/>
            </w:tcBorders>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282,911</w:t>
            </w:r>
          </w:p>
        </w:tc>
        <w:tc>
          <w:tcPr>
            <w:tcW w:w="300" w:type="dxa"/>
            <w:vAlign w:val="bottom"/>
            <w:tcBorders>
              <w:bottom w:val="single" w:sz="8" w:color="71BF43"/>
            </w:tcBorders>
          </w:tcPr>
          <w:p>
            <w:pPr>
              <w:jc w:val="right"/>
              <w:ind w:right="1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71BF43"/>
            </w:tcBorders>
          </w:tcPr>
          <w:p>
            <w:pPr>
              <w:jc w:val="right"/>
              <w:spacing w:after="0"/>
              <w:rPr>
                <w:sz w:val="20"/>
                <w:szCs w:val="20"/>
                <w:color w:val="auto"/>
              </w:rPr>
            </w:pPr>
            <w:r>
              <w:rPr>
                <w:rFonts w:ascii="Arial" w:cs="Arial" w:eastAsia="Arial" w:hAnsi="Arial"/>
                <w:sz w:val="16"/>
                <w:szCs w:val="16"/>
                <w:color w:val="auto"/>
              </w:rPr>
              <w:t>257,222</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-4851400</wp:posOffset>
            </wp:positionV>
            <wp:extent cx="155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14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2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40" w:type="dxa"/>
            <w:vAlign w:val="bottom"/>
            <w:shd w:val="clear" w:color="auto" w:fill="ACACAC"/>
          </w:tcPr>
          <w:p>
            <w:pPr>
              <w:spacing w:after="0"/>
              <w:rPr>
                <w:sz w:val="14"/>
                <w:szCs w:val="14"/>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4"/>
                <w:szCs w:val="14"/>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20" w:type="dxa"/>
            <w:vAlign w:val="bottom"/>
            <w:vMerge w:val="continue"/>
            <w:shd w:val="clear" w:color="auto" w:fill="ACACAC"/>
          </w:tcPr>
          <w:p>
            <w:pPr>
              <w:spacing w:after="0"/>
              <w:rPr>
                <w:sz w:val="16"/>
                <w:szCs w:val="16"/>
                <w:color w:val="auto"/>
              </w:rPr>
            </w:pPr>
          </w:p>
        </w:tc>
        <w:tc>
          <w:tcPr>
            <w:tcW w:w="54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F4F4F4"/>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27,753</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35,750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Restricted cash</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255,158</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609,219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540" w:type="dxa"/>
            <w:vAlign w:val="bottom"/>
            <w:tcBorders>
              <w:bottom w:val="single" w:sz="8" w:color="71BF43"/>
            </w:tcBorders>
            <w:shd w:val="clear" w:color="auto" w:fill="F4F4F4"/>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282,911</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644,969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447675</wp:posOffset>
            </wp:positionV>
            <wp:extent cx="67691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02"/>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4"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ACACAC"/>
          </w:tcPr>
          <w:p>
            <w:pPr>
              <w:spacing w:after="0"/>
              <w:rPr>
                <w:sz w:val="19"/>
                <w:szCs w:val="19"/>
                <w:color w:val="auto"/>
              </w:rPr>
            </w:pPr>
          </w:p>
        </w:tc>
        <w:tc>
          <w:tcPr>
            <w:tcW w:w="16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580" w:type="dxa"/>
            <w:vAlign w:val="bottom"/>
            <w:shd w:val="clear" w:color="auto" w:fill="ACACAC"/>
          </w:tcPr>
          <w:p>
            <w:pPr>
              <w:spacing w:after="0"/>
              <w:rPr>
                <w:sz w:val="8"/>
                <w:szCs w:val="8"/>
                <w:color w:val="auto"/>
              </w:rPr>
            </w:pPr>
          </w:p>
        </w:tc>
        <w:tc>
          <w:tcPr>
            <w:tcW w:w="980" w:type="dxa"/>
            <w:vAlign w:val="bottom"/>
            <w:shd w:val="clear" w:color="auto" w:fill="ACACAC"/>
          </w:tcPr>
          <w:p>
            <w:pPr>
              <w:spacing w:after="0"/>
              <w:rPr>
                <w:sz w:val="8"/>
                <w:szCs w:val="8"/>
                <w:color w:val="auto"/>
              </w:rPr>
            </w:pPr>
          </w:p>
        </w:tc>
        <w:tc>
          <w:tcPr>
            <w:tcW w:w="120" w:type="dxa"/>
            <w:vAlign w:val="bottom"/>
            <w:shd w:val="clear" w:color="auto" w:fill="ACACAC"/>
          </w:tcPr>
          <w:p>
            <w:pPr>
              <w:spacing w:after="0"/>
              <w:rPr>
                <w:sz w:val="8"/>
                <w:szCs w:val="8"/>
                <w:color w:val="auto"/>
              </w:rPr>
            </w:pPr>
          </w:p>
        </w:tc>
        <w:tc>
          <w:tcPr>
            <w:tcW w:w="580" w:type="dxa"/>
            <w:vAlign w:val="bottom"/>
            <w:shd w:val="clear" w:color="auto" w:fill="ACACAC"/>
          </w:tcPr>
          <w:p>
            <w:pPr>
              <w:spacing w:after="0"/>
              <w:rPr>
                <w:sz w:val="8"/>
                <w:szCs w:val="8"/>
                <w:color w:val="auto"/>
              </w:rPr>
            </w:pPr>
          </w:p>
        </w:tc>
        <w:tc>
          <w:tcPr>
            <w:tcW w:w="160" w:type="dxa"/>
            <w:vAlign w:val="bottom"/>
            <w:shd w:val="clear" w:color="auto" w:fill="ACACAC"/>
          </w:tcPr>
          <w:p>
            <w:pPr>
              <w:spacing w:after="0"/>
              <w:rPr>
                <w:sz w:val="8"/>
                <w:szCs w:val="8"/>
                <w:color w:val="auto"/>
              </w:rPr>
            </w:pPr>
          </w:p>
        </w:tc>
        <w:tc>
          <w:tcPr>
            <w:tcW w:w="78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Additional</w:t>
            </w:r>
          </w:p>
        </w:tc>
        <w:tc>
          <w:tcPr>
            <w:tcW w:w="160" w:type="dxa"/>
            <w:vAlign w:val="bottom"/>
            <w:shd w:val="clear" w:color="auto" w:fill="ACACAC"/>
          </w:tcPr>
          <w:p>
            <w:pPr>
              <w:spacing w:after="0"/>
              <w:rPr>
                <w:sz w:val="8"/>
                <w:szCs w:val="8"/>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ACACAC"/>
          </w:tcPr>
          <w:p>
            <w:pPr>
              <w:spacing w:after="0"/>
              <w:rPr>
                <w:sz w:val="8"/>
                <w:szCs w:val="8"/>
                <w:color w:val="auto"/>
              </w:rPr>
            </w:pPr>
          </w:p>
        </w:tc>
        <w:tc>
          <w:tcPr>
            <w:tcW w:w="100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other</w:t>
            </w:r>
          </w:p>
        </w:tc>
        <w:tc>
          <w:tcPr>
            <w:tcW w:w="200" w:type="dxa"/>
            <w:vAlign w:val="bottom"/>
            <w:shd w:val="clear" w:color="auto" w:fill="ACACAC"/>
          </w:tcPr>
          <w:p>
            <w:pPr>
              <w:spacing w:after="0"/>
              <w:rPr>
                <w:sz w:val="8"/>
                <w:szCs w:val="8"/>
                <w:color w:val="auto"/>
              </w:rPr>
            </w:pPr>
          </w:p>
        </w:tc>
        <w:tc>
          <w:tcPr>
            <w:tcW w:w="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220" w:type="dxa"/>
            <w:vAlign w:val="bottom"/>
            <w:shd w:val="clear" w:color="auto" w:fill="ACACAC"/>
          </w:tcPr>
          <w:p>
            <w:pPr>
              <w:spacing w:after="0"/>
              <w:rPr>
                <w:sz w:val="8"/>
                <w:szCs w:val="8"/>
                <w:color w:val="auto"/>
              </w:rPr>
            </w:pPr>
          </w:p>
        </w:tc>
        <w:tc>
          <w:tcPr>
            <w:tcW w:w="78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Total</w:t>
            </w: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5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shd w:val="clear" w:color="auto" w:fill="ACACAC"/>
          </w:tcPr>
          <w:p>
            <w:pPr>
              <w:spacing w:after="0"/>
              <w:rPr>
                <w:sz w:val="11"/>
                <w:szCs w:val="11"/>
                <w:color w:val="auto"/>
              </w:rPr>
            </w:pPr>
          </w:p>
        </w:tc>
        <w:tc>
          <w:tcPr>
            <w:tcW w:w="5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shd w:val="clear" w:color="auto" w:fill="ACACAC"/>
          </w:tcPr>
          <w:p>
            <w:pPr>
              <w:spacing w:after="0"/>
              <w:rPr>
                <w:sz w:val="11"/>
                <w:szCs w:val="11"/>
                <w:color w:val="auto"/>
              </w:rPr>
            </w:pPr>
          </w:p>
        </w:tc>
        <w:tc>
          <w:tcPr>
            <w:tcW w:w="78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ACACAC"/>
          </w:tcPr>
          <w:p>
            <w:pPr>
              <w:spacing w:after="0"/>
              <w:rPr>
                <w:sz w:val="11"/>
                <w:szCs w:val="11"/>
                <w:color w:val="auto"/>
              </w:rPr>
            </w:pPr>
          </w:p>
        </w:tc>
        <w:tc>
          <w:tcPr>
            <w:tcW w:w="780" w:type="dxa"/>
            <w:vAlign w:val="bottom"/>
            <w:vMerge w:val="continue"/>
            <w:shd w:val="clear" w:color="auto" w:fill="ACACAC"/>
          </w:tcPr>
          <w:p>
            <w:pPr>
              <w:spacing w:after="0"/>
              <w:rPr>
                <w:sz w:val="11"/>
                <w:szCs w:val="11"/>
                <w:color w:val="auto"/>
              </w:rPr>
            </w:pPr>
          </w:p>
        </w:tc>
        <w:tc>
          <w:tcPr>
            <w:tcW w:w="116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1"/>
                <w:szCs w:val="11"/>
                <w:color w:val="auto"/>
              </w:rPr>
            </w:pPr>
          </w:p>
        </w:tc>
        <w:tc>
          <w:tcPr>
            <w:tcW w:w="740" w:type="dxa"/>
            <w:vAlign w:val="bottom"/>
            <w:vMerge w:val="continue"/>
            <w:shd w:val="clear" w:color="auto" w:fill="ACACAC"/>
          </w:tcPr>
          <w:p>
            <w:pPr>
              <w:spacing w:after="0"/>
              <w:rPr>
                <w:sz w:val="11"/>
                <w:szCs w:val="11"/>
                <w:color w:val="auto"/>
              </w:rPr>
            </w:pPr>
          </w:p>
        </w:tc>
        <w:tc>
          <w:tcPr>
            <w:tcW w:w="100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shd w:val="clear" w:color="auto" w:fill="ACACAC"/>
          </w:tcPr>
          <w:p>
            <w:pPr>
              <w:spacing w:after="0"/>
              <w:rPr>
                <w:sz w:val="16"/>
                <w:szCs w:val="16"/>
                <w:color w:val="auto"/>
              </w:rPr>
            </w:pPr>
          </w:p>
        </w:tc>
        <w:tc>
          <w:tcPr>
            <w:tcW w:w="98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580" w:type="dxa"/>
            <w:vAlign w:val="bottom"/>
            <w:vMerge w:val="continue"/>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shd w:val="clear" w:color="auto" w:fill="ACACAC"/>
          </w:tcPr>
          <w:p>
            <w:pPr>
              <w:spacing w:after="0"/>
              <w:rPr>
                <w:sz w:val="16"/>
                <w:szCs w:val="16"/>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shd w:val="clear" w:color="auto" w:fill="ACACAC"/>
          </w:tcPr>
          <w:p>
            <w:pPr>
              <w:spacing w:after="0"/>
              <w:rPr>
                <w:sz w:val="16"/>
                <w:szCs w:val="16"/>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shd w:val="clear" w:color="auto" w:fill="ACACAC"/>
          </w:tcPr>
          <w:p>
            <w:pPr>
              <w:spacing w:after="0"/>
              <w:rPr>
                <w:sz w:val="16"/>
                <w:szCs w:val="16"/>
                <w:color w:val="auto"/>
              </w:rPr>
            </w:pPr>
          </w:p>
        </w:tc>
        <w:tc>
          <w:tcPr>
            <w:tcW w:w="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shd w:val="clear" w:color="auto" w:fill="ACACAC"/>
          </w:tcPr>
          <w:p>
            <w:pPr>
              <w:spacing w:after="0"/>
              <w:rPr>
                <w:sz w:val="16"/>
                <w:szCs w:val="16"/>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60,904,638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544,963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(353,091)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(2,497)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236,714</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426,150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10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580" w:type="dxa"/>
            <w:vAlign w:val="bottom"/>
          </w:tcPr>
          <w:p>
            <w:pPr>
              <w:ind w:left="140"/>
              <w:spacing w:after="0" w:line="178" w:lineRule="exact"/>
              <w:rPr>
                <w:sz w:val="20"/>
                <w:szCs w:val="20"/>
                <w:color w:val="auto"/>
              </w:rPr>
            </w:pPr>
            <w:r>
              <w:rPr>
                <w:rFonts w:ascii="Arial" w:cs="Arial" w:eastAsia="Arial" w:hAnsi="Arial"/>
                <w:sz w:val="16"/>
                <w:szCs w:val="16"/>
                <w:color w:val="auto"/>
              </w:rPr>
              <w:t>Purchase of 465,821 treasury shares under stock repurchase</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1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206,418</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58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240,867 withheld shares upon</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140"/>
              <w:spacing w:after="0"/>
              <w:rPr>
                <w:sz w:val="20"/>
                <w:szCs w:val="20"/>
                <w:color w:val="auto"/>
              </w:rPr>
            </w:pPr>
            <w:r>
              <w:rPr>
                <w:rFonts w:ascii="Arial" w:cs="Arial" w:eastAsia="Arial" w:hAnsi="Arial"/>
                <w:sz w:val="16"/>
                <w:szCs w:val="16"/>
                <w:color w:val="auto"/>
              </w:rPr>
              <w:t>equity award settlement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1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29,995</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10</w:t>
            </w: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jc w:val="right"/>
              <w:ind w:right="2"/>
              <w:spacing w:after="0"/>
              <w:rPr>
                <w:sz w:val="20"/>
                <w:szCs w:val="20"/>
                <w:color w:val="auto"/>
              </w:rPr>
            </w:pPr>
            <w:r>
              <w:rPr>
                <w:rFonts w:ascii="Arial" w:cs="Arial" w:eastAsia="Arial" w:hAnsi="Arial"/>
                <w:sz w:val="16"/>
                <w:szCs w:val="16"/>
                <w:color w:val="auto"/>
              </w:rPr>
              <w:t>30,005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519,009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(34,789)</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6,660</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8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61,595,276</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574,958</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(399,583)</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4,163</w:t>
            </w:r>
          </w:p>
        </w:tc>
        <w:tc>
          <w:tcPr>
            <w:tcW w:w="20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236,560</w:t>
            </w:r>
          </w:p>
        </w:tc>
        <w:tc>
          <w:tcPr>
            <w:tcW w:w="220" w:type="dxa"/>
            <w:vAlign w:val="bottom"/>
            <w:tcBorders>
              <w:bottom w:val="single" w:sz="8" w:color="71BF43"/>
            </w:tcBorders>
            <w:shd w:val="clear" w:color="auto" w:fill="F4F4F4"/>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6"/>
                <w:szCs w:val="16"/>
                <w:color w:val="auto"/>
              </w:rPr>
              <w:t>416,160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2"/>
        </w:trPr>
        <w:tc>
          <w:tcPr>
            <w:tcW w:w="4580" w:type="dxa"/>
            <w:vAlign w:val="bottom"/>
          </w:tcPr>
          <w:p>
            <w:pPr>
              <w:spacing w:after="0"/>
              <w:rPr>
                <w:sz w:val="24"/>
                <w:szCs w:val="24"/>
                <w:color w:val="auto"/>
              </w:rPr>
            </w:pPr>
          </w:p>
        </w:tc>
        <w:tc>
          <w:tcPr>
            <w:tcW w:w="16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ACACAC"/>
          </w:tcPr>
          <w:p>
            <w:pPr>
              <w:spacing w:after="0"/>
              <w:rPr>
                <w:sz w:val="19"/>
                <w:szCs w:val="19"/>
                <w:color w:val="auto"/>
              </w:rPr>
            </w:pPr>
          </w:p>
        </w:tc>
        <w:tc>
          <w:tcPr>
            <w:tcW w:w="16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580" w:type="dxa"/>
            <w:vAlign w:val="bottom"/>
            <w:shd w:val="clear" w:color="auto" w:fill="ACACAC"/>
          </w:tcPr>
          <w:p>
            <w:pPr>
              <w:spacing w:after="0"/>
              <w:rPr>
                <w:sz w:val="8"/>
                <w:szCs w:val="8"/>
                <w:color w:val="auto"/>
              </w:rPr>
            </w:pPr>
          </w:p>
        </w:tc>
        <w:tc>
          <w:tcPr>
            <w:tcW w:w="980" w:type="dxa"/>
            <w:vAlign w:val="bottom"/>
            <w:shd w:val="clear" w:color="auto" w:fill="ACACAC"/>
          </w:tcPr>
          <w:p>
            <w:pPr>
              <w:spacing w:after="0"/>
              <w:rPr>
                <w:sz w:val="8"/>
                <w:szCs w:val="8"/>
                <w:color w:val="auto"/>
              </w:rPr>
            </w:pPr>
          </w:p>
        </w:tc>
        <w:tc>
          <w:tcPr>
            <w:tcW w:w="120" w:type="dxa"/>
            <w:vAlign w:val="bottom"/>
            <w:shd w:val="clear" w:color="auto" w:fill="ACACAC"/>
          </w:tcPr>
          <w:p>
            <w:pPr>
              <w:spacing w:after="0"/>
              <w:rPr>
                <w:sz w:val="8"/>
                <w:szCs w:val="8"/>
                <w:color w:val="auto"/>
              </w:rPr>
            </w:pPr>
          </w:p>
        </w:tc>
        <w:tc>
          <w:tcPr>
            <w:tcW w:w="580" w:type="dxa"/>
            <w:vAlign w:val="bottom"/>
            <w:shd w:val="clear" w:color="auto" w:fill="ACACAC"/>
          </w:tcPr>
          <w:p>
            <w:pPr>
              <w:spacing w:after="0"/>
              <w:rPr>
                <w:sz w:val="8"/>
                <w:szCs w:val="8"/>
                <w:color w:val="auto"/>
              </w:rPr>
            </w:pPr>
          </w:p>
        </w:tc>
        <w:tc>
          <w:tcPr>
            <w:tcW w:w="160" w:type="dxa"/>
            <w:vAlign w:val="bottom"/>
            <w:shd w:val="clear" w:color="auto" w:fill="ACACAC"/>
          </w:tcPr>
          <w:p>
            <w:pPr>
              <w:spacing w:after="0"/>
              <w:rPr>
                <w:sz w:val="8"/>
                <w:szCs w:val="8"/>
                <w:color w:val="auto"/>
              </w:rPr>
            </w:pPr>
          </w:p>
        </w:tc>
        <w:tc>
          <w:tcPr>
            <w:tcW w:w="78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Additional</w:t>
            </w:r>
          </w:p>
        </w:tc>
        <w:tc>
          <w:tcPr>
            <w:tcW w:w="160" w:type="dxa"/>
            <w:vAlign w:val="bottom"/>
            <w:shd w:val="clear" w:color="auto" w:fill="ACACAC"/>
          </w:tcPr>
          <w:p>
            <w:pPr>
              <w:spacing w:after="0"/>
              <w:rPr>
                <w:sz w:val="8"/>
                <w:szCs w:val="8"/>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ACACAC"/>
          </w:tcPr>
          <w:p>
            <w:pPr>
              <w:spacing w:after="0"/>
              <w:rPr>
                <w:sz w:val="8"/>
                <w:szCs w:val="8"/>
                <w:color w:val="auto"/>
              </w:rPr>
            </w:pPr>
          </w:p>
        </w:tc>
        <w:tc>
          <w:tcPr>
            <w:tcW w:w="100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other</w:t>
            </w:r>
          </w:p>
        </w:tc>
        <w:tc>
          <w:tcPr>
            <w:tcW w:w="200" w:type="dxa"/>
            <w:vAlign w:val="bottom"/>
            <w:shd w:val="clear" w:color="auto" w:fill="ACACAC"/>
          </w:tcPr>
          <w:p>
            <w:pPr>
              <w:spacing w:after="0"/>
              <w:rPr>
                <w:sz w:val="8"/>
                <w:szCs w:val="8"/>
                <w:color w:val="auto"/>
              </w:rPr>
            </w:pPr>
          </w:p>
        </w:tc>
        <w:tc>
          <w:tcPr>
            <w:tcW w:w="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220" w:type="dxa"/>
            <w:vAlign w:val="bottom"/>
            <w:shd w:val="clear" w:color="auto" w:fill="ACACAC"/>
          </w:tcPr>
          <w:p>
            <w:pPr>
              <w:spacing w:after="0"/>
              <w:rPr>
                <w:sz w:val="8"/>
                <w:szCs w:val="8"/>
                <w:color w:val="auto"/>
              </w:rPr>
            </w:pPr>
          </w:p>
        </w:tc>
        <w:tc>
          <w:tcPr>
            <w:tcW w:w="780" w:type="dxa"/>
            <w:vAlign w:val="bottom"/>
            <w:shd w:val="clear" w:color="auto" w:fill="ACACAC"/>
          </w:tcPr>
          <w:p>
            <w:pPr>
              <w:jc w:val="right"/>
              <w:spacing w:after="0" w:line="95" w:lineRule="exact"/>
              <w:rPr>
                <w:sz w:val="20"/>
                <w:szCs w:val="20"/>
                <w:color w:val="auto"/>
              </w:rPr>
            </w:pPr>
            <w:r>
              <w:rPr>
                <w:rFonts w:ascii="Arial" w:cs="Arial" w:eastAsia="Arial" w:hAnsi="Arial"/>
                <w:sz w:val="10"/>
                <w:szCs w:val="10"/>
                <w:b w:val="1"/>
                <w:bCs w:val="1"/>
                <w:color w:val="FFFFFF"/>
              </w:rPr>
              <w:t>Total</w:t>
            </w: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5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shd w:val="clear" w:color="auto" w:fill="ACACAC"/>
          </w:tcPr>
          <w:p>
            <w:pPr>
              <w:spacing w:after="0"/>
              <w:rPr>
                <w:sz w:val="11"/>
                <w:szCs w:val="11"/>
                <w:color w:val="auto"/>
              </w:rPr>
            </w:pPr>
          </w:p>
        </w:tc>
        <w:tc>
          <w:tcPr>
            <w:tcW w:w="5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shd w:val="clear" w:color="auto" w:fill="ACACAC"/>
          </w:tcPr>
          <w:p>
            <w:pPr>
              <w:spacing w:after="0"/>
              <w:rPr>
                <w:sz w:val="11"/>
                <w:szCs w:val="11"/>
                <w:color w:val="auto"/>
              </w:rPr>
            </w:pPr>
          </w:p>
        </w:tc>
        <w:tc>
          <w:tcPr>
            <w:tcW w:w="78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ACACAC"/>
          </w:tcPr>
          <w:p>
            <w:pPr>
              <w:spacing w:after="0"/>
              <w:rPr>
                <w:sz w:val="11"/>
                <w:szCs w:val="11"/>
                <w:color w:val="auto"/>
              </w:rPr>
            </w:pPr>
          </w:p>
        </w:tc>
        <w:tc>
          <w:tcPr>
            <w:tcW w:w="780" w:type="dxa"/>
            <w:vAlign w:val="bottom"/>
            <w:vMerge w:val="continue"/>
            <w:shd w:val="clear" w:color="auto" w:fill="ACACAC"/>
          </w:tcPr>
          <w:p>
            <w:pPr>
              <w:spacing w:after="0"/>
              <w:rPr>
                <w:sz w:val="11"/>
                <w:szCs w:val="11"/>
                <w:color w:val="auto"/>
              </w:rPr>
            </w:pPr>
          </w:p>
        </w:tc>
        <w:tc>
          <w:tcPr>
            <w:tcW w:w="116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1"/>
                <w:szCs w:val="11"/>
                <w:color w:val="auto"/>
              </w:rPr>
            </w:pPr>
          </w:p>
        </w:tc>
        <w:tc>
          <w:tcPr>
            <w:tcW w:w="740" w:type="dxa"/>
            <w:vAlign w:val="bottom"/>
            <w:vMerge w:val="continue"/>
            <w:shd w:val="clear" w:color="auto" w:fill="ACACAC"/>
          </w:tcPr>
          <w:p>
            <w:pPr>
              <w:spacing w:after="0"/>
              <w:rPr>
                <w:sz w:val="11"/>
                <w:szCs w:val="11"/>
                <w:color w:val="auto"/>
              </w:rPr>
            </w:pPr>
          </w:p>
        </w:tc>
        <w:tc>
          <w:tcPr>
            <w:tcW w:w="100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shd w:val="clear" w:color="auto" w:fill="ACACAC"/>
          </w:tcPr>
          <w:p>
            <w:pPr>
              <w:spacing w:after="0"/>
              <w:rPr>
                <w:sz w:val="16"/>
                <w:szCs w:val="16"/>
                <w:color w:val="auto"/>
              </w:rPr>
            </w:pPr>
          </w:p>
        </w:tc>
        <w:tc>
          <w:tcPr>
            <w:tcW w:w="980" w:type="dxa"/>
            <w:vAlign w:val="bottom"/>
            <w:vMerge w:val="continue"/>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580" w:type="dxa"/>
            <w:vAlign w:val="bottom"/>
            <w:vMerge w:val="continue"/>
            <w:shd w:val="clear" w:color="auto" w:fill="ACACAC"/>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shd w:val="clear" w:color="auto" w:fill="ACACAC"/>
          </w:tcPr>
          <w:p>
            <w:pPr>
              <w:spacing w:after="0"/>
              <w:rPr>
                <w:sz w:val="16"/>
                <w:szCs w:val="16"/>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shd w:val="clear" w:color="auto" w:fill="ACACAC"/>
          </w:tcPr>
          <w:p>
            <w:pPr>
              <w:spacing w:after="0"/>
              <w:rPr>
                <w:sz w:val="16"/>
                <w:szCs w:val="16"/>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shd w:val="clear" w:color="auto" w:fill="ACACAC"/>
          </w:tcPr>
          <w:p>
            <w:pPr>
              <w:spacing w:after="0"/>
              <w:rPr>
                <w:sz w:val="16"/>
                <w:szCs w:val="16"/>
                <w:color w:val="auto"/>
              </w:rPr>
            </w:pPr>
          </w:p>
        </w:tc>
        <w:tc>
          <w:tcPr>
            <w:tcW w:w="7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shd w:val="clear" w:color="auto" w:fill="ACACAC"/>
          </w:tcPr>
          <w:p>
            <w:pPr>
              <w:spacing w:after="0"/>
              <w:rPr>
                <w:sz w:val="16"/>
                <w:szCs w:val="16"/>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60,206,091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457,804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(290,665)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234,855</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396,764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8"/>
                <w:szCs w:val="18"/>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8"/>
                <w:szCs w:val="18"/>
                <w:color w:val="auto"/>
              </w:rPr>
            </w:pPr>
          </w:p>
        </w:tc>
        <w:tc>
          <w:tcPr>
            <w:tcW w:w="10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8"/>
                <w:szCs w:val="18"/>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4,639</w:t>
            </w:r>
          </w:p>
        </w:tc>
        <w:tc>
          <w:tcPr>
            <w:tcW w:w="220" w:type="dxa"/>
            <w:vAlign w:val="bottom"/>
            <w:shd w:val="clear" w:color="auto" w:fill="F4F4F4"/>
          </w:tcPr>
          <w:p>
            <w:pPr>
              <w:spacing w:after="0"/>
              <w:rPr>
                <w:sz w:val="18"/>
                <w:szCs w:val="18"/>
                <w:color w:val="auto"/>
              </w:rPr>
            </w:pPr>
          </w:p>
        </w:tc>
        <w:tc>
          <w:tcPr>
            <w:tcW w:w="780" w:type="dxa"/>
            <w:vAlign w:val="bottom"/>
            <w:shd w:val="clear" w:color="auto" w:fill="F4F4F4"/>
          </w:tcPr>
          <w:p>
            <w:pPr>
              <w:jc w:val="right"/>
              <w:ind w:right="2"/>
              <w:spacing w:after="0"/>
              <w:rPr>
                <w:sz w:val="20"/>
                <w:szCs w:val="20"/>
                <w:color w:val="auto"/>
              </w:rPr>
            </w:pPr>
            <w:r>
              <w:rPr>
                <w:rFonts w:ascii="Arial" w:cs="Arial" w:eastAsia="Arial" w:hAnsi="Arial"/>
                <w:sz w:val="16"/>
                <w:szCs w:val="16"/>
                <w:color w:val="auto"/>
              </w:rPr>
              <w:t>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Payment of dividends ($0.12 per share)</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(5,960)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Exercise of stock options and vesting of restricted stock units</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210,057</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jc w:val="right"/>
              <w:ind w:right="2"/>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580" w:type="dxa"/>
            <w:vAlign w:val="bottom"/>
          </w:tcPr>
          <w:p>
            <w:pPr>
              <w:ind w:left="140"/>
              <w:spacing w:after="0" w:line="178" w:lineRule="exact"/>
              <w:rPr>
                <w:sz w:val="20"/>
                <w:szCs w:val="20"/>
                <w:color w:val="auto"/>
              </w:rPr>
            </w:pPr>
            <w:r>
              <w:rPr>
                <w:rFonts w:ascii="Arial" w:cs="Arial" w:eastAsia="Arial" w:hAnsi="Arial"/>
                <w:sz w:val="16"/>
                <w:szCs w:val="16"/>
                <w:color w:val="auto"/>
              </w:rPr>
              <w:t>Employee taxes paid for 245,358 withheld shares upon</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140"/>
              <w:spacing w:after="0"/>
              <w:rPr>
                <w:sz w:val="20"/>
                <w:szCs w:val="20"/>
                <w:color w:val="auto"/>
              </w:rPr>
            </w:pPr>
            <w:r>
              <w:rPr>
                <w:rFonts w:ascii="Arial" w:cs="Arial" w:eastAsia="Arial" w:hAnsi="Arial"/>
                <w:sz w:val="16"/>
                <w:szCs w:val="16"/>
                <w:color w:val="auto"/>
              </w:rPr>
              <w:t>equity award settlement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(19,782)</w:t>
            </w:r>
          </w:p>
        </w:tc>
        <w:tc>
          <w:tcPr>
            <w:tcW w:w="1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13,539</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41</w:t>
            </w: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jc w:val="right"/>
              <w:ind w:right="2"/>
              <w:spacing w:after="0"/>
              <w:rPr>
                <w:sz w:val="20"/>
                <w:szCs w:val="20"/>
                <w:color w:val="auto"/>
              </w:rPr>
            </w:pPr>
            <w:r>
              <w:rPr>
                <w:rFonts w:ascii="Arial" w:cs="Arial" w:eastAsia="Arial" w:hAnsi="Arial"/>
                <w:sz w:val="16"/>
                <w:szCs w:val="16"/>
                <w:color w:val="auto"/>
              </w:rPr>
              <w:t>13,580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563,947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(47,456)</w:t>
            </w: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19"/>
                <w:szCs w:val="19"/>
                <w:color w:val="auto"/>
              </w:rPr>
            </w:pPr>
          </w:p>
        </w:tc>
        <w:tc>
          <w:tcPr>
            <w:tcW w:w="100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19"/>
                <w:szCs w:val="19"/>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19"/>
                <w:szCs w:val="19"/>
                <w:color w:val="auto"/>
              </w:rPr>
            </w:pPr>
          </w:p>
        </w:tc>
        <w:tc>
          <w:tcPr>
            <w:tcW w:w="780" w:type="dxa"/>
            <w:vAlign w:val="bottom"/>
            <w:shd w:val="clear" w:color="auto" w:fill="F4F4F4"/>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loss</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98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60,932,639</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471,344</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(310,447)</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(14,140)</w:t>
            </w:r>
          </w:p>
        </w:tc>
        <w:tc>
          <w:tcPr>
            <w:tcW w:w="20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233,575</w:t>
            </w:r>
          </w:p>
        </w:tc>
        <w:tc>
          <w:tcPr>
            <w:tcW w:w="220" w:type="dxa"/>
            <w:vAlign w:val="bottom"/>
            <w:tcBorders>
              <w:bottom w:val="single" w:sz="8" w:color="71BF43"/>
            </w:tcBorders>
            <w:shd w:val="clear" w:color="auto" w:fill="F4F4F4"/>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6"/>
                <w:szCs w:val="16"/>
                <w:color w:val="auto"/>
              </w:rPr>
              <w:t>380,393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-4045585</wp:posOffset>
            </wp:positionV>
            <wp:extent cx="10718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18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-1731010</wp:posOffset>
            </wp:positionV>
            <wp:extent cx="10718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hanging="314"/>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651510" cy="171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nearly four decades, we are headquartered in Charleston, South Carolina, and have operations in the United States, Australia, Canada, Costa Rica and the United Kingdom.</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2020 has been derived from the audited consolidated financial statements at that date. Operating results and cash flows for the three months ended March 31, 2021 are not necessarily indicative of the results that may be expected for the fiscal year ending December 31, 2021,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2020, and other forms filed with the SEC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 ("CEO").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related to COVID-19</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risks and uncertainties as a result of the global COVID-19 pandemic. We believe that COVID-19 may continue to impact our vertical markets and geographies, but the significance and duration of the impact on our business cannot be determined at this time due to numerous uncertainties, including the duration of the outbreak, travel restrictions and business closures, the effectiveness of vaccination programs and other actions taken to contain the disease and other unforeseeable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215900</wp:posOffset>
            </wp:positionV>
            <wp:extent cx="6597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02"/>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and loss contingencies, among others. Changes in the facts or circumstances underlying these estimates, including due to COVID-19, could result in material changes and actual results could materially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are no recently issued accounting pronouncements that we expect to have a material impact on our consolidated financial statements when adopted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There have been no new or material changes to our significant accounting policies described in our Annual Report on Form 10-K for the year ended December 31, 2020, filed with the SEC on February 23, 2021.</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three months ended March 31, 2021,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8"/>
                <w:szCs w:val="18"/>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ACACAC"/>
          </w:tcPr>
          <w:p>
            <w:pPr>
              <w:spacing w:after="0"/>
              <w:rPr>
                <w:sz w:val="18"/>
                <w:szCs w:val="18"/>
                <w:color w:val="auto"/>
              </w:rPr>
            </w:pPr>
          </w:p>
        </w:tc>
      </w:tr>
      <w:tr>
        <w:trPr>
          <w:trHeight w:val="230"/>
        </w:trPr>
        <w:tc>
          <w:tcPr>
            <w:tcW w:w="980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420" w:type="dxa"/>
            <w:vAlign w:val="bottom"/>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635,854</w:t>
            </w:r>
          </w:p>
        </w:tc>
        <w:tc>
          <w:tcPr>
            <w:tcW w:w="20" w:type="dxa"/>
            <w:vAlign w:val="bottom"/>
          </w:tcPr>
          <w:p>
            <w:pPr>
              <w:spacing w:after="0"/>
              <w:rPr>
                <w:sz w:val="19"/>
                <w:szCs w:val="19"/>
                <w:color w:val="auto"/>
              </w:rPr>
            </w:pPr>
          </w:p>
        </w:tc>
      </w:tr>
      <w:tr>
        <w:trPr>
          <w:trHeight w:val="230"/>
        </w:trPr>
        <w:tc>
          <w:tcPr>
            <w:tcW w:w="980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9"/>
                <w:szCs w:val="19"/>
                <w:color w:val="auto"/>
              </w:rPr>
            </w:pPr>
          </w:p>
        </w:tc>
      </w:tr>
      <w:tr>
        <w:trPr>
          <w:trHeight w:val="223"/>
        </w:trPr>
        <w:tc>
          <w:tcPr>
            <w:tcW w:w="980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637,113</w:t>
            </w:r>
          </w:p>
        </w:tc>
        <w:tc>
          <w:tcPr>
            <w:tcW w:w="20" w:type="dxa"/>
            <w:vAlign w:val="bottom"/>
          </w:tcPr>
          <w:p>
            <w:pPr>
              <w:spacing w:after="0"/>
              <w:rPr>
                <w:sz w:val="19"/>
                <w:szCs w:val="19"/>
                <w:color w:val="auto"/>
              </w:rPr>
            </w:pP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compute basic earnings (loss) per share by dividing net income available to common stockholders by the weighted average number of common shares outstanding during the period. Diluted earnings (loss) per share is computed by dividing net income available to common stockholders by the weighted average number of common shares and dilutive potential common shares outstanding during the period. Diluted earnings (loss)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 Diluted loss per share for the three months ended March 31, 2021 was the same as basic loss per share as there was a net loss in the period and inclusion of potentially dilutive securities was anti-dilutive.</w:t>
      </w:r>
    </w:p>
    <w:p>
      <w:pPr>
        <w:spacing w:after="0" w:line="32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8</w:t>
      </w:r>
      <w:r>
        <w:rPr>
          <w:sz w:val="20"/>
          <w:szCs w:val="20"/>
          <w:color w:val="auto"/>
        </w:rPr>
        <w:tab/>
      </w:r>
      <w:r>
        <w:rPr>
          <w:sz w:val="1"/>
          <w:szCs w:val="1"/>
          <w:color w:val="auto"/>
        </w:rPr>
        <w:drawing>
          <wp:inline distT="0" distB="0" distL="0" distR="0">
            <wp:extent cx="651510" cy="171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24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6"/>
        </w:trPr>
        <w:tc>
          <w:tcPr>
            <w:tcW w:w="862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100" w:type="dxa"/>
            <w:vAlign w:val="bottom"/>
            <w:shd w:val="clear" w:color="auto" w:fill="ACACAC"/>
          </w:tcPr>
          <w:p>
            <w:pPr>
              <w:spacing w:after="0"/>
              <w:rPr>
                <w:sz w:val="15"/>
                <w:szCs w:val="15"/>
                <w:color w:val="auto"/>
              </w:rPr>
            </w:pPr>
          </w:p>
        </w:tc>
        <w:tc>
          <w:tcPr>
            <w:tcW w:w="220" w:type="dxa"/>
            <w:vAlign w:val="bottom"/>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86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20" w:type="dxa"/>
            <w:vAlign w:val="bottom"/>
            <w:shd w:val="clear" w:color="auto" w:fill="ACACAC"/>
          </w:tcPr>
          <w:p>
            <w:pPr>
              <w:spacing w:after="0"/>
              <w:rPr>
                <w:sz w:val="18"/>
                <w:szCs w:val="18"/>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229"/>
        </w:trPr>
        <w:tc>
          <w:tcPr>
            <w:tcW w:w="8620" w:type="dxa"/>
            <w:vAlign w:val="bottom"/>
            <w:shd w:val="clear" w:color="auto" w:fill="F4F4F4"/>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62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4,639</w:t>
            </w:r>
          </w:p>
        </w:tc>
        <w:tc>
          <w:tcPr>
            <w:tcW w:w="20" w:type="dxa"/>
            <w:vAlign w:val="bottom"/>
          </w:tcPr>
          <w:p>
            <w:pPr>
              <w:spacing w:after="0"/>
              <w:rPr>
                <w:sz w:val="19"/>
                <w:szCs w:val="19"/>
                <w:color w:val="auto"/>
              </w:rPr>
            </w:pPr>
          </w:p>
        </w:tc>
      </w:tr>
      <w:tr>
        <w:trPr>
          <w:trHeight w:val="229"/>
        </w:trPr>
        <w:tc>
          <w:tcPr>
            <w:tcW w:w="862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47,363,197</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48,036,300</w:t>
            </w:r>
          </w:p>
        </w:tc>
        <w:tc>
          <w:tcPr>
            <w:tcW w:w="20" w:type="dxa"/>
            <w:vAlign w:val="bottom"/>
          </w:tcPr>
          <w:p>
            <w:pPr>
              <w:spacing w:after="0"/>
              <w:rPr>
                <w:sz w:val="19"/>
                <w:szCs w:val="19"/>
                <w:color w:val="auto"/>
              </w:rPr>
            </w:pPr>
          </w:p>
        </w:tc>
      </w:tr>
      <w:tr>
        <w:trPr>
          <w:trHeight w:val="230"/>
        </w:trPr>
        <w:tc>
          <w:tcPr>
            <w:tcW w:w="86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Add effect of dilutive securities:</w:t>
            </w:r>
          </w:p>
        </w:tc>
        <w:tc>
          <w:tcPr>
            <w:tcW w:w="22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22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620" w:type="dxa"/>
            <w:vAlign w:val="bottom"/>
            <w:tcBorders>
              <w:bottom w:val="single" w:sz="8" w:color="F4F4F4"/>
            </w:tcBorders>
          </w:tcPr>
          <w:p>
            <w:pPr>
              <w:ind w:left="360"/>
              <w:spacing w:after="0"/>
              <w:rPr>
                <w:sz w:val="20"/>
                <w:szCs w:val="20"/>
                <w:color w:val="auto"/>
              </w:rPr>
            </w:pPr>
            <w:r>
              <w:rPr>
                <w:rFonts w:ascii="Arial" w:cs="Arial" w:eastAsia="Arial" w:hAnsi="Arial"/>
                <w:sz w:val="18"/>
                <w:szCs w:val="18"/>
                <w:color w:val="auto"/>
              </w:rPr>
              <w:t>Stock-based awards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419,451</w:t>
            </w:r>
          </w:p>
        </w:tc>
        <w:tc>
          <w:tcPr>
            <w:tcW w:w="20" w:type="dxa"/>
            <w:vAlign w:val="bottom"/>
          </w:tcPr>
          <w:p>
            <w:pPr>
              <w:spacing w:after="0"/>
              <w:rPr>
                <w:sz w:val="19"/>
                <w:szCs w:val="19"/>
                <w:color w:val="auto"/>
              </w:rPr>
            </w:pPr>
          </w:p>
        </w:tc>
      </w:tr>
      <w:tr>
        <w:trPr>
          <w:trHeight w:val="223"/>
        </w:trPr>
        <w:tc>
          <w:tcPr>
            <w:tcW w:w="86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Weighted average common shares assuming dilution</w:t>
            </w:r>
          </w:p>
        </w:tc>
        <w:tc>
          <w:tcPr>
            <w:tcW w:w="220" w:type="dxa"/>
            <w:vAlign w:val="bottom"/>
            <w:tcBorders>
              <w:bottom w:val="single" w:sz="8" w:color="auto"/>
            </w:tcBorders>
            <w:shd w:val="clear" w:color="auto" w:fill="F4F4F4"/>
          </w:tcPr>
          <w:p>
            <w:pPr>
              <w:spacing w:after="0"/>
              <w:rPr>
                <w:sz w:val="19"/>
                <w:szCs w:val="19"/>
                <w:color w:val="auto"/>
              </w:rPr>
            </w:pPr>
          </w:p>
        </w:tc>
        <w:tc>
          <w:tcPr>
            <w:tcW w:w="110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47,363,197</w:t>
            </w:r>
          </w:p>
        </w:tc>
        <w:tc>
          <w:tcPr>
            <w:tcW w:w="220" w:type="dxa"/>
            <w:vAlign w:val="bottom"/>
            <w:tcBorders>
              <w:bottom w:val="single" w:sz="8" w:color="auto"/>
            </w:tcBorders>
            <w:shd w:val="clear" w:color="auto" w:fill="F4F4F4"/>
          </w:tcPr>
          <w:p>
            <w:pPr>
              <w:spacing w:after="0"/>
              <w:rPr>
                <w:sz w:val="19"/>
                <w:szCs w:val="19"/>
                <w:color w:val="auto"/>
              </w:rPr>
            </w:pPr>
          </w:p>
        </w:tc>
        <w:tc>
          <w:tcPr>
            <w:tcW w:w="10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48,455,751</w:t>
            </w:r>
          </w:p>
        </w:tc>
        <w:tc>
          <w:tcPr>
            <w:tcW w:w="20" w:type="dxa"/>
            <w:vAlign w:val="bottom"/>
          </w:tcPr>
          <w:p>
            <w:pPr>
              <w:spacing w:after="0"/>
              <w:rPr>
                <w:sz w:val="19"/>
                <w:szCs w:val="19"/>
                <w:color w:val="auto"/>
              </w:rPr>
            </w:pPr>
          </w:p>
        </w:tc>
      </w:tr>
      <w:tr>
        <w:trPr>
          <w:trHeight w:val="209"/>
        </w:trPr>
        <w:tc>
          <w:tcPr>
            <w:tcW w:w="862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620" w:type="dxa"/>
            <w:vAlign w:val="bottom"/>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F4F4F4"/>
          </w:tcPr>
          <w:p>
            <w:pPr>
              <w:jc w:val="right"/>
              <w:ind w:right="3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9"/>
                <w:szCs w:val="19"/>
                <w:color w:val="auto"/>
              </w:rPr>
            </w:pPr>
          </w:p>
        </w:tc>
      </w:tr>
      <w:tr>
        <w:trPr>
          <w:trHeight w:val="229"/>
        </w:trPr>
        <w:tc>
          <w:tcPr>
            <w:tcW w:w="86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9"/>
                <w:szCs w:val="19"/>
                <w:color w:val="auto"/>
              </w:rPr>
            </w:pPr>
          </w:p>
        </w:tc>
      </w:tr>
      <w:tr>
        <w:trPr>
          <w:trHeight w:val="270"/>
        </w:trPr>
        <w:tc>
          <w:tcPr>
            <w:tcW w:w="862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862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Anti-dilutive shares excluded from calculations of diluted earnings (loss) per share</w:t>
            </w:r>
          </w:p>
        </w:tc>
        <w:tc>
          <w:tcPr>
            <w:tcW w:w="220" w:type="dxa"/>
            <w:vAlign w:val="bottom"/>
            <w:tcBorders>
              <w:bottom w:val="single" w:sz="8" w:color="71BF43"/>
            </w:tcBorders>
          </w:tcPr>
          <w:p>
            <w:pPr>
              <w:spacing w:after="0"/>
              <w:rPr>
                <w:sz w:val="19"/>
                <w:szCs w:val="19"/>
                <w:color w:val="auto"/>
              </w:rPr>
            </w:pPr>
          </w:p>
        </w:tc>
        <w:tc>
          <w:tcPr>
            <w:tcW w:w="11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1,360,378</w:t>
            </w:r>
          </w:p>
        </w:tc>
        <w:tc>
          <w:tcPr>
            <w:tcW w:w="220" w:type="dxa"/>
            <w:vAlign w:val="bottom"/>
            <w:tcBorders>
              <w:bottom w:val="single" w:sz="8" w:color="71BF43"/>
            </w:tcBorders>
          </w:tcPr>
          <w:p>
            <w:pPr>
              <w:spacing w:after="0"/>
              <w:rPr>
                <w:sz w:val="19"/>
                <w:szCs w:val="19"/>
                <w:color w:val="auto"/>
              </w:rPr>
            </w:pP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1,170,289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-1927860</wp:posOffset>
            </wp:positionV>
            <wp:extent cx="1671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use a three-tier fair value hierarchy to measure fair value. This hierarchy prioritizes the inputs into three broad levels as follows:</w:t>
      </w:r>
    </w:p>
    <w:p>
      <w:pPr>
        <w:spacing w:after="0" w:line="117" w:lineRule="exact"/>
        <w:rPr>
          <w:sz w:val="20"/>
          <w:szCs w:val="20"/>
          <w:color w:val="auto"/>
        </w:rPr>
      </w:pPr>
    </w:p>
    <w:p>
      <w:pPr>
        <w:ind w:left="700" w:hanging="287"/>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17" w:lineRule="exact"/>
        <w:rPr>
          <w:rFonts w:ascii="Arial" w:cs="Arial" w:eastAsia="Arial" w:hAnsi="Arial"/>
          <w:sz w:val="18"/>
          <w:szCs w:val="18"/>
          <w:color w:val="auto"/>
        </w:rPr>
      </w:pPr>
    </w:p>
    <w:p>
      <w:pPr>
        <w:jc w:val="both"/>
        <w:ind w:left="740" w:right="20" w:hanging="327"/>
        <w:spacing w:after="0" w:line="256" w:lineRule="auto"/>
        <w:tabs>
          <w:tab w:leader="none" w:pos="708"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229235</wp:posOffset>
            </wp:positionV>
            <wp:extent cx="65976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02"/>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shd w:val="clear" w:color="auto" w:fill="ACACAC"/>
          </w:tcPr>
          <w:p>
            <w:pPr>
              <w:spacing w:after="0"/>
              <w:rPr>
                <w:sz w:val="17"/>
                <w:szCs w:val="17"/>
                <w:color w:val="auto"/>
              </w:rPr>
            </w:pPr>
          </w:p>
        </w:tc>
        <w:tc>
          <w:tcPr>
            <w:tcW w:w="560" w:type="dxa"/>
            <w:vAlign w:val="bottom"/>
            <w:shd w:val="clear" w:color="auto" w:fill="ACACAC"/>
          </w:tcPr>
          <w:p>
            <w:pPr>
              <w:spacing w:after="0"/>
              <w:rPr>
                <w:sz w:val="17"/>
                <w:szCs w:val="17"/>
                <w:color w:val="auto"/>
              </w:rPr>
            </w:pPr>
          </w:p>
        </w:tc>
        <w:tc>
          <w:tcPr>
            <w:tcW w:w="3240" w:type="dxa"/>
            <w:vAlign w:val="bottom"/>
            <w:gridSpan w:val="6"/>
            <w:shd w:val="clear" w:color="auto" w:fill="ACACAC"/>
          </w:tcPr>
          <w:p>
            <w:pPr>
              <w:ind w:left="760"/>
              <w:spacing w:after="0"/>
              <w:rPr>
                <w:sz w:val="20"/>
                <w:szCs w:val="20"/>
                <w:color w:val="auto"/>
              </w:rPr>
            </w:pPr>
            <w:r>
              <w:rPr>
                <w:rFonts w:ascii="Arial" w:cs="Arial" w:eastAsia="Arial" w:hAnsi="Arial"/>
                <w:sz w:val="14"/>
                <w:szCs w:val="14"/>
                <w:b w:val="1"/>
                <w:bCs w:val="1"/>
                <w:color w:val="FFFFFF"/>
              </w:rPr>
              <w:t>Fair value measurement using</w:t>
            </w:r>
          </w:p>
        </w:tc>
        <w:tc>
          <w:tcPr>
            <w:tcW w:w="920" w:type="dxa"/>
            <w:vAlign w:val="bottom"/>
            <w:shd w:val="clear" w:color="auto" w:fill="ACACAC"/>
          </w:tcPr>
          <w:p>
            <w:pPr>
              <w:spacing w:after="0"/>
              <w:rPr>
                <w:sz w:val="17"/>
                <w:szCs w:val="17"/>
                <w:color w:val="auto"/>
              </w:rPr>
            </w:pPr>
          </w:p>
        </w:tc>
        <w:tc>
          <w:tcPr>
            <w:tcW w:w="100" w:type="dxa"/>
            <w:vAlign w:val="bottom"/>
            <w:shd w:val="clear" w:color="auto" w:fill="ACACAC"/>
          </w:tcPr>
          <w:p>
            <w:pPr>
              <w:spacing w:after="0"/>
              <w:rPr>
                <w:sz w:val="17"/>
                <w:szCs w:val="17"/>
                <w:color w:val="auto"/>
              </w:rPr>
            </w:pPr>
          </w:p>
        </w:tc>
        <w:tc>
          <w:tcPr>
            <w:tcW w:w="540" w:type="dxa"/>
            <w:vAlign w:val="bottom"/>
            <w:shd w:val="clear" w:color="auto" w:fill="ACACAC"/>
          </w:tcPr>
          <w:p>
            <w:pPr>
              <w:spacing w:after="0"/>
              <w:rPr>
                <w:sz w:val="17"/>
                <w:szCs w:val="17"/>
                <w:color w:val="auto"/>
              </w:rPr>
            </w:pPr>
          </w:p>
        </w:tc>
        <w:tc>
          <w:tcPr>
            <w:tcW w:w="96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r>
      <w:tr>
        <w:trPr>
          <w:trHeight w:val="216"/>
        </w:trPr>
        <w:tc>
          <w:tcPr>
            <w:tcW w:w="49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shd w:val="clear" w:color="auto" w:fill="ACACAC"/>
          </w:tcPr>
          <w:p>
            <w:pPr>
              <w:spacing w:after="0"/>
              <w:rPr>
                <w:sz w:val="18"/>
                <w:szCs w:val="18"/>
                <w:color w:val="auto"/>
              </w:rPr>
            </w:pPr>
          </w:p>
        </w:tc>
        <w:tc>
          <w:tcPr>
            <w:tcW w:w="940" w:type="dxa"/>
            <w:vAlign w:val="bottom"/>
            <w:shd w:val="clear" w:color="auto" w:fill="ACACAC"/>
          </w:tcPr>
          <w:p>
            <w:pPr>
              <w:ind w:left="440"/>
              <w:spacing w:after="0"/>
              <w:rPr>
                <w:sz w:val="20"/>
                <w:szCs w:val="20"/>
                <w:color w:val="auto"/>
              </w:rPr>
            </w:pPr>
            <w:r>
              <w:rPr>
                <w:rFonts w:ascii="Arial" w:cs="Arial" w:eastAsia="Arial" w:hAnsi="Arial"/>
                <w:sz w:val="14"/>
                <w:szCs w:val="14"/>
                <w:b w:val="1"/>
                <w:bCs w:val="1"/>
                <w:color w:val="FFFFFF"/>
              </w:rPr>
              <w:t>Level 1</w:t>
            </w:r>
          </w:p>
        </w:tc>
        <w:tc>
          <w:tcPr>
            <w:tcW w:w="10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940" w:type="dxa"/>
            <w:vAlign w:val="bottom"/>
            <w:shd w:val="clear" w:color="auto" w:fill="ACACAC"/>
          </w:tcPr>
          <w:p>
            <w:pPr>
              <w:ind w:left="440"/>
              <w:spacing w:after="0"/>
              <w:rPr>
                <w:sz w:val="20"/>
                <w:szCs w:val="20"/>
                <w:color w:val="auto"/>
              </w:rPr>
            </w:pPr>
            <w:r>
              <w:rPr>
                <w:rFonts w:ascii="Arial" w:cs="Arial" w:eastAsia="Arial" w:hAnsi="Arial"/>
                <w:sz w:val="14"/>
                <w:szCs w:val="14"/>
                <w:b w:val="1"/>
                <w:bCs w:val="1"/>
                <w:color w:val="FFFFFF"/>
              </w:rPr>
              <w:t>Level 2</w:t>
            </w:r>
          </w:p>
        </w:tc>
        <w:tc>
          <w:tcPr>
            <w:tcW w:w="120" w:type="dxa"/>
            <w:vAlign w:val="bottom"/>
            <w:shd w:val="clear" w:color="auto" w:fill="ACACAC"/>
          </w:tcPr>
          <w:p>
            <w:pPr>
              <w:spacing w:after="0"/>
              <w:rPr>
                <w:sz w:val="18"/>
                <w:szCs w:val="18"/>
                <w:color w:val="auto"/>
              </w:rPr>
            </w:pPr>
          </w:p>
        </w:tc>
        <w:tc>
          <w:tcPr>
            <w:tcW w:w="580" w:type="dxa"/>
            <w:vAlign w:val="bottom"/>
            <w:shd w:val="clear" w:color="auto" w:fill="ACACAC"/>
          </w:tcPr>
          <w:p>
            <w:pPr>
              <w:spacing w:after="0"/>
              <w:rPr>
                <w:sz w:val="18"/>
                <w:szCs w:val="18"/>
                <w:color w:val="auto"/>
              </w:rPr>
            </w:pPr>
          </w:p>
        </w:tc>
        <w:tc>
          <w:tcPr>
            <w:tcW w:w="920" w:type="dxa"/>
            <w:vAlign w:val="bottom"/>
            <w:shd w:val="clear" w:color="auto" w:fill="ACACAC"/>
          </w:tcPr>
          <w:p>
            <w:pPr>
              <w:ind w:left="400"/>
              <w:spacing w:after="0"/>
              <w:rPr>
                <w:sz w:val="20"/>
                <w:szCs w:val="20"/>
                <w:color w:val="auto"/>
              </w:rPr>
            </w:pPr>
            <w:r>
              <w:rPr>
                <w:rFonts w:ascii="Arial" w:cs="Arial" w:eastAsia="Arial" w:hAnsi="Arial"/>
                <w:sz w:val="14"/>
                <w:szCs w:val="14"/>
                <w:b w:val="1"/>
                <w:bCs w:val="1"/>
                <w:color w:val="FFFFFF"/>
              </w:rPr>
              <w:t>Level 3</w:t>
            </w:r>
          </w:p>
        </w:tc>
        <w:tc>
          <w:tcPr>
            <w:tcW w:w="100" w:type="dxa"/>
            <w:vAlign w:val="bottom"/>
            <w:shd w:val="clear" w:color="auto" w:fill="ACACAC"/>
          </w:tcPr>
          <w:p>
            <w:pPr>
              <w:spacing w:after="0"/>
              <w:rPr>
                <w:sz w:val="18"/>
                <w:szCs w:val="18"/>
                <w:color w:val="auto"/>
              </w:rPr>
            </w:pPr>
          </w:p>
        </w:tc>
        <w:tc>
          <w:tcPr>
            <w:tcW w:w="540" w:type="dxa"/>
            <w:vAlign w:val="bottom"/>
            <w:shd w:val="clear" w:color="auto" w:fill="ACACAC"/>
          </w:tcPr>
          <w:p>
            <w:pPr>
              <w:spacing w:after="0"/>
              <w:rPr>
                <w:sz w:val="18"/>
                <w:szCs w:val="18"/>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ACACAC"/>
          </w:tcPr>
          <w:p>
            <w:pPr>
              <w:spacing w:after="0"/>
              <w:rPr>
                <w:sz w:val="18"/>
                <w:szCs w:val="18"/>
                <w:color w:val="auto"/>
              </w:rPr>
            </w:pPr>
          </w:p>
        </w:tc>
      </w:tr>
      <w:tr>
        <w:trPr>
          <w:trHeight w:val="230"/>
        </w:trPr>
        <w:tc>
          <w:tcPr>
            <w:tcW w:w="492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Fair value as of March 31, 2021</w:t>
            </w: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4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20" w:type="dxa"/>
            <w:vAlign w:val="bottom"/>
            <w:shd w:val="clear" w:color="auto" w:fill="F4F4F4"/>
          </w:tcPr>
          <w:p>
            <w:pPr>
              <w:jc w:val="center"/>
              <w:ind w:right="2772"/>
              <w:spacing w:after="0"/>
              <w:rPr>
                <w:sz w:val="20"/>
                <w:szCs w:val="20"/>
                <w:color w:val="auto"/>
              </w:rPr>
            </w:pPr>
            <w:r>
              <w:rPr>
                <w:rFonts w:ascii="Arial" w:cs="Arial" w:eastAsia="Arial" w:hAnsi="Arial"/>
                <w:sz w:val="18"/>
                <w:szCs w:val="18"/>
                <w:color w:val="auto"/>
                <w:w w:val="99"/>
              </w:rPr>
              <w:t>Derivative instruments</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9"/>
                <w:szCs w:val="19"/>
                <w:color w:val="auto"/>
              </w:rPr>
            </w:pP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4F4F4"/>
          </w:tcPr>
          <w:p>
            <w:pPr>
              <w:ind w:left="420"/>
              <w:spacing w:after="0"/>
              <w:rPr>
                <w:sz w:val="20"/>
                <w:szCs w:val="20"/>
                <w:color w:val="auto"/>
              </w:rPr>
            </w:pPr>
            <w:r>
              <w:rPr>
                <w:rFonts w:ascii="Arial" w:cs="Arial" w:eastAsia="Arial" w:hAnsi="Arial"/>
                <w:sz w:val="18"/>
                <w:szCs w:val="18"/>
                <w:color w:val="auto"/>
              </w:rPr>
              <w:t>2,851</w:t>
            </w:r>
          </w:p>
        </w:tc>
        <w:tc>
          <w:tcPr>
            <w:tcW w:w="120" w:type="dxa"/>
            <w:vAlign w:val="bottom"/>
            <w:shd w:val="clear" w:color="auto" w:fill="F4F4F4"/>
          </w:tcPr>
          <w:p>
            <w:pPr>
              <w:spacing w:after="0"/>
              <w:rPr>
                <w:sz w:val="19"/>
                <w:szCs w:val="19"/>
                <w:color w:val="auto"/>
              </w:rPr>
            </w:pPr>
          </w:p>
        </w:tc>
        <w:tc>
          <w:tcPr>
            <w:tcW w:w="580" w:type="dxa"/>
            <w:vAlign w:val="bottom"/>
            <w:tcBorders>
              <w:bottom w:val="single" w:sz="8" w:color="auto"/>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4F4F4"/>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9"/>
                <w:szCs w:val="19"/>
                <w:color w:val="auto"/>
              </w:rPr>
            </w:pPr>
          </w:p>
        </w:tc>
        <w:tc>
          <w:tcPr>
            <w:tcW w:w="540" w:type="dxa"/>
            <w:vAlign w:val="bottom"/>
            <w:tcBorders>
              <w:bottom w:val="single" w:sz="8" w:color="auto"/>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2,851</w:t>
            </w:r>
          </w:p>
        </w:tc>
        <w:tc>
          <w:tcPr>
            <w:tcW w:w="20" w:type="dxa"/>
            <w:vAlign w:val="bottom"/>
          </w:tcPr>
          <w:p>
            <w:pPr>
              <w:spacing w:after="0"/>
              <w:rPr>
                <w:sz w:val="19"/>
                <w:szCs w:val="19"/>
                <w:color w:val="auto"/>
              </w:rPr>
            </w:pPr>
          </w:p>
        </w:tc>
      </w:tr>
      <w:tr>
        <w:trPr>
          <w:trHeight w:val="223"/>
        </w:trPr>
        <w:tc>
          <w:tcPr>
            <w:tcW w:w="4920" w:type="dxa"/>
            <w:vAlign w:val="bottom"/>
          </w:tcPr>
          <w:p>
            <w:pPr>
              <w:jc w:val="center"/>
              <w:ind w:right="2732"/>
              <w:spacing w:after="0"/>
              <w:rPr>
                <w:sz w:val="20"/>
                <w:szCs w:val="20"/>
                <w:color w:val="auto"/>
              </w:rPr>
            </w:pPr>
            <w:r>
              <w:rPr>
                <w:rFonts w:ascii="Arial" w:cs="Arial" w:eastAsia="Arial" w:hAnsi="Arial"/>
                <w:sz w:val="18"/>
                <w:szCs w:val="18"/>
                <w:color w:val="auto"/>
                <w:w w:val="98"/>
              </w:rPr>
              <w:t>Total financial assets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2,851</w:t>
            </w:r>
          </w:p>
        </w:tc>
        <w:tc>
          <w:tcPr>
            <w:tcW w:w="20" w:type="dxa"/>
            <w:vAlign w:val="bottom"/>
          </w:tcPr>
          <w:p>
            <w:pPr>
              <w:spacing w:after="0"/>
              <w:rPr>
                <w:sz w:val="19"/>
                <w:szCs w:val="19"/>
                <w:color w:val="auto"/>
              </w:rPr>
            </w:pPr>
          </w:p>
        </w:tc>
      </w:tr>
      <w:tr>
        <w:trPr>
          <w:trHeight w:val="270"/>
        </w:trPr>
        <w:tc>
          <w:tcPr>
            <w:tcW w:w="49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80" w:type="dxa"/>
            <w:vAlign w:val="bottom"/>
            <w:shd w:val="clear" w:color="auto" w:fill="F4F4F4"/>
          </w:tcPr>
          <w:p>
            <w:pPr>
              <w:spacing w:after="0"/>
              <w:rPr>
                <w:sz w:val="23"/>
                <w:szCs w:val="23"/>
                <w:color w:val="auto"/>
              </w:rPr>
            </w:pPr>
          </w:p>
        </w:tc>
        <w:tc>
          <w:tcPr>
            <w:tcW w:w="92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20" w:type="dxa"/>
            <w:vAlign w:val="bottom"/>
            <w:shd w:val="clear" w:color="auto" w:fill="F4F4F4"/>
          </w:tcPr>
          <w:p>
            <w:pPr>
              <w:jc w:val="center"/>
              <w:ind w:right="2772"/>
              <w:spacing w:after="0"/>
              <w:rPr>
                <w:sz w:val="20"/>
                <w:szCs w:val="20"/>
                <w:color w:val="auto"/>
              </w:rPr>
            </w:pPr>
            <w:r>
              <w:rPr>
                <w:rFonts w:ascii="Arial" w:cs="Arial" w:eastAsia="Arial" w:hAnsi="Arial"/>
                <w:sz w:val="18"/>
                <w:szCs w:val="18"/>
                <w:color w:val="auto"/>
                <w:w w:val="99"/>
              </w:rPr>
              <w:t>Derivative instruments</w:t>
            </w: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9"/>
                <w:szCs w:val="19"/>
                <w:color w:val="auto"/>
              </w:rPr>
            </w:pPr>
          </w:p>
        </w:tc>
        <w:tc>
          <w:tcPr>
            <w:tcW w:w="560" w:type="dxa"/>
            <w:vAlign w:val="bottom"/>
            <w:tcBorders>
              <w:bottom w:val="single" w:sz="8" w:color="auto"/>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F4F4F4"/>
          </w:tcPr>
          <w:p>
            <w:pPr>
              <w:ind w:left="420"/>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F4F4F4"/>
          </w:tcPr>
          <w:p>
            <w:pPr>
              <w:spacing w:after="0"/>
              <w:rPr>
                <w:sz w:val="19"/>
                <w:szCs w:val="19"/>
                <w:color w:val="auto"/>
              </w:rPr>
            </w:pPr>
          </w:p>
        </w:tc>
        <w:tc>
          <w:tcPr>
            <w:tcW w:w="580" w:type="dxa"/>
            <w:vAlign w:val="bottom"/>
            <w:tcBorders>
              <w:bottom w:val="single" w:sz="8" w:color="auto"/>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F4F4F4"/>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F4F4F4"/>
          </w:tcPr>
          <w:p>
            <w:pPr>
              <w:spacing w:after="0"/>
              <w:rPr>
                <w:sz w:val="19"/>
                <w:szCs w:val="19"/>
                <w:color w:val="auto"/>
              </w:rPr>
            </w:pPr>
          </w:p>
        </w:tc>
        <w:tc>
          <w:tcPr>
            <w:tcW w:w="540" w:type="dxa"/>
            <w:vAlign w:val="bottom"/>
            <w:tcBorders>
              <w:bottom w:val="single" w:sz="8" w:color="auto"/>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1,431</w:t>
            </w:r>
          </w:p>
        </w:tc>
        <w:tc>
          <w:tcPr>
            <w:tcW w:w="20" w:type="dxa"/>
            <w:vAlign w:val="bottom"/>
          </w:tcPr>
          <w:p>
            <w:pPr>
              <w:spacing w:after="0"/>
              <w:rPr>
                <w:sz w:val="19"/>
                <w:szCs w:val="19"/>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financial liabilities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42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1,431</w:t>
            </w:r>
          </w:p>
        </w:tc>
        <w:tc>
          <w:tcPr>
            <w:tcW w:w="20" w:type="dxa"/>
            <w:vAlign w:val="bottom"/>
          </w:tcPr>
          <w:p>
            <w:pPr>
              <w:spacing w:after="0"/>
              <w:rPr>
                <w:sz w:val="19"/>
                <w:szCs w:val="19"/>
                <w:color w:val="auto"/>
              </w:rPr>
            </w:pPr>
          </w:p>
        </w:tc>
      </w:tr>
      <w:tr>
        <w:trPr>
          <w:trHeight w:val="270"/>
        </w:trPr>
        <w:tc>
          <w:tcPr>
            <w:tcW w:w="49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80" w:type="dxa"/>
            <w:vAlign w:val="bottom"/>
            <w:shd w:val="clear" w:color="auto" w:fill="F4F4F4"/>
          </w:tcPr>
          <w:p>
            <w:pPr>
              <w:spacing w:after="0"/>
              <w:rPr>
                <w:sz w:val="23"/>
                <w:szCs w:val="23"/>
                <w:color w:val="auto"/>
              </w:rPr>
            </w:pPr>
          </w:p>
        </w:tc>
        <w:tc>
          <w:tcPr>
            <w:tcW w:w="92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Fair value as of December 31, 2020</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20" w:type="dxa"/>
            <w:vAlign w:val="bottom"/>
            <w:shd w:val="clear" w:color="auto" w:fill="F4F4F4"/>
          </w:tcPr>
          <w:p>
            <w:pPr>
              <w:ind w:left="20"/>
              <w:spacing w:after="0"/>
              <w:rPr>
                <w:sz w:val="20"/>
                <w:szCs w:val="20"/>
                <w:color w:val="auto"/>
              </w:rPr>
            </w:pPr>
            <w:r>
              <w:rPr>
                <w:rFonts w:ascii="Arial" w:cs="Arial" w:eastAsia="Arial" w:hAnsi="Arial"/>
                <w:sz w:val="18"/>
                <w:szCs w:val="18"/>
                <w:color w:val="auto"/>
              </w:rPr>
              <w:t>Financial liabilities:</w:t>
            </w: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58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54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20" w:type="dxa"/>
            <w:vAlign w:val="bottom"/>
            <w:tcBorders>
              <w:bottom w:val="single" w:sz="8" w:color="F4F4F4"/>
            </w:tcBorders>
          </w:tcPr>
          <w:p>
            <w:pPr>
              <w:jc w:val="center"/>
              <w:ind w:right="2772"/>
              <w:spacing w:after="0"/>
              <w:rPr>
                <w:sz w:val="20"/>
                <w:szCs w:val="20"/>
                <w:color w:val="auto"/>
              </w:rPr>
            </w:pPr>
            <w:r>
              <w:rPr>
                <w:rFonts w:ascii="Arial" w:cs="Arial" w:eastAsia="Arial" w:hAnsi="Arial"/>
                <w:sz w:val="18"/>
                <w:szCs w:val="18"/>
                <w:color w:val="auto"/>
                <w:w w:val="99"/>
              </w:rPr>
              <w:t>Derivative instruments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F4F4F4"/>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4F4F4"/>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19"/>
                <w:szCs w:val="19"/>
                <w:color w:val="auto"/>
              </w:rPr>
            </w:pPr>
          </w:p>
        </w:tc>
      </w:tr>
      <w:tr>
        <w:trPr>
          <w:trHeight w:val="223"/>
        </w:trPr>
        <w:tc>
          <w:tcPr>
            <w:tcW w:w="4920" w:type="dxa"/>
            <w:vAlign w:val="bottom"/>
            <w:tcBorders>
              <w:bottom w:val="single" w:sz="8" w:color="71BF43"/>
            </w:tcBorders>
            <w:shd w:val="clear" w:color="auto" w:fill="F4F4F4"/>
          </w:tcPr>
          <w:p>
            <w:pPr>
              <w:ind w:left="220"/>
              <w:spacing w:after="0"/>
              <w:rPr>
                <w:sz w:val="20"/>
                <w:szCs w:val="20"/>
                <w:color w:val="auto"/>
              </w:rPr>
            </w:pPr>
            <w:r>
              <w:rPr>
                <w:rFonts w:ascii="Arial" w:cs="Arial" w:eastAsia="Arial" w:hAnsi="Arial"/>
                <w:sz w:val="18"/>
                <w:szCs w:val="18"/>
                <w:color w:val="auto"/>
              </w:rPr>
              <w:t>Total financial liabilities</w:t>
            </w:r>
          </w:p>
        </w:tc>
        <w:tc>
          <w:tcPr>
            <w:tcW w:w="560" w:type="dxa"/>
            <w:vAlign w:val="bottom"/>
            <w:tcBorders>
              <w:bottom w:val="single" w:sz="8" w:color="71BF43"/>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71BF43"/>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71BF43"/>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71BF43"/>
            </w:tcBorders>
            <w:shd w:val="clear" w:color="auto" w:fill="F4F4F4"/>
          </w:tcPr>
          <w:p>
            <w:pPr>
              <w:ind w:left="420"/>
              <w:spacing w:after="0"/>
              <w:rPr>
                <w:sz w:val="20"/>
                <w:szCs w:val="20"/>
                <w:color w:val="auto"/>
              </w:rPr>
            </w:pPr>
            <w:r>
              <w:rPr>
                <w:rFonts w:ascii="Arial" w:cs="Arial" w:eastAsia="Arial" w:hAnsi="Arial"/>
                <w:sz w:val="18"/>
                <w:szCs w:val="18"/>
                <w:color w:val="auto"/>
              </w:rPr>
              <w:t>4,159</w:t>
            </w:r>
          </w:p>
        </w:tc>
        <w:tc>
          <w:tcPr>
            <w:tcW w:w="120" w:type="dxa"/>
            <w:vAlign w:val="bottom"/>
            <w:tcBorders>
              <w:bottom w:val="single" w:sz="8" w:color="71BF43"/>
            </w:tcBorders>
            <w:shd w:val="clear" w:color="auto" w:fill="F4F4F4"/>
          </w:tcPr>
          <w:p>
            <w:pPr>
              <w:spacing w:after="0"/>
              <w:rPr>
                <w:sz w:val="19"/>
                <w:szCs w:val="19"/>
                <w:color w:val="auto"/>
              </w:rPr>
            </w:pPr>
          </w:p>
        </w:tc>
        <w:tc>
          <w:tcPr>
            <w:tcW w:w="580" w:type="dxa"/>
            <w:vAlign w:val="bottom"/>
            <w:tcBorders>
              <w:bottom w:val="single" w:sz="8" w:color="71BF43"/>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71BF43"/>
            </w:tcBorders>
            <w:gridSpan w:val="2"/>
            <w:shd w:val="clear" w:color="auto" w:fill="F4F4F4"/>
          </w:tcPr>
          <w:p>
            <w:pPr>
              <w:ind w:left="6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71BF43"/>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-2116455</wp:posOffset>
            </wp:positionV>
            <wp:extent cx="30003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w:t>
      </w:r>
    </w:p>
    <w:p>
      <w:pPr>
        <w:spacing w:after="0" w:line="12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the carrying amounts of our cash and cash equivalents, restricted cash, accounts receivable, trade accounts payable, accrued expenses and other current liabilities and due to customers approximate their fair values at March 31, 2021 and December 31, 2020, due to the immediate or short-term maturity of these instruments.</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believe the carrying amount of our debt approximates its fair value at March 31, 2021 and December 31, 2020, as the debt bears interest rates that approximate market value. As LIBOR rates are observable at commonly quoted intervals, our debt under the 2020 Credit Facility (as defined below) is classified within Level 2 of the fair value hierarchy. Our fixed rate debt is also classified within Level 2 of the fair value hierarchy.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We did not transfer any assets or liabilities among the levels within the fair value hierarchy during the three months ended March 31,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did not hold any Level 3 assets or liabilities during the three months ended March 31, 2021.</w:t>
      </w:r>
    </w:p>
    <w:p>
      <w:pPr>
        <w:spacing w:after="0" w:line="33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10</w:t>
      </w:r>
      <w:r>
        <w:rPr>
          <w:sz w:val="20"/>
          <w:szCs w:val="20"/>
          <w:color w:val="auto"/>
        </w:rPr>
        <w:tab/>
      </w:r>
      <w:r>
        <w:rPr>
          <w:sz w:val="1"/>
          <w:szCs w:val="1"/>
          <w:color w:val="auto"/>
        </w:rPr>
        <w:drawing>
          <wp:inline distT="0" distB="0" distL="0" distR="0">
            <wp:extent cx="651510"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were no non-recurring fair value adjustments to our long-lived assets, intangible assets, goodwill and operating lease ROU assets during the three months ended March 31, 2021.</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940" w:type="dxa"/>
            <w:vAlign w:val="bottom"/>
            <w:vMerge w:val="continue"/>
            <w:shd w:val="clear" w:color="auto" w:fill="ACACAC"/>
          </w:tcPr>
          <w:p>
            <w:pPr>
              <w:spacing w:after="0"/>
              <w:rPr>
                <w:sz w:val="15"/>
                <w:szCs w:val="15"/>
                <w:color w:val="auto"/>
              </w:rPr>
            </w:pPr>
          </w:p>
        </w:tc>
        <w:tc>
          <w:tcPr>
            <w:tcW w:w="52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5"/>
                <w:szCs w:val="15"/>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Restricted cash due to customers</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254,002</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607,943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Real estate escrow balances</w:t>
            </w: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8CBE4F"/>
            </w:tcBorders>
            <w:shd w:val="clear" w:color="auto" w:fill="F4F4F4"/>
          </w:tcPr>
          <w:p>
            <w:pPr>
              <w:ind w:left="140"/>
              <w:spacing w:after="0"/>
              <w:rPr>
                <w:sz w:val="20"/>
                <w:szCs w:val="20"/>
                <w:color w:val="auto"/>
              </w:rPr>
            </w:pPr>
            <w:r>
              <w:rPr>
                <w:rFonts w:ascii="Arial" w:cs="Arial" w:eastAsia="Arial" w:hAnsi="Arial"/>
                <w:sz w:val="18"/>
                <w:szCs w:val="18"/>
                <w:color w:val="auto"/>
              </w:rPr>
              <w:t>Total restricted cash</w:t>
            </w:r>
          </w:p>
        </w:tc>
        <w:tc>
          <w:tcPr>
            <w:tcW w:w="520" w:type="dxa"/>
            <w:vAlign w:val="bottom"/>
            <w:tcBorders>
              <w:bottom w:val="single" w:sz="8" w:color="8CBE4F"/>
            </w:tcBorders>
            <w:shd w:val="clear" w:color="auto" w:fill="F4F4F4"/>
          </w:tcPr>
          <w:p>
            <w:pPr>
              <w:spacing w:after="0"/>
              <w:rPr>
                <w:sz w:val="19"/>
                <w:szCs w:val="19"/>
                <w:color w:val="auto"/>
              </w:rPr>
            </w:pPr>
          </w:p>
        </w:tc>
        <w:tc>
          <w:tcPr>
            <w:tcW w:w="114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255,158</w:t>
            </w:r>
          </w:p>
        </w:tc>
        <w:tc>
          <w:tcPr>
            <w:tcW w:w="400" w:type="dxa"/>
            <w:vAlign w:val="bottom"/>
            <w:tcBorders>
              <w:bottom w:val="single" w:sz="8" w:color="8CBE4F"/>
            </w:tcBorders>
            <w:shd w:val="clear" w:color="auto" w:fill="F4F4F4"/>
          </w:tcPr>
          <w:p>
            <w:pPr>
              <w:spacing w:after="0"/>
              <w:rPr>
                <w:sz w:val="19"/>
                <w:szCs w:val="19"/>
                <w:color w:val="auto"/>
              </w:rPr>
            </w:pPr>
          </w:p>
        </w:tc>
        <w:tc>
          <w:tcPr>
            <w:tcW w:w="124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609,219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940" w:type="dxa"/>
            <w:vAlign w:val="bottom"/>
          </w:tcPr>
          <w:p>
            <w:pPr>
              <w:spacing w:after="0"/>
              <w:rPr>
                <w:sz w:val="20"/>
                <w:szCs w:val="20"/>
                <w:color w:val="auto"/>
              </w:rPr>
            </w:pPr>
            <w:r>
              <w:rPr>
                <w:rFonts w:ascii="Arial" w:cs="Arial" w:eastAsia="Arial" w:hAnsi="Arial"/>
                <w:sz w:val="18"/>
                <w:szCs w:val="18"/>
                <w:b w:val="1"/>
                <w:bCs w:val="1"/>
                <w:color w:val="auto"/>
              </w:rPr>
              <w:t>Prepaid expenses and other assets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40" w:type="dxa"/>
            <w:vAlign w:val="bottom"/>
            <w:vMerge w:val="continue"/>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Costs of obtaining contracts</w:t>
            </w:r>
            <w:r>
              <w:rPr>
                <w:rFonts w:ascii="Arial" w:cs="Arial" w:eastAsia="Arial" w:hAnsi="Arial"/>
                <w:sz w:val="23"/>
                <w:szCs w:val="23"/>
                <w:color w:val="auto"/>
                <w:vertAlign w:val="superscript"/>
              </w:rPr>
              <w:t>(1)(2)</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83,421</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84,914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line="230" w:lineRule="exact"/>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3"/>
                <w:szCs w:val="23"/>
                <w:color w:val="auto"/>
                <w:vertAlign w:val="superscript"/>
              </w:rPr>
              <w:t>(3)</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33,113</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Receivables for probable insurance recoveries</w:t>
            </w:r>
            <w:r>
              <w:rPr>
                <w:rFonts w:ascii="Arial" w:cs="Arial" w:eastAsia="Arial" w:hAnsi="Arial"/>
                <w:sz w:val="23"/>
                <w:szCs w:val="23"/>
                <w:color w:val="auto"/>
                <w:vertAlign w:val="superscript"/>
              </w:rPr>
              <w:t>(4)</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15,723</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line="230" w:lineRule="exact"/>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3"/>
                <w:szCs w:val="23"/>
                <w:color w:val="auto"/>
                <w:vertAlign w:val="superscript"/>
              </w:rPr>
              <w:t>(5)(6)</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11,451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Unbilled accounts receivable</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7,660</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6,397</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52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2,851</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Taxes, prepaid and receivable</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Borders>
              <w:bottom w:val="single" w:sz="8" w:color="auto"/>
            </w:tcBorders>
            <w:shd w:val="clear" w:color="auto" w:fill="F4F4F4"/>
          </w:tcPr>
          <w:p>
            <w:pPr>
              <w:spacing w:after="0"/>
              <w:rPr>
                <w:sz w:val="19"/>
                <w:szCs w:val="19"/>
                <w:color w:val="auto"/>
              </w:rPr>
            </w:pPr>
          </w:p>
        </w:tc>
        <w:tc>
          <w:tcPr>
            <w:tcW w:w="11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10,015</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10,332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8"/>
                <w:szCs w:val="18"/>
                <w:color w:val="auto"/>
              </w:rPr>
              <w:t>Total prepaid expenses and other assets</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172,117</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Less: Long-term portion</w:t>
            </w:r>
          </w:p>
        </w:tc>
        <w:tc>
          <w:tcPr>
            <w:tcW w:w="520" w:type="dxa"/>
            <w:vAlign w:val="bottom"/>
            <w:tcBorders>
              <w:bottom w:val="single" w:sz="8" w:color="auto"/>
            </w:tcBorders>
            <w:shd w:val="clear" w:color="auto" w:fill="F4F4F4"/>
          </w:tcPr>
          <w:p>
            <w:pPr>
              <w:spacing w:after="0"/>
              <w:rPr>
                <w:sz w:val="19"/>
                <w:szCs w:val="19"/>
                <w:color w:val="auto"/>
              </w:rPr>
            </w:pPr>
          </w:p>
        </w:tc>
        <w:tc>
          <w:tcPr>
            <w:tcW w:w="11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74,022</w:t>
            </w:r>
          </w:p>
        </w:tc>
        <w:tc>
          <w:tcPr>
            <w:tcW w:w="400" w:type="dxa"/>
            <w:vAlign w:val="bottom"/>
            <w:tcBorders>
              <w:bottom w:val="single" w:sz="8" w:color="auto"/>
            </w:tcBorders>
            <w:shd w:val="clear" w:color="auto" w:fill="F4F4F4"/>
          </w:tcPr>
          <w:p>
            <w:pPr>
              <w:spacing w:after="0"/>
              <w:rPr>
                <w:sz w:val="19"/>
                <w:szCs w:val="19"/>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72,639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bottom w:val="single" w:sz="8" w:color="71BF43"/>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98,095</w:t>
            </w:r>
          </w:p>
        </w:tc>
        <w:tc>
          <w:tcPr>
            <w:tcW w:w="400" w:type="dxa"/>
            <w:vAlign w:val="bottom"/>
            <w:tcBorders>
              <w:bottom w:val="single" w:sz="8" w:color="71BF43"/>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78,366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$9.2 million and $9.5 million for the three months ended March 31, 2021 and 2020,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March 31, 2021 and December 31, 2020 was $31.6 million and $31.9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March 31, 2021 and December 31, 2020 was $28.0 million and $19.8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discussion of the Security Incident at Note 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costs primarily relate to the multi-year implementations of our new global enterprise resource planning and customer relationship management systems.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54"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insignificant for the three months ended March 31, 2021 and 2020, respectively. Accumulated amortization for these costs was $1.6 million as of March 31, 2021 and $1.1 million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8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40" w:type="dxa"/>
            <w:vAlign w:val="bottom"/>
            <w:shd w:val="clear" w:color="auto" w:fill="ACACAC"/>
          </w:tcPr>
          <w:p>
            <w:pPr>
              <w:spacing w:after="0"/>
              <w:rPr>
                <w:sz w:val="14"/>
                <w:szCs w:val="14"/>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40" w:type="dxa"/>
            <w:vAlign w:val="bottom"/>
            <w:vMerge w:val="continue"/>
            <w:shd w:val="clear" w:color="auto" w:fill="ACACAC"/>
          </w:tcPr>
          <w:p>
            <w:pPr>
              <w:spacing w:after="0"/>
              <w:rPr>
                <w:sz w:val="16"/>
                <w:szCs w:val="16"/>
                <w:color w:val="auto"/>
              </w:rPr>
            </w:pPr>
          </w:p>
        </w:tc>
        <w:tc>
          <w:tcPr>
            <w:tcW w:w="54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line="230" w:lineRule="exact"/>
              <w:rPr>
                <w:sz w:val="20"/>
                <w:szCs w:val="20"/>
                <w:color w:val="auto"/>
              </w:rPr>
            </w:pPr>
            <w:r>
              <w:rPr>
                <w:rFonts w:ascii="Arial" w:cs="Arial" w:eastAsia="Arial" w:hAnsi="Arial"/>
                <w:sz w:val="18"/>
                <w:szCs w:val="18"/>
                <w:color w:val="auto"/>
              </w:rPr>
              <w:t>Taxes payable</w:t>
            </w:r>
            <w:r>
              <w:rPr>
                <w:rFonts w:ascii="Arial" w:cs="Arial" w:eastAsia="Arial" w:hAnsi="Arial"/>
                <w:sz w:val="23"/>
                <w:szCs w:val="23"/>
                <w:color w:val="auto"/>
                <w:vertAlign w:val="superscript"/>
              </w:rPr>
              <w:t>(1)</w:t>
            </w:r>
          </w:p>
        </w:tc>
        <w:tc>
          <w:tcPr>
            <w:tcW w:w="540" w:type="dxa"/>
            <w:vAlign w:val="bottom"/>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16,458</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Accrued legal costs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12,055</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540" w:type="dxa"/>
            <w:vAlign w:val="bottom"/>
            <w:shd w:val="clear" w:color="auto" w:fill="F4F4F4"/>
          </w:tcPr>
          <w:p>
            <w:pPr>
              <w:spacing w:after="0"/>
              <w:rPr>
                <w:sz w:val="19"/>
                <w:szCs w:val="19"/>
                <w:color w:val="auto"/>
              </w:rPr>
            </w:pP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7,191</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Customer credit balances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5,891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Accrued commissions and salaries</w:t>
            </w:r>
          </w:p>
        </w:tc>
        <w:tc>
          <w:tcPr>
            <w:tcW w:w="540" w:type="dxa"/>
            <w:vAlign w:val="bottom"/>
            <w:shd w:val="clear" w:color="auto" w:fill="F4F4F4"/>
          </w:tcPr>
          <w:p>
            <w:pPr>
              <w:spacing w:after="0"/>
              <w:rPr>
                <w:sz w:val="19"/>
                <w:szCs w:val="19"/>
                <w:color w:val="auto"/>
              </w:rPr>
            </w:pP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5,524</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3,546</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Accrued health care costs</w:t>
            </w:r>
          </w:p>
        </w:tc>
        <w:tc>
          <w:tcPr>
            <w:tcW w:w="540" w:type="dxa"/>
            <w:vAlign w:val="bottom"/>
            <w:shd w:val="clear" w:color="auto" w:fill="F4F4F4"/>
          </w:tcPr>
          <w:p>
            <w:pPr>
              <w:spacing w:after="0"/>
              <w:rPr>
                <w:sz w:val="19"/>
                <w:szCs w:val="19"/>
                <w:color w:val="auto"/>
              </w:rPr>
            </w:pP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2,389</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Accrued vacation costs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540" w:type="dxa"/>
            <w:vAlign w:val="bottom"/>
            <w:shd w:val="clear" w:color="auto" w:fill="F4F4F4"/>
          </w:tcPr>
          <w:p>
            <w:pPr>
              <w:spacing w:after="0"/>
              <w:rPr>
                <w:sz w:val="19"/>
                <w:szCs w:val="19"/>
                <w:color w:val="auto"/>
              </w:rPr>
            </w:pP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1,431</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F4F4F4"/>
          </w:tcPr>
          <w:p>
            <w:pPr>
              <w:ind w:left="140"/>
              <w:spacing w:after="0"/>
              <w:rPr>
                <w:sz w:val="20"/>
                <w:szCs w:val="20"/>
                <w:color w:val="auto"/>
              </w:rPr>
            </w:pPr>
            <w:r>
              <w:rPr>
                <w:rFonts w:ascii="Arial" w:cs="Arial" w:eastAsia="Arial" w:hAnsi="Arial"/>
                <w:sz w:val="18"/>
                <w:szCs w:val="18"/>
                <w:color w:val="auto"/>
              </w:rPr>
              <w:t>Total accrued expenses and other liabilities</w:t>
            </w:r>
          </w:p>
        </w:tc>
        <w:tc>
          <w:tcPr>
            <w:tcW w:w="540" w:type="dxa"/>
            <w:vAlign w:val="bottom"/>
            <w:shd w:val="clear" w:color="auto" w:fill="F4F4F4"/>
          </w:tcPr>
          <w:p>
            <w:pPr>
              <w:spacing w:after="0"/>
              <w:rPr>
                <w:sz w:val="19"/>
                <w:szCs w:val="19"/>
                <w:color w:val="auto"/>
              </w:rPr>
            </w:pP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62,452</w:t>
            </w: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63,094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Long-term portion</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tcBorders>
              <w:bottom w:val="single" w:sz="8" w:color="71BF43"/>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53,013</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52,228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right="20" w:hanging="332"/>
        <w:spacing w:after="0" w:line="258" w:lineRule="auto"/>
        <w:tabs>
          <w:tab w:leader="none" w:pos="354"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deferred payments of the employer's portion of Social Security taxes during 2020 under the Coronavirus, Aid, Relief and Economic Security Act ("CARES Act"), half of which is due by the end of calendar year 2021 with the remainder due by the end of calendar year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shd w:val="clear" w:color="auto" w:fill="ACACAC"/>
          </w:tcPr>
          <w:p>
            <w:pPr>
              <w:spacing w:after="0"/>
              <w:rPr>
                <w:sz w:val="14"/>
                <w:szCs w:val="14"/>
                <w:color w:val="auto"/>
              </w:rPr>
            </w:pPr>
          </w:p>
        </w:tc>
        <w:tc>
          <w:tcPr>
            <w:tcW w:w="600" w:type="dxa"/>
            <w:vAlign w:val="bottom"/>
            <w:shd w:val="clear" w:color="auto" w:fill="ACACAC"/>
          </w:tcPr>
          <w:p>
            <w:pPr>
              <w:spacing w:after="0"/>
              <w:rPr>
                <w:sz w:val="14"/>
                <w:szCs w:val="14"/>
                <w:color w:val="auto"/>
              </w:rPr>
            </w:pPr>
          </w:p>
        </w:tc>
        <w:tc>
          <w:tcPr>
            <w:tcW w:w="106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4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5"/>
        </w:trPr>
        <w:tc>
          <w:tcPr>
            <w:tcW w:w="7940" w:type="dxa"/>
            <w:vAlign w:val="bottom"/>
            <w:shd w:val="clear" w:color="auto" w:fill="ACACAC"/>
          </w:tcPr>
          <w:p>
            <w:pPr>
              <w:spacing w:after="0"/>
              <w:rPr>
                <w:sz w:val="15"/>
                <w:szCs w:val="15"/>
                <w:color w:val="auto"/>
              </w:rPr>
            </w:pPr>
          </w:p>
        </w:tc>
        <w:tc>
          <w:tcPr>
            <w:tcW w:w="600" w:type="dxa"/>
            <w:vAlign w:val="bottom"/>
            <w:shd w:val="clear" w:color="auto" w:fill="ACACAC"/>
          </w:tcPr>
          <w:p>
            <w:pPr>
              <w:spacing w:after="0"/>
              <w:rPr>
                <w:sz w:val="15"/>
                <w:szCs w:val="15"/>
                <w:color w:val="auto"/>
              </w:rPr>
            </w:pPr>
          </w:p>
        </w:tc>
        <w:tc>
          <w:tcPr>
            <w:tcW w:w="1060" w:type="dxa"/>
            <w:vAlign w:val="bottom"/>
            <w:shd w:val="clear" w:color="auto" w:fill="ACACAC"/>
          </w:tcPr>
          <w:p>
            <w:pPr>
              <w:spacing w:after="0"/>
              <w:rPr>
                <w:sz w:val="15"/>
                <w:szCs w:val="15"/>
                <w:color w:val="auto"/>
              </w:rPr>
            </w:pPr>
          </w:p>
        </w:tc>
        <w:tc>
          <w:tcPr>
            <w:tcW w:w="160" w:type="dxa"/>
            <w:vAlign w:val="bottom"/>
            <w:shd w:val="clear" w:color="auto" w:fill="ACACAC"/>
          </w:tcPr>
          <w:p>
            <w:pPr>
              <w:spacing w:after="0"/>
              <w:rPr>
                <w:sz w:val="15"/>
                <w:szCs w:val="15"/>
                <w:color w:val="auto"/>
              </w:rPr>
            </w:pPr>
          </w:p>
        </w:tc>
        <w:tc>
          <w:tcPr>
            <w:tcW w:w="14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79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00" w:type="dxa"/>
            <w:vAlign w:val="bottom"/>
            <w:shd w:val="clear" w:color="auto" w:fill="ACACAC"/>
          </w:tcPr>
          <w:p>
            <w:pPr>
              <w:spacing w:after="0"/>
              <w:rPr>
                <w:sz w:val="18"/>
                <w:szCs w:val="18"/>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60" w:type="dxa"/>
            <w:vAlign w:val="bottom"/>
            <w:shd w:val="clear" w:color="auto" w:fill="ACACAC"/>
          </w:tcPr>
          <w:p>
            <w:pPr>
              <w:spacing w:after="0"/>
              <w:rPr>
                <w:sz w:val="18"/>
                <w:szCs w:val="18"/>
                <w:color w:val="auto"/>
              </w:rPr>
            </w:pPr>
          </w:p>
        </w:tc>
        <w:tc>
          <w:tcPr>
            <w:tcW w:w="14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230"/>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F4F4F4"/>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9"/>
                <w:szCs w:val="19"/>
                <w:color w:val="auto"/>
              </w:rPr>
            </w:pPr>
          </w:p>
        </w:tc>
      </w:tr>
      <w:tr>
        <w:trPr>
          <w:trHeight w:val="230"/>
        </w:trPr>
        <w:tc>
          <w:tcPr>
            <w:tcW w:w="794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Other (expense) income, net</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9"/>
                <w:szCs w:val="19"/>
                <w:color w:val="auto"/>
              </w:rPr>
            </w:pPr>
          </w:p>
        </w:tc>
      </w:tr>
      <w:tr>
        <w:trPr>
          <w:trHeight w:val="223"/>
        </w:trPr>
        <w:tc>
          <w:tcPr>
            <w:tcW w:w="794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Other (expense) income, net</w:t>
            </w:r>
          </w:p>
        </w:tc>
        <w:tc>
          <w:tcPr>
            <w:tcW w:w="600" w:type="dxa"/>
            <w:vAlign w:val="bottom"/>
            <w:tcBorders>
              <w:bottom w:val="single" w:sz="8" w:color="71BF43"/>
            </w:tcBorders>
            <w:shd w:val="clear" w:color="auto" w:fill="F4F4F4"/>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(1,010)</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-590550</wp:posOffset>
            </wp:positionV>
            <wp:extent cx="20999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shd w:val="clear" w:color="auto" w:fill="ACACAC"/>
          </w:tcPr>
          <w:p>
            <w:pPr>
              <w:spacing w:after="0"/>
              <w:rPr>
                <w:sz w:val="14"/>
                <w:szCs w:val="14"/>
                <w:color w:val="auto"/>
              </w:rPr>
            </w:pPr>
          </w:p>
        </w:tc>
        <w:tc>
          <w:tcPr>
            <w:tcW w:w="318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106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260" w:type="dxa"/>
            <w:vAlign w:val="bottom"/>
            <w:tcBorders>
              <w:right w:val="single" w:sz="8" w:color="ACACAC"/>
            </w:tcBorders>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Debt balance at</w:t>
            </w:r>
          </w:p>
        </w:tc>
        <w:tc>
          <w:tcPr>
            <w:tcW w:w="80" w:type="dxa"/>
            <w:vAlign w:val="bottom"/>
          </w:tcPr>
          <w:p>
            <w:pPr>
              <w:spacing w:after="0"/>
              <w:rPr>
                <w:sz w:val="14"/>
                <w:szCs w:val="14"/>
                <w:color w:val="auto"/>
              </w:rPr>
            </w:pPr>
          </w:p>
        </w:tc>
        <w:tc>
          <w:tcPr>
            <w:tcW w:w="1640" w:type="dxa"/>
            <w:vAlign w:val="bottom"/>
            <w:shd w:val="clear" w:color="auto" w:fill="ACACAC"/>
          </w:tcPr>
          <w:p>
            <w:pPr>
              <w:spacing w:after="0"/>
              <w:rPr>
                <w:sz w:val="14"/>
                <w:szCs w:val="14"/>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40" w:type="dxa"/>
            <w:vAlign w:val="bottom"/>
            <w:tcBorders>
              <w:left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00" w:type="dxa"/>
            <w:vAlign w:val="bottom"/>
            <w:shd w:val="clear" w:color="auto" w:fill="ACACAC"/>
          </w:tcPr>
          <w:p>
            <w:pPr>
              <w:spacing w:after="0"/>
              <w:rPr>
                <w:sz w:val="15"/>
                <w:szCs w:val="15"/>
                <w:color w:val="auto"/>
              </w:rPr>
            </w:pPr>
          </w:p>
        </w:tc>
        <w:tc>
          <w:tcPr>
            <w:tcW w:w="3180" w:type="dxa"/>
            <w:vAlign w:val="bottom"/>
            <w:shd w:val="clear" w:color="auto" w:fill="ACACAC"/>
          </w:tcPr>
          <w:p>
            <w:pPr>
              <w:spacing w:after="0"/>
              <w:rPr>
                <w:sz w:val="15"/>
                <w:szCs w:val="15"/>
                <w:color w:val="auto"/>
              </w:rPr>
            </w:pPr>
          </w:p>
        </w:tc>
        <w:tc>
          <w:tcPr>
            <w:tcW w:w="440" w:type="dxa"/>
            <w:vAlign w:val="bottom"/>
            <w:shd w:val="clear" w:color="auto" w:fill="ACACAC"/>
          </w:tcPr>
          <w:p>
            <w:pPr>
              <w:spacing w:after="0"/>
              <w:rPr>
                <w:sz w:val="15"/>
                <w:szCs w:val="15"/>
                <w:color w:val="auto"/>
              </w:rPr>
            </w:pPr>
          </w:p>
        </w:tc>
        <w:tc>
          <w:tcPr>
            <w:tcW w:w="1060" w:type="dxa"/>
            <w:vAlign w:val="bottom"/>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1260" w:type="dxa"/>
            <w:vAlign w:val="bottom"/>
            <w:tcBorders>
              <w:right w:val="single" w:sz="8" w:color="ACACAC"/>
            </w:tcBorders>
            <w:vMerge w:val="continue"/>
            <w:shd w:val="clear" w:color="auto" w:fill="ACACAC"/>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shd w:val="clear" w:color="auto" w:fill="ACACAC"/>
          </w:tcPr>
          <w:p>
            <w:pPr>
              <w:spacing w:after="0"/>
              <w:rPr>
                <w:sz w:val="15"/>
                <w:szCs w:val="15"/>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40" w:type="dxa"/>
            <w:vAlign w:val="bottom"/>
            <w:tcBorders>
              <w:left w:val="single" w:sz="8" w:color="ACACA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18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80" w:type="dxa"/>
            <w:vAlign w:val="bottom"/>
            <w:shd w:val="clear" w:color="auto" w:fill="ACACAC"/>
          </w:tcPr>
          <w:p>
            <w:pPr>
              <w:spacing w:after="0"/>
              <w:rPr>
                <w:sz w:val="14"/>
                <w:szCs w:val="14"/>
                <w:color w:val="auto"/>
              </w:rPr>
            </w:pPr>
          </w:p>
        </w:tc>
        <w:tc>
          <w:tcPr>
            <w:tcW w:w="12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80" w:type="dxa"/>
            <w:vAlign w:val="bottom"/>
          </w:tcPr>
          <w:p>
            <w:pPr>
              <w:spacing w:after="0"/>
              <w:rPr>
                <w:sz w:val="14"/>
                <w:szCs w:val="14"/>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40" w:type="dxa"/>
            <w:vAlign w:val="bottom"/>
            <w:tcBorders>
              <w:left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0" w:type="dxa"/>
            <w:vAlign w:val="bottom"/>
            <w:tcBorders>
              <w:bottom w:val="single" w:sz="8" w:color="ACACAC"/>
            </w:tcBorders>
            <w:vMerge w:val="continue"/>
            <w:shd w:val="clear" w:color="auto" w:fill="ACACAC"/>
          </w:tcPr>
          <w:p>
            <w:pPr>
              <w:spacing w:after="0"/>
              <w:rPr>
                <w:sz w:val="15"/>
                <w:szCs w:val="15"/>
                <w:color w:val="auto"/>
              </w:rPr>
            </w:pPr>
          </w:p>
        </w:tc>
        <w:tc>
          <w:tcPr>
            <w:tcW w:w="3180" w:type="dxa"/>
            <w:vAlign w:val="bottom"/>
            <w:tcBorders>
              <w:bottom w:val="single" w:sz="8" w:color="ACACAC"/>
            </w:tcBorders>
            <w:shd w:val="clear" w:color="auto" w:fill="ACACAC"/>
          </w:tcPr>
          <w:p>
            <w:pPr>
              <w:spacing w:after="0"/>
              <w:rPr>
                <w:sz w:val="15"/>
                <w:szCs w:val="15"/>
                <w:color w:val="auto"/>
              </w:rPr>
            </w:pPr>
          </w:p>
        </w:tc>
        <w:tc>
          <w:tcPr>
            <w:tcW w:w="440" w:type="dxa"/>
            <w:vAlign w:val="bottom"/>
            <w:tcBorders>
              <w:bottom w:val="single" w:sz="8" w:color="ACACAC"/>
            </w:tcBorders>
            <w:shd w:val="clear" w:color="auto" w:fill="ACACAC"/>
          </w:tcPr>
          <w:p>
            <w:pPr>
              <w:spacing w:after="0"/>
              <w:rPr>
                <w:sz w:val="15"/>
                <w:szCs w:val="15"/>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80" w:type="dxa"/>
            <w:vAlign w:val="bottom"/>
            <w:tcBorders>
              <w:bottom w:val="single" w:sz="8" w:color="ACACAC"/>
            </w:tcBorders>
            <w:shd w:val="clear" w:color="auto" w:fill="ACACAC"/>
          </w:tcPr>
          <w:p>
            <w:pPr>
              <w:spacing w:after="0"/>
              <w:rPr>
                <w:sz w:val="15"/>
                <w:szCs w:val="15"/>
                <w:color w:val="auto"/>
              </w:rPr>
            </w:pPr>
          </w:p>
        </w:tc>
        <w:tc>
          <w:tcPr>
            <w:tcW w:w="12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80" w:type="dxa"/>
            <w:vAlign w:val="bottom"/>
            <w:tcBorders>
              <w:bottom w:val="single" w:sz="8" w:color="F4F4F4"/>
            </w:tcBorders>
          </w:tcPr>
          <w:p>
            <w:pPr>
              <w:spacing w:after="0"/>
              <w:rPr>
                <w:sz w:val="15"/>
                <w:szCs w:val="15"/>
                <w:color w:val="auto"/>
              </w:rPr>
            </w:pP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0" w:type="dxa"/>
            <w:vAlign w:val="bottom"/>
            <w:tcBorders>
              <w:left w:val="single" w:sz="8" w:color="ACACA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600" w:type="dxa"/>
            <w:vAlign w:val="bottom"/>
            <w:shd w:val="clear" w:color="auto" w:fill="F4F4F4"/>
          </w:tcPr>
          <w:p>
            <w:pPr>
              <w:ind w:left="20"/>
              <w:spacing w:after="0"/>
              <w:rPr>
                <w:sz w:val="20"/>
                <w:szCs w:val="20"/>
                <w:color w:val="auto"/>
              </w:rPr>
            </w:pPr>
            <w:r>
              <w:rPr>
                <w:rFonts w:ascii="Arial" w:cs="Arial" w:eastAsia="Arial" w:hAnsi="Arial"/>
                <w:sz w:val="18"/>
                <w:szCs w:val="18"/>
                <w:color w:val="auto"/>
              </w:rPr>
              <w:t>Credit facility:</w:t>
            </w:r>
          </w:p>
        </w:tc>
        <w:tc>
          <w:tcPr>
            <w:tcW w:w="3180" w:type="dxa"/>
            <w:vAlign w:val="bottom"/>
            <w:shd w:val="clear" w:color="auto" w:fill="F4F4F4"/>
          </w:tcPr>
          <w:p>
            <w:pPr>
              <w:spacing w:after="0"/>
              <w:rPr>
                <w:sz w:val="19"/>
                <w:szCs w:val="19"/>
                <w:color w:val="auto"/>
              </w:rPr>
            </w:pPr>
          </w:p>
        </w:tc>
        <w:tc>
          <w:tcPr>
            <w:tcW w:w="44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260" w:type="dxa"/>
            <w:vAlign w:val="bottom"/>
            <w:tcBorders>
              <w:right w:val="single" w:sz="8" w:color="F4F4F4"/>
            </w:tcBorders>
            <w:shd w:val="clear" w:color="auto" w:fill="F4F4F4"/>
          </w:tcPr>
          <w:p>
            <w:pPr>
              <w:spacing w:after="0"/>
              <w:rPr>
                <w:sz w:val="19"/>
                <w:szCs w:val="19"/>
                <w:color w:val="auto"/>
              </w:rPr>
            </w:pPr>
          </w:p>
        </w:tc>
        <w:tc>
          <w:tcPr>
            <w:tcW w:w="80" w:type="dxa"/>
            <w:vAlign w:val="bottom"/>
            <w:shd w:val="clear" w:color="auto" w:fill="F4F4F4"/>
          </w:tcPr>
          <w:p>
            <w:pPr>
              <w:spacing w:after="0"/>
              <w:rPr>
                <w:sz w:val="19"/>
                <w:szCs w:val="19"/>
                <w:color w:val="auto"/>
              </w:rPr>
            </w:pPr>
          </w:p>
        </w:tc>
        <w:tc>
          <w:tcPr>
            <w:tcW w:w="164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Revolving credit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93,425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69,625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1.80 %</w:t>
            </w:r>
          </w:p>
        </w:tc>
        <w:tc>
          <w:tcPr>
            <w:tcW w:w="1660" w:type="dxa"/>
            <w:vAlign w:val="bottom"/>
          </w:tcPr>
          <w:p>
            <w:pPr>
              <w:jc w:val="right"/>
              <w:spacing w:after="0"/>
              <w:rPr>
                <w:sz w:val="20"/>
                <w:szCs w:val="20"/>
                <w:color w:val="auto"/>
              </w:rPr>
            </w:pPr>
            <w:r>
              <w:rPr>
                <w:rFonts w:ascii="Arial" w:cs="Arial" w:eastAsia="Arial" w:hAnsi="Arial"/>
                <w:sz w:val="18"/>
                <w:szCs w:val="18"/>
                <w:color w:val="auto"/>
              </w:rPr>
              <w:t>1.83 %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F4F4F4"/>
          </w:tcPr>
          <w:p>
            <w:pPr>
              <w:ind w:left="220"/>
              <w:spacing w:after="0"/>
              <w:rPr>
                <w:sz w:val="20"/>
                <w:szCs w:val="20"/>
                <w:color w:val="auto"/>
              </w:rPr>
            </w:pPr>
            <w:r>
              <w:rPr>
                <w:rFonts w:ascii="Arial" w:cs="Arial" w:eastAsia="Arial" w:hAnsi="Arial"/>
                <w:sz w:val="18"/>
                <w:szCs w:val="18"/>
                <w:color w:val="auto"/>
              </w:rPr>
              <w:t>Term loans</w:t>
            </w:r>
          </w:p>
        </w:tc>
        <w:tc>
          <w:tcPr>
            <w:tcW w:w="3180" w:type="dxa"/>
            <w:vAlign w:val="bottom"/>
            <w:shd w:val="clear" w:color="auto" w:fill="F4F4F4"/>
          </w:tcPr>
          <w:p>
            <w:pPr>
              <w:spacing w:after="0"/>
              <w:rPr>
                <w:sz w:val="19"/>
                <w:szCs w:val="19"/>
                <w:color w:val="auto"/>
              </w:rPr>
            </w:pPr>
          </w:p>
        </w:tc>
        <w:tc>
          <w:tcPr>
            <w:tcW w:w="440" w:type="dxa"/>
            <w:vAlign w:val="bottom"/>
            <w:shd w:val="clear" w:color="auto" w:fill="F4F4F4"/>
          </w:tcPr>
          <w:p>
            <w:pPr>
              <w:spacing w:after="0"/>
              <w:rPr>
                <w:sz w:val="19"/>
                <w:szCs w:val="19"/>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397,500</w:t>
            </w:r>
          </w:p>
        </w:tc>
        <w:tc>
          <w:tcPr>
            <w:tcW w:w="280" w:type="dxa"/>
            <w:vAlign w:val="bottom"/>
            <w:shd w:val="clear" w:color="auto" w:fill="F4F4F4"/>
          </w:tcPr>
          <w:p>
            <w:pPr>
              <w:spacing w:after="0"/>
              <w:rPr>
                <w:sz w:val="19"/>
                <w:szCs w:val="19"/>
                <w:color w:val="auto"/>
              </w:rPr>
            </w:pPr>
          </w:p>
        </w:tc>
        <w:tc>
          <w:tcPr>
            <w:tcW w:w="1260" w:type="dxa"/>
            <w:vAlign w:val="bottom"/>
            <w:tcBorders>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400,000</w:t>
            </w:r>
          </w:p>
        </w:tc>
        <w:tc>
          <w:tcPr>
            <w:tcW w:w="1720" w:type="dxa"/>
            <w:vAlign w:val="bottom"/>
            <w:gridSpan w:val="2"/>
            <w:shd w:val="clear" w:color="auto" w:fill="F4F4F4"/>
          </w:tcPr>
          <w:p>
            <w:pPr>
              <w:jc w:val="right"/>
              <w:spacing w:after="0"/>
              <w:rPr>
                <w:sz w:val="20"/>
                <w:szCs w:val="20"/>
                <w:color w:val="auto"/>
              </w:rPr>
            </w:pPr>
            <w:r>
              <w:rPr>
                <w:rFonts w:ascii="Arial" w:cs="Arial" w:eastAsia="Arial" w:hAnsi="Arial"/>
                <w:sz w:val="18"/>
                <w:szCs w:val="18"/>
                <w:color w:val="auto"/>
              </w:rPr>
              <w:t>3.13 %</w:t>
            </w:r>
          </w:p>
        </w:tc>
        <w:tc>
          <w:tcPr>
            <w:tcW w:w="16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3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60,358</w:t>
            </w:r>
          </w:p>
        </w:tc>
        <w:tc>
          <w:tcPr>
            <w:tcW w:w="2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60,626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1660" w:type="dxa"/>
            <w:vAlign w:val="bottom"/>
          </w:tcPr>
          <w:p>
            <w:pPr>
              <w:jc w:val="right"/>
              <w:spacing w:after="0"/>
              <w:rPr>
                <w:sz w:val="20"/>
                <w:szCs w:val="20"/>
                <w:color w:val="auto"/>
              </w:rPr>
            </w:pPr>
            <w:r>
              <w:rPr>
                <w:rFonts w:ascii="Arial" w:cs="Arial" w:eastAsia="Arial" w:hAnsi="Arial"/>
                <w:sz w:val="18"/>
                <w:szCs w:val="18"/>
                <w:color w:val="auto"/>
              </w:rPr>
              <w:t>5.22 %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debt</w:t>
            </w:r>
          </w:p>
        </w:tc>
        <w:tc>
          <w:tcPr>
            <w:tcW w:w="3180" w:type="dxa"/>
            <w:vAlign w:val="bottom"/>
            <w:shd w:val="clear" w:color="auto" w:fill="F4F4F4"/>
          </w:tcPr>
          <w:p>
            <w:pPr>
              <w:spacing w:after="0"/>
              <w:rPr>
                <w:sz w:val="19"/>
                <w:szCs w:val="19"/>
                <w:color w:val="auto"/>
              </w:rPr>
            </w:pPr>
          </w:p>
        </w:tc>
        <w:tc>
          <w:tcPr>
            <w:tcW w:w="44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2,232</w:t>
            </w:r>
          </w:p>
        </w:tc>
        <w:tc>
          <w:tcPr>
            <w:tcW w:w="280" w:type="dxa"/>
            <w:vAlign w:val="bottom"/>
            <w:tcBorders>
              <w:bottom w:val="single" w:sz="8" w:color="auto"/>
            </w:tcBorders>
            <w:shd w:val="clear" w:color="auto" w:fill="F4F4F4"/>
          </w:tcPr>
          <w:p>
            <w:pPr>
              <w:spacing w:after="0"/>
              <w:rPr>
                <w:sz w:val="19"/>
                <w:szCs w:val="19"/>
                <w:color w:val="auto"/>
              </w:rPr>
            </w:pPr>
          </w:p>
        </w:tc>
        <w:tc>
          <w:tcPr>
            <w:tcW w:w="1260" w:type="dxa"/>
            <w:vAlign w:val="bottom"/>
            <w:tcBorders>
              <w:bottom w:val="single" w:sz="8" w:color="auto"/>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3,926</w:t>
            </w:r>
          </w:p>
        </w:tc>
        <w:tc>
          <w:tcPr>
            <w:tcW w:w="80" w:type="dxa"/>
            <w:vAlign w:val="bottom"/>
            <w:shd w:val="clear" w:color="auto" w:fill="F4F4F4"/>
          </w:tcPr>
          <w:p>
            <w:pPr>
              <w:spacing w:after="0"/>
              <w:rPr>
                <w:sz w:val="19"/>
                <w:szCs w:val="19"/>
                <w:color w:val="auto"/>
              </w:rPr>
            </w:pPr>
          </w:p>
        </w:tc>
        <w:tc>
          <w:tcPr>
            <w:tcW w:w="16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16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Pr>
          <w:p>
            <w:pPr>
              <w:ind w:left="480"/>
              <w:spacing w:after="0"/>
              <w:rPr>
                <w:sz w:val="20"/>
                <w:szCs w:val="20"/>
                <w:color w:val="auto"/>
              </w:rPr>
            </w:pPr>
            <w:r>
              <w:rPr>
                <w:rFonts w:ascii="Arial" w:cs="Arial" w:eastAsia="Arial" w:hAnsi="Arial"/>
                <w:sz w:val="18"/>
                <w:szCs w:val="18"/>
                <w:color w:val="auto"/>
              </w:rPr>
              <w:t>Total debt</w:t>
            </w:r>
          </w:p>
        </w:tc>
        <w:tc>
          <w:tcPr>
            <w:tcW w:w="3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553,515</w:t>
            </w:r>
          </w:p>
        </w:tc>
        <w:tc>
          <w:tcPr>
            <w:tcW w:w="2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534,177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3.14 %</w:t>
            </w:r>
          </w:p>
        </w:tc>
        <w:tc>
          <w:tcPr>
            <w:tcW w:w="1660" w:type="dxa"/>
            <w:vAlign w:val="bottom"/>
          </w:tcPr>
          <w:p>
            <w:pPr>
              <w:jc w:val="right"/>
              <w:spacing w:after="0"/>
              <w:rPr>
                <w:sz w:val="20"/>
                <w:szCs w:val="20"/>
                <w:color w:val="auto"/>
              </w:rPr>
            </w:pPr>
            <w:r>
              <w:rPr>
                <w:rFonts w:ascii="Arial" w:cs="Arial" w:eastAsia="Arial" w:hAnsi="Arial"/>
                <w:sz w:val="18"/>
                <w:szCs w:val="18"/>
                <w:color w:val="auto"/>
              </w:rPr>
              <w:t>3.21 %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F4F4F4"/>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440" w:type="dxa"/>
            <w:vAlign w:val="bottom"/>
            <w:shd w:val="clear" w:color="auto" w:fill="F4F4F4"/>
          </w:tcPr>
          <w:p>
            <w:pPr>
              <w:spacing w:after="0"/>
              <w:rPr>
                <w:sz w:val="19"/>
                <w:szCs w:val="19"/>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2,716</w:t>
            </w:r>
          </w:p>
        </w:tc>
        <w:tc>
          <w:tcPr>
            <w:tcW w:w="280" w:type="dxa"/>
            <w:vAlign w:val="bottom"/>
            <w:shd w:val="clear" w:color="auto" w:fill="F4F4F4"/>
          </w:tcPr>
          <w:p>
            <w:pPr>
              <w:spacing w:after="0"/>
              <w:rPr>
                <w:sz w:val="19"/>
                <w:szCs w:val="19"/>
                <w:color w:val="auto"/>
              </w:rPr>
            </w:pPr>
          </w:p>
        </w:tc>
        <w:tc>
          <w:tcPr>
            <w:tcW w:w="1260" w:type="dxa"/>
            <w:vAlign w:val="bottom"/>
            <w:tcBorders>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3,144</w:t>
            </w:r>
          </w:p>
        </w:tc>
        <w:tc>
          <w:tcPr>
            <w:tcW w:w="80" w:type="dxa"/>
            <w:vAlign w:val="bottom"/>
            <w:shd w:val="clear" w:color="auto" w:fill="F4F4F4"/>
          </w:tcPr>
          <w:p>
            <w:pPr>
              <w:spacing w:after="0"/>
              <w:rPr>
                <w:sz w:val="19"/>
                <w:szCs w:val="19"/>
                <w:color w:val="auto"/>
              </w:rPr>
            </w:pPr>
          </w:p>
        </w:tc>
        <w:tc>
          <w:tcPr>
            <w:tcW w:w="164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F4F4F4"/>
            </w:tcBorders>
            <w:gridSpan w:val="2"/>
          </w:tcPr>
          <w:p>
            <w:pPr>
              <w:ind w:left="20"/>
              <w:spacing w:after="0"/>
              <w:rPr>
                <w:sz w:val="20"/>
                <w:szCs w:val="20"/>
                <w:color w:val="auto"/>
              </w:rPr>
            </w:pPr>
            <w:r>
              <w:rPr>
                <w:rFonts w:ascii="Arial" w:cs="Arial" w:eastAsia="Arial" w:hAnsi="Arial"/>
                <w:sz w:val="18"/>
                <w:szCs w:val="18"/>
                <w:color w:val="auto"/>
              </w:rPr>
              <w:t>Less: Debt, current portion</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12,875</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12,840</w:t>
            </w:r>
          </w:p>
        </w:tc>
        <w:tc>
          <w:tcPr>
            <w:tcW w:w="80" w:type="dxa"/>
            <w:vAlign w:val="bottom"/>
            <w:tcBorders>
              <w:bottom w:val="single" w:sz="8" w:color="F4F4F4"/>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71BF43"/>
            </w:tcBorders>
            <w:gridSpan w:val="2"/>
            <w:shd w:val="clear" w:color="auto" w:fill="F4F4F4"/>
          </w:tcPr>
          <w:p>
            <w:pPr>
              <w:ind w:left="20"/>
              <w:spacing w:after="0"/>
              <w:rPr>
                <w:sz w:val="20"/>
                <w:szCs w:val="20"/>
                <w:color w:val="auto"/>
              </w:rPr>
            </w:pPr>
            <w:r>
              <w:rPr>
                <w:rFonts w:ascii="Arial" w:cs="Arial" w:eastAsia="Arial" w:hAnsi="Arial"/>
                <w:sz w:val="18"/>
                <w:szCs w:val="18"/>
                <w:color w:val="auto"/>
              </w:rPr>
              <w:t>Debt, net of current portion</w:t>
            </w:r>
          </w:p>
        </w:tc>
        <w:tc>
          <w:tcPr>
            <w:tcW w:w="440" w:type="dxa"/>
            <w:vAlign w:val="bottom"/>
            <w:tcBorders>
              <w:bottom w:val="single" w:sz="8" w:color="71BF43"/>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537,924</w:t>
            </w:r>
          </w:p>
        </w:tc>
        <w:tc>
          <w:tcPr>
            <w:tcW w:w="280" w:type="dxa"/>
            <w:vAlign w:val="bottom"/>
            <w:tcBorders>
              <w:bottom w:val="single" w:sz="8" w:color="71BF43"/>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71BF43"/>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518,193</w:t>
            </w:r>
          </w:p>
        </w:tc>
        <w:tc>
          <w:tcPr>
            <w:tcW w:w="1720" w:type="dxa"/>
            <w:vAlign w:val="bottom"/>
            <w:tcBorders>
              <w:bottom w:val="single" w:sz="8" w:color="71BF43"/>
            </w:tcBorders>
            <w:gridSpan w:val="2"/>
            <w:shd w:val="clear" w:color="auto" w:fill="F4F4F4"/>
          </w:tcPr>
          <w:p>
            <w:pPr>
              <w:jc w:val="right"/>
              <w:spacing w:after="0"/>
              <w:rPr>
                <w:sz w:val="20"/>
                <w:szCs w:val="20"/>
                <w:color w:val="auto"/>
              </w:rPr>
            </w:pPr>
            <w:r>
              <w:rPr>
                <w:rFonts w:ascii="Arial" w:cs="Arial" w:eastAsia="Arial" w:hAnsi="Arial"/>
                <w:sz w:val="18"/>
                <w:szCs w:val="18"/>
                <w:color w:val="auto"/>
              </w:rPr>
              <w:t>3.15 %</w:t>
            </w:r>
          </w:p>
        </w:tc>
        <w:tc>
          <w:tcPr>
            <w:tcW w:w="16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3.22 %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0"/>
        </w:trPr>
        <w:tc>
          <w:tcPr>
            <w:tcW w:w="1600" w:type="dxa"/>
            <w:vAlign w:val="bottom"/>
          </w:tcPr>
          <w:p>
            <w:pPr>
              <w:ind w:left="20"/>
              <w:spacing w:after="0"/>
              <w:rPr>
                <w:sz w:val="20"/>
                <w:szCs w:val="20"/>
                <w:color w:val="auto"/>
              </w:rPr>
            </w:pPr>
            <w:r>
              <w:rPr>
                <w:rFonts w:ascii="Arial" w:cs="Arial" w:eastAsia="Arial" w:hAnsi="Arial"/>
                <w:sz w:val="14"/>
                <w:szCs w:val="14"/>
                <w:color w:val="auto"/>
              </w:rPr>
              <w:t>12</w:t>
            </w:r>
          </w:p>
        </w:tc>
        <w:tc>
          <w:tcPr>
            <w:tcW w:w="3180" w:type="dxa"/>
            <w:vAlign w:val="bottom"/>
          </w:tcPr>
          <w:p>
            <w:pPr>
              <w:ind w:left="40"/>
              <w:spacing w:after="0"/>
              <w:rPr>
                <w:sz w:val="20"/>
                <w:szCs w:val="20"/>
                <w:color w:val="auto"/>
              </w:rPr>
            </w:pPr>
            <w:r>
              <w:rPr>
                <w:rFonts w:ascii="Arial" w:cs="Arial" w:eastAsia="Arial" w:hAnsi="Arial"/>
                <w:sz w:val="14"/>
                <w:szCs w:val="14"/>
                <w:color w:val="auto"/>
              </w:rPr>
              <w:t>First Quarter 2021 Form 10-Q</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-2219325</wp:posOffset>
            </wp:positionV>
            <wp:extent cx="4088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8876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credit facility</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October 2020, we entered into a five-year $900.0 million senior credit facility (the "2020 Credit Facility"). At March 31, 2021, we were in compliance with our debt covenants under the 2020 Credit Facility.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August 2020, we completed the purchase of our global headquarters facility. As part of the purchase price, we assumed the Seller’s obligations under two senior secured notes with an aggregate outstanding principal amount of $ 61.1 million (collectively, the “Real Estate Loans”). At March 31, 2021, we were in compliance with our debt covenants under the Real Estate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currently effective financing agreements as of March 31, 2021: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First Annual Payment</w:t>
            </w:r>
          </w:p>
        </w:tc>
        <w:tc>
          <w:tcPr>
            <w:tcW w:w="140" w:type="dxa"/>
            <w:vAlign w:val="bottom"/>
            <w:shd w:val="clear" w:color="auto" w:fill="ACACAC"/>
          </w:tcPr>
          <w:p>
            <w:pPr>
              <w:spacing w:after="0"/>
              <w:rPr>
                <w:sz w:val="14"/>
                <w:szCs w:val="14"/>
                <w:color w:val="auto"/>
              </w:rPr>
            </w:pPr>
          </w:p>
        </w:tc>
        <w:tc>
          <w:tcPr>
            <w:tcW w:w="14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Original Loan Value</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80" w:type="dxa"/>
            <w:vAlign w:val="bottom"/>
            <w:vMerge w:val="continue"/>
            <w:shd w:val="clear" w:color="auto" w:fill="ACACAC"/>
          </w:tcPr>
          <w:p>
            <w:pPr>
              <w:spacing w:after="0"/>
              <w:rPr>
                <w:sz w:val="16"/>
                <w:szCs w:val="16"/>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Due</w:t>
            </w:r>
          </w:p>
        </w:tc>
        <w:tc>
          <w:tcPr>
            <w:tcW w:w="140" w:type="dxa"/>
            <w:vAlign w:val="bottom"/>
            <w:shd w:val="clear" w:color="auto" w:fill="ACACAC"/>
          </w:tcPr>
          <w:p>
            <w:pPr>
              <w:spacing w:after="0"/>
              <w:rPr>
                <w:sz w:val="16"/>
                <w:szCs w:val="16"/>
                <w:color w:val="auto"/>
              </w:rPr>
            </w:pPr>
          </w:p>
        </w:tc>
        <w:tc>
          <w:tcPr>
            <w:tcW w:w="1400" w:type="dxa"/>
            <w:vAlign w:val="bottom"/>
            <w:vMerge w:val="continue"/>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Effective dates of agreements:</w:t>
            </w:r>
          </w:p>
        </w:tc>
        <w:tc>
          <w:tcPr>
            <w:tcW w:w="1520" w:type="dxa"/>
            <w:vAlign w:val="bottom"/>
            <w:shd w:val="clear" w:color="auto" w:fill="F4F4F4"/>
          </w:tcPr>
          <w:p>
            <w:pPr>
              <w:spacing w:after="0"/>
              <w:rPr>
                <w:sz w:val="19"/>
                <w:szCs w:val="19"/>
                <w:color w:val="auto"/>
              </w:rPr>
            </w:pPr>
          </w:p>
        </w:tc>
        <w:tc>
          <w:tcPr>
            <w:tcW w:w="1660" w:type="dxa"/>
            <w:vAlign w:val="bottom"/>
            <w:shd w:val="clear" w:color="auto" w:fill="F4F4F4"/>
          </w:tcPr>
          <w:p>
            <w:pPr>
              <w:spacing w:after="0"/>
              <w:rPr>
                <w:sz w:val="19"/>
                <w:szCs w:val="19"/>
                <w:color w:val="auto"/>
              </w:rPr>
            </w:pPr>
          </w:p>
        </w:tc>
        <w:tc>
          <w:tcPr>
            <w:tcW w:w="1640" w:type="dxa"/>
            <w:vAlign w:val="bottom"/>
            <w:shd w:val="clear" w:color="auto" w:fill="F4F4F4"/>
          </w:tcPr>
          <w:p>
            <w:pPr>
              <w:spacing w:after="0"/>
              <w:rPr>
                <w:sz w:val="19"/>
                <w:szCs w:val="19"/>
                <w:color w:val="auto"/>
              </w:rPr>
            </w:pPr>
          </w:p>
        </w:tc>
        <w:tc>
          <w:tcPr>
            <w:tcW w:w="140" w:type="dxa"/>
            <w:vAlign w:val="bottom"/>
            <w:shd w:val="clear" w:color="auto" w:fill="F4F4F4"/>
          </w:tcPr>
          <w:p>
            <w:pPr>
              <w:spacing w:after="0"/>
              <w:rPr>
                <w:sz w:val="19"/>
                <w:szCs w:val="19"/>
                <w:color w:val="auto"/>
              </w:rPr>
            </w:pPr>
          </w:p>
        </w:tc>
        <w:tc>
          <w:tcPr>
            <w:tcW w:w="140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80" w:type="dxa"/>
            <w:vAlign w:val="bottom"/>
          </w:tcPr>
          <w:p>
            <w:pPr>
              <w:ind w:left="140"/>
              <w:spacing w:after="0"/>
              <w:rPr>
                <w:sz w:val="20"/>
                <w:szCs w:val="20"/>
                <w:color w:val="auto"/>
              </w:rPr>
            </w:pPr>
            <w:r>
              <w:rPr>
                <w:rFonts w:ascii="Arial" w:cs="Arial" w:eastAsia="Arial" w:hAnsi="Arial"/>
                <w:sz w:val="18"/>
                <w:szCs w:val="18"/>
                <w:color w:val="auto"/>
              </w:rPr>
              <w:t>December 2019</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1660" w:type="dxa"/>
            <w:vAlign w:val="bottom"/>
          </w:tcPr>
          <w:p>
            <w:pPr>
              <w:jc w:val="right"/>
              <w:spacing w:after="0"/>
              <w:rPr>
                <w:sz w:val="20"/>
                <w:szCs w:val="20"/>
                <w:color w:val="auto"/>
              </w:rPr>
            </w:pPr>
            <w:r>
              <w:rPr>
                <w:rFonts w:ascii="Arial" w:cs="Arial" w:eastAsia="Arial" w:hAnsi="Arial"/>
                <w:sz w:val="18"/>
                <w:szCs w:val="18"/>
                <w:color w:val="auto"/>
              </w:rPr>
              <w:t>4</w:t>
            </w:r>
          </w:p>
        </w:tc>
        <w:tc>
          <w:tcPr>
            <w:tcW w:w="164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8CBE4F"/>
            </w:tcBorders>
            <w:shd w:val="clear" w:color="auto" w:fill="F4F4F4"/>
          </w:tcPr>
          <w:p>
            <w:pPr>
              <w:ind w:left="140"/>
              <w:spacing w:after="0"/>
              <w:rPr>
                <w:sz w:val="20"/>
                <w:szCs w:val="20"/>
                <w:color w:val="auto"/>
              </w:rPr>
            </w:pPr>
            <w:r>
              <w:rPr>
                <w:rFonts w:ascii="Arial" w:cs="Arial" w:eastAsia="Arial" w:hAnsi="Arial"/>
                <w:sz w:val="18"/>
                <w:szCs w:val="18"/>
                <w:color w:val="auto"/>
              </w:rPr>
              <w:t>January 2020</w:t>
            </w:r>
          </w:p>
        </w:tc>
        <w:tc>
          <w:tcPr>
            <w:tcW w:w="152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39</w:t>
            </w:r>
          </w:p>
        </w:tc>
        <w:tc>
          <w:tcPr>
            <w:tcW w:w="166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3</w:t>
            </w:r>
          </w:p>
        </w:tc>
        <w:tc>
          <w:tcPr>
            <w:tcW w:w="164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March 2020</w:t>
            </w:r>
          </w:p>
        </w:tc>
        <w:tc>
          <w:tcPr>
            <w:tcW w:w="140" w:type="dxa"/>
            <w:vAlign w:val="bottom"/>
            <w:tcBorders>
              <w:bottom w:val="single" w:sz="8" w:color="8CBE4F"/>
            </w:tcBorders>
            <w:shd w:val="clear" w:color="auto" w:fill="F4F4F4"/>
          </w:tcPr>
          <w:p>
            <w:pPr>
              <w:spacing w:after="0"/>
              <w:rPr>
                <w:sz w:val="19"/>
                <w:szCs w:val="19"/>
                <w:color w:val="auto"/>
              </w:rPr>
            </w:pPr>
          </w:p>
        </w:tc>
        <w:tc>
          <w:tcPr>
            <w:tcW w:w="140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3,470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March 31, 2021, the required annual maturities related to the 2020 Credit Facility, the Real Estate Loans and our other debt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Years ending December 31,</w:t>
            </w:r>
          </w:p>
        </w:tc>
        <w:tc>
          <w:tcPr>
            <w:tcW w:w="460" w:type="dxa"/>
            <w:vAlign w:val="bottom"/>
            <w:shd w:val="clear" w:color="auto" w:fill="ACACAC"/>
          </w:tcPr>
          <w:p>
            <w:pPr>
              <w:spacing w:after="0"/>
              <w:rPr>
                <w:sz w:val="14"/>
                <w:szCs w:val="1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Annual</w:t>
            </w:r>
          </w:p>
        </w:tc>
        <w:tc>
          <w:tcPr>
            <w:tcW w:w="20" w:type="dxa"/>
            <w:vAlign w:val="bottom"/>
            <w:shd w:val="clear" w:color="auto" w:fill="ACACAC"/>
          </w:tcPr>
          <w:p>
            <w:pPr>
              <w:spacing w:after="0"/>
              <w:rPr>
                <w:sz w:val="14"/>
                <w:szCs w:val="14"/>
                <w:color w:val="auto"/>
              </w:rPr>
            </w:pPr>
          </w:p>
        </w:tc>
      </w:tr>
      <w:tr>
        <w:trPr>
          <w:trHeight w:val="189"/>
        </w:trPr>
        <w:tc>
          <w:tcPr>
            <w:tcW w:w="97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maturities</w:t>
            </w:r>
          </w:p>
        </w:tc>
        <w:tc>
          <w:tcPr>
            <w:tcW w:w="20" w:type="dxa"/>
            <w:vAlign w:val="bottom"/>
            <w:shd w:val="clear" w:color="auto" w:fill="ACACAC"/>
          </w:tcPr>
          <w:p>
            <w:pPr>
              <w:spacing w:after="0"/>
              <w:rPr>
                <w:sz w:val="16"/>
                <w:szCs w:val="16"/>
                <w:color w:val="auto"/>
              </w:rPr>
            </w:pPr>
          </w:p>
        </w:tc>
      </w:tr>
      <w:tr>
        <w:trPr>
          <w:trHeight w:val="230"/>
        </w:trPr>
        <w:tc>
          <w:tcPr>
            <w:tcW w:w="970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2021 - remaining</w:t>
            </w:r>
          </w:p>
        </w:tc>
        <w:tc>
          <w:tcPr>
            <w:tcW w:w="46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8,378</w:t>
            </w:r>
          </w:p>
        </w:tc>
        <w:tc>
          <w:tcPr>
            <w:tcW w:w="20" w:type="dxa"/>
            <w:vAlign w:val="bottom"/>
          </w:tcPr>
          <w:p>
            <w:pPr>
              <w:spacing w:after="0"/>
              <w:rPr>
                <w:sz w:val="19"/>
                <w:szCs w:val="19"/>
                <w:color w:val="auto"/>
              </w:rPr>
            </w:pP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12,985</w:t>
            </w:r>
          </w:p>
        </w:tc>
        <w:tc>
          <w:tcPr>
            <w:tcW w:w="20" w:type="dxa"/>
            <w:vAlign w:val="bottom"/>
          </w:tcPr>
          <w:p>
            <w:pPr>
              <w:spacing w:after="0"/>
              <w:rPr>
                <w:sz w:val="19"/>
                <w:szCs w:val="19"/>
                <w:color w:val="auto"/>
              </w:rPr>
            </w:pPr>
          </w:p>
        </w:tc>
      </w:tr>
      <w:tr>
        <w:trPr>
          <w:trHeight w:val="229"/>
        </w:trPr>
        <w:tc>
          <w:tcPr>
            <w:tcW w:w="970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11,982</w:t>
            </w:r>
          </w:p>
        </w:tc>
        <w:tc>
          <w:tcPr>
            <w:tcW w:w="20" w:type="dxa"/>
            <w:vAlign w:val="bottom"/>
          </w:tcPr>
          <w:p>
            <w:pPr>
              <w:spacing w:after="0"/>
              <w:rPr>
                <w:sz w:val="19"/>
                <w:szCs w:val="19"/>
                <w:color w:val="auto"/>
              </w:rPr>
            </w:pPr>
          </w:p>
        </w:tc>
      </w:tr>
      <w:tr>
        <w:trPr>
          <w:trHeight w:val="230"/>
        </w:trPr>
        <w:tc>
          <w:tcPr>
            <w:tcW w:w="970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11,609</w:t>
            </w:r>
          </w:p>
        </w:tc>
        <w:tc>
          <w:tcPr>
            <w:tcW w:w="20" w:type="dxa"/>
            <w:vAlign w:val="bottom"/>
          </w:tcPr>
          <w:p>
            <w:pPr>
              <w:spacing w:after="0"/>
              <w:rPr>
                <w:sz w:val="19"/>
                <w:szCs w:val="19"/>
                <w:color w:val="auto"/>
              </w:rPr>
            </w:pPr>
          </w:p>
        </w:tc>
      </w:tr>
      <w:tr>
        <w:trPr>
          <w:trHeight w:val="230"/>
        </w:trPr>
        <w:tc>
          <w:tcPr>
            <w:tcW w:w="9700" w:type="dxa"/>
            <w:vAlign w:val="bottom"/>
            <w:shd w:val="clear" w:color="auto" w:fill="F4F4F4"/>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455,209</w:t>
            </w:r>
          </w:p>
        </w:tc>
        <w:tc>
          <w:tcPr>
            <w:tcW w:w="20" w:type="dxa"/>
            <w:vAlign w:val="bottom"/>
          </w:tcPr>
          <w:p>
            <w:pPr>
              <w:spacing w:after="0"/>
              <w:rPr>
                <w:sz w:val="19"/>
                <w:szCs w:val="19"/>
                <w:color w:val="auto"/>
              </w:rPr>
            </w:pPr>
          </w:p>
        </w:tc>
      </w:tr>
      <w:tr>
        <w:trPr>
          <w:trHeight w:val="230"/>
        </w:trPr>
        <w:tc>
          <w:tcPr>
            <w:tcW w:w="970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53,352</w:t>
            </w:r>
          </w:p>
        </w:tc>
        <w:tc>
          <w:tcPr>
            <w:tcW w:w="20" w:type="dxa"/>
            <w:vAlign w:val="bottom"/>
          </w:tcPr>
          <w:p>
            <w:pPr>
              <w:spacing w:after="0"/>
              <w:rPr>
                <w:sz w:val="19"/>
                <w:szCs w:val="19"/>
                <w:color w:val="auto"/>
              </w:rPr>
            </w:pPr>
          </w:p>
        </w:tc>
      </w:tr>
      <w:tr>
        <w:trPr>
          <w:trHeight w:val="223"/>
        </w:trPr>
        <w:tc>
          <w:tcPr>
            <w:tcW w:w="970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Total required maturities</w:t>
            </w:r>
          </w:p>
        </w:tc>
        <w:tc>
          <w:tcPr>
            <w:tcW w:w="460" w:type="dxa"/>
            <w:vAlign w:val="bottom"/>
            <w:tcBorders>
              <w:bottom w:val="single" w:sz="8" w:color="71BF43"/>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553,515</w:t>
            </w:r>
          </w:p>
        </w:tc>
        <w:tc>
          <w:tcPr>
            <w:tcW w:w="20" w:type="dxa"/>
            <w:vAlign w:val="bottom"/>
          </w:tcPr>
          <w:p>
            <w:pPr>
              <w:spacing w:after="0"/>
              <w:rPr>
                <w:sz w:val="19"/>
                <w:szCs w:val="19"/>
                <w:color w:val="auto"/>
              </w:rPr>
            </w:pP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2020 Credit Facility to a fixed rate for the term of the swap agreements. We designated each of the interest rate swap agreements as a cash flow hedge at the inception of the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222885</wp:posOffset>
            </wp:positionV>
            <wp:extent cx="65976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8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March 31,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32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Term of derivative instrument</w:t>
            </w:r>
          </w:p>
        </w:tc>
        <w:tc>
          <w:tcPr>
            <w:tcW w:w="380" w:type="dxa"/>
            <w:vAlign w:val="bottom"/>
            <w:shd w:val="clear" w:color="auto" w:fill="ACACAC"/>
          </w:tcPr>
          <w:p>
            <w:pPr>
              <w:spacing w:after="0"/>
              <w:rPr>
                <w:sz w:val="14"/>
                <w:szCs w:val="14"/>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Notional</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560" w:type="dxa"/>
            <w:vAlign w:val="bottom"/>
            <w:vMerge w:val="continue"/>
            <w:shd w:val="clear" w:color="auto" w:fill="ACACAC"/>
          </w:tcPr>
          <w:p>
            <w:pPr>
              <w:spacing w:after="0"/>
              <w:rPr>
                <w:sz w:val="16"/>
                <w:szCs w:val="16"/>
                <w:color w:val="auto"/>
              </w:rPr>
            </w:pPr>
          </w:p>
        </w:tc>
        <w:tc>
          <w:tcPr>
            <w:tcW w:w="3320" w:type="dxa"/>
            <w:vAlign w:val="bottom"/>
            <w:gridSpan w:val="2"/>
            <w:vMerge w:val="continue"/>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08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380" w:type="dxa"/>
            <w:vAlign w:val="bottom"/>
            <w:shd w:val="clear" w:color="auto" w:fill="F4F4F4"/>
          </w:tcPr>
          <w:p>
            <w:pPr>
              <w:spacing w:after="0"/>
              <w:rPr>
                <w:sz w:val="19"/>
                <w:szCs w:val="19"/>
                <w:color w:val="auto"/>
              </w:rPr>
            </w:pPr>
          </w:p>
        </w:tc>
        <w:tc>
          <w:tcPr>
            <w:tcW w:w="9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July 2017 - July 2021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3320" w:type="dxa"/>
            <w:vAlign w:val="bottom"/>
            <w:gridSpan w:val="2"/>
            <w:shd w:val="clear" w:color="auto" w:fill="F4F4F4"/>
          </w:tcPr>
          <w:p>
            <w:pPr>
              <w:jc w:val="right"/>
              <w:spacing w:after="0"/>
              <w:rPr>
                <w:sz w:val="20"/>
                <w:szCs w:val="20"/>
                <w:color w:val="auto"/>
              </w:rPr>
            </w:pPr>
            <w:r>
              <w:rPr>
                <w:rFonts w:ascii="Arial" w:cs="Arial" w:eastAsia="Arial" w:hAnsi="Arial"/>
                <w:sz w:val="18"/>
                <w:szCs w:val="18"/>
                <w:color w:val="auto"/>
              </w:rPr>
              <w:t>February 2018 - June 2021</w:t>
            </w:r>
          </w:p>
        </w:tc>
        <w:tc>
          <w:tcPr>
            <w:tcW w:w="38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June 2019 - June 2021</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F4F4F4"/>
          </w:tcPr>
          <w:p>
            <w:pPr>
              <w:spacing w:after="0"/>
              <w:rPr>
                <w:sz w:val="19"/>
                <w:szCs w:val="19"/>
                <w:color w:val="auto"/>
              </w:rPr>
            </w:pPr>
          </w:p>
        </w:tc>
        <w:tc>
          <w:tcPr>
            <w:tcW w:w="208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38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395,000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5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F4F4F4"/>
          </w:tcPr>
          <w:p>
            <w:pPr>
              <w:ind w:left="140"/>
              <w:spacing w:after="0"/>
              <w:rPr>
                <w:sz w:val="20"/>
                <w:szCs w:val="20"/>
                <w:color w:val="auto"/>
              </w:rPr>
            </w:pPr>
            <w:r>
              <w:rPr>
                <w:rFonts w:ascii="Arial" w:cs="Arial" w:eastAsia="Arial" w:hAnsi="Arial"/>
                <w:sz w:val="18"/>
                <w:szCs w:val="18"/>
                <w:color w:val="auto"/>
              </w:rPr>
              <w:t>Forward-starting interest rate swap</w:t>
            </w:r>
          </w:p>
        </w:tc>
        <w:tc>
          <w:tcPr>
            <w:tcW w:w="2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June 2021</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Borders>
              <w:bottom w:val="single" w:sz="8" w:color="F4F4F4"/>
            </w:tcBorders>
          </w:tcPr>
          <w:p>
            <w:pPr>
              <w:ind w:left="140"/>
              <w:spacing w:after="0"/>
              <w:rPr>
                <w:sz w:val="20"/>
                <w:szCs w:val="20"/>
                <w:color w:val="auto"/>
              </w:rPr>
            </w:pPr>
            <w:r>
              <w:rPr>
                <w:rFonts w:ascii="Arial" w:cs="Arial" w:eastAsia="Arial" w:hAnsi="Arial"/>
                <w:sz w:val="18"/>
                <w:szCs w:val="18"/>
                <w:color w:val="auto"/>
              </w:rPr>
              <w:t>Forward-starting interest rate swap</w:t>
            </w:r>
          </w:p>
        </w:tc>
        <w:tc>
          <w:tcPr>
            <w:tcW w:w="208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8CBE4F"/>
            </w:tcBorders>
            <w:shd w:val="clear" w:color="auto" w:fill="F4F4F4"/>
          </w:tcPr>
          <w:p>
            <w:pPr>
              <w:spacing w:after="0"/>
              <w:rPr>
                <w:sz w:val="19"/>
                <w:szCs w:val="19"/>
                <w:color w:val="auto"/>
              </w:rPr>
            </w:pPr>
          </w:p>
        </w:tc>
        <w:tc>
          <w:tcPr>
            <w:tcW w:w="2080" w:type="dxa"/>
            <w:vAlign w:val="bottom"/>
            <w:tcBorders>
              <w:bottom w:val="single" w:sz="8" w:color="8CBE4F"/>
            </w:tcBorders>
            <w:shd w:val="clear" w:color="auto" w:fill="F4F4F4"/>
          </w:tcPr>
          <w:p>
            <w:pPr>
              <w:spacing w:after="0"/>
              <w:rPr>
                <w:sz w:val="19"/>
                <w:szCs w:val="19"/>
                <w:color w:val="auto"/>
              </w:rPr>
            </w:pPr>
          </w:p>
        </w:tc>
        <w:tc>
          <w:tcPr>
            <w:tcW w:w="1240" w:type="dxa"/>
            <w:vAlign w:val="bottom"/>
            <w:tcBorders>
              <w:bottom w:val="single" w:sz="8" w:color="8CBE4F"/>
            </w:tcBorders>
            <w:shd w:val="clear" w:color="auto" w:fill="F4F4F4"/>
          </w:tcPr>
          <w:p>
            <w:pPr>
              <w:spacing w:after="0"/>
              <w:rPr>
                <w:sz w:val="19"/>
                <w:szCs w:val="19"/>
                <w:color w:val="auto"/>
              </w:rPr>
            </w:pPr>
          </w:p>
        </w:tc>
        <w:tc>
          <w:tcPr>
            <w:tcW w:w="380" w:type="dxa"/>
            <w:vAlign w:val="bottom"/>
            <w:tcBorders>
              <w:bottom w:val="single" w:sz="8" w:color="8CBE4F"/>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240,000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shd w:val="clear" w:color="auto" w:fill="ACACAC"/>
          </w:tcPr>
          <w:p>
            <w:pPr>
              <w:spacing w:after="0"/>
              <w:rPr>
                <w:sz w:val="17"/>
                <w:szCs w:val="17"/>
                <w:color w:val="auto"/>
              </w:rPr>
            </w:pPr>
          </w:p>
        </w:tc>
        <w:tc>
          <w:tcPr>
            <w:tcW w:w="1240" w:type="dxa"/>
            <w:vAlign w:val="bottom"/>
            <w:shd w:val="clear" w:color="auto" w:fill="ACACAC"/>
          </w:tcPr>
          <w:p>
            <w:pPr>
              <w:spacing w:after="0"/>
              <w:rPr>
                <w:sz w:val="17"/>
                <w:szCs w:val="17"/>
                <w:color w:val="auto"/>
              </w:rPr>
            </w:pPr>
          </w:p>
        </w:tc>
        <w:tc>
          <w:tcPr>
            <w:tcW w:w="500" w:type="dxa"/>
            <w:vAlign w:val="bottom"/>
            <w:shd w:val="clear" w:color="auto" w:fill="ACACAC"/>
          </w:tcPr>
          <w:p>
            <w:pPr>
              <w:spacing w:after="0"/>
              <w:rPr>
                <w:sz w:val="17"/>
                <w:szCs w:val="17"/>
                <w:color w:val="auto"/>
              </w:rPr>
            </w:pPr>
          </w:p>
        </w:tc>
        <w:tc>
          <w:tcPr>
            <w:tcW w:w="280" w:type="dxa"/>
            <w:vAlign w:val="bottom"/>
            <w:shd w:val="clear" w:color="auto" w:fill="ACACAC"/>
          </w:tcPr>
          <w:p>
            <w:pPr>
              <w:spacing w:after="0"/>
              <w:rPr>
                <w:sz w:val="17"/>
                <w:szCs w:val="17"/>
                <w:color w:val="auto"/>
              </w:rPr>
            </w:pPr>
          </w:p>
        </w:tc>
        <w:tc>
          <w:tcPr>
            <w:tcW w:w="1660" w:type="dxa"/>
            <w:vAlign w:val="bottom"/>
            <w:gridSpan w:val="3"/>
            <w:shd w:val="clear" w:color="auto" w:fill="ACACAC"/>
          </w:tcPr>
          <w:p>
            <w:pPr>
              <w:ind w:left="400"/>
              <w:spacing w:after="0"/>
              <w:rPr>
                <w:sz w:val="20"/>
                <w:szCs w:val="20"/>
                <w:color w:val="auto"/>
              </w:rPr>
            </w:pPr>
            <w:r>
              <w:rPr>
                <w:rFonts w:ascii="Arial" w:cs="Arial" w:eastAsia="Arial" w:hAnsi="Arial"/>
                <w:sz w:val="14"/>
                <w:szCs w:val="14"/>
                <w:b w:val="1"/>
                <w:bCs w:val="1"/>
                <w:color w:val="FFFFFF"/>
              </w:rPr>
              <w:t>Asset derivatives</w:t>
            </w:r>
          </w:p>
        </w:tc>
        <w:tc>
          <w:tcPr>
            <w:tcW w:w="620" w:type="dxa"/>
            <w:vAlign w:val="bottom"/>
            <w:tcBorders>
              <w:right w:val="single" w:sz="8" w:color="ACACAC"/>
            </w:tcBorders>
            <w:shd w:val="clear" w:color="auto" w:fill="ACACAC"/>
          </w:tcPr>
          <w:p>
            <w:pPr>
              <w:spacing w:after="0"/>
              <w:rPr>
                <w:sz w:val="17"/>
                <w:szCs w:val="17"/>
                <w:color w:val="auto"/>
              </w:rPr>
            </w:pPr>
          </w:p>
        </w:tc>
        <w:tc>
          <w:tcPr>
            <w:tcW w:w="120" w:type="dxa"/>
            <w:vAlign w:val="bottom"/>
            <w:tcBorders>
              <w:right w:val="single" w:sz="8" w:color="ACACAC"/>
            </w:tcBorders>
          </w:tcPr>
          <w:p>
            <w:pPr>
              <w:spacing w:after="0"/>
              <w:rPr>
                <w:sz w:val="17"/>
                <w:szCs w:val="17"/>
                <w:color w:val="auto"/>
              </w:rPr>
            </w:pPr>
          </w:p>
        </w:tc>
        <w:tc>
          <w:tcPr>
            <w:tcW w:w="660" w:type="dxa"/>
            <w:vAlign w:val="bottom"/>
            <w:shd w:val="clear" w:color="auto" w:fill="ACACAC"/>
          </w:tcPr>
          <w:p>
            <w:pPr>
              <w:spacing w:after="0"/>
              <w:rPr>
                <w:sz w:val="17"/>
                <w:szCs w:val="17"/>
                <w:color w:val="auto"/>
              </w:rPr>
            </w:pPr>
          </w:p>
        </w:tc>
        <w:tc>
          <w:tcPr>
            <w:tcW w:w="2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360" w:type="dxa"/>
            <w:vAlign w:val="bottom"/>
            <w:shd w:val="clear" w:color="auto" w:fill="ACACAC"/>
          </w:tcPr>
          <w:p>
            <w:pPr>
              <w:spacing w:after="0"/>
              <w:rPr>
                <w:sz w:val="17"/>
                <w:szCs w:val="17"/>
                <w:color w:val="auto"/>
              </w:rPr>
            </w:pPr>
          </w:p>
        </w:tc>
        <w:tc>
          <w:tcPr>
            <w:tcW w:w="2200" w:type="dxa"/>
            <w:vAlign w:val="bottom"/>
            <w:gridSpan w:val="3"/>
            <w:shd w:val="clear" w:color="auto" w:fill="ACACAC"/>
          </w:tcPr>
          <w:p>
            <w:pPr>
              <w:jc w:val="right"/>
              <w:ind w:right="518"/>
              <w:spacing w:after="0"/>
              <w:rPr>
                <w:sz w:val="20"/>
                <w:szCs w:val="20"/>
                <w:color w:val="auto"/>
              </w:rPr>
            </w:pPr>
            <w:r>
              <w:rPr>
                <w:rFonts w:ascii="Arial" w:cs="Arial" w:eastAsia="Arial" w:hAnsi="Arial"/>
                <w:sz w:val="14"/>
                <w:szCs w:val="14"/>
                <w:b w:val="1"/>
                <w:bCs w:val="1"/>
                <w:color w:val="FFFFFF"/>
              </w:rPr>
              <w:t>Liability derivatives</w:t>
            </w: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74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280" w:type="dxa"/>
            <w:vAlign w:val="bottom"/>
            <w:shd w:val="clear" w:color="auto" w:fill="ACACAC"/>
          </w:tcPr>
          <w:p>
            <w:pPr>
              <w:spacing w:after="0"/>
              <w:rPr>
                <w:sz w:val="14"/>
                <w:szCs w:val="14"/>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300" w:type="dxa"/>
            <w:vAlign w:val="bottom"/>
            <w:shd w:val="clear" w:color="auto" w:fill="ACACAC"/>
          </w:tcPr>
          <w:p>
            <w:pPr>
              <w:spacing w:after="0"/>
              <w:rPr>
                <w:sz w:val="14"/>
                <w:szCs w:val="14"/>
                <w:color w:val="auto"/>
              </w:rPr>
            </w:pPr>
          </w:p>
        </w:tc>
        <w:tc>
          <w:tcPr>
            <w:tcW w:w="1000" w:type="dxa"/>
            <w:vAlign w:val="bottom"/>
            <w:tcBorders>
              <w:right w:val="single" w:sz="8" w:color="ACACAC"/>
            </w:tcBorders>
            <w:gridSpan w:val="2"/>
            <w:shd w:val="clear" w:color="auto" w:fill="ACACAC"/>
          </w:tcPr>
          <w:p>
            <w:pPr>
              <w:ind w:left="40"/>
              <w:spacing w:after="0"/>
              <w:rPr>
                <w:sz w:val="20"/>
                <w:szCs w:val="20"/>
                <w:color w:val="auto"/>
              </w:rPr>
            </w:pPr>
            <w:r>
              <w:rPr>
                <w:rFonts w:ascii="Arial" w:cs="Arial" w:eastAsia="Arial" w:hAnsi="Arial"/>
                <w:sz w:val="14"/>
                <w:szCs w:val="14"/>
                <w:b w:val="1"/>
                <w:bCs w:val="1"/>
                <w:color w:val="FFFFFF"/>
              </w:rPr>
              <w:t>December 31,</w:t>
            </w:r>
          </w:p>
        </w:tc>
        <w:tc>
          <w:tcPr>
            <w:tcW w:w="120" w:type="dxa"/>
            <w:vAlign w:val="bottom"/>
            <w:tcBorders>
              <w:right w:val="single" w:sz="8" w:color="ACACAC"/>
            </w:tcBorders>
          </w:tcPr>
          <w:p>
            <w:pPr>
              <w:spacing w:after="0"/>
              <w:rPr>
                <w:sz w:val="14"/>
                <w:szCs w:val="14"/>
                <w:color w:val="auto"/>
              </w:rPr>
            </w:pPr>
          </w:p>
        </w:tc>
        <w:tc>
          <w:tcPr>
            <w:tcW w:w="172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3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180" w:type="dxa"/>
            <w:vAlign w:val="bottom"/>
            <w:shd w:val="clear" w:color="auto" w:fill="ACACAC"/>
          </w:tcPr>
          <w:p>
            <w:pPr>
              <w:spacing w:after="0"/>
              <w:rPr>
                <w:sz w:val="14"/>
                <w:szCs w:val="1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tcBorders>
              <w:bottom w:val="single" w:sz="8" w:color="ACACAC"/>
            </w:tcBorders>
            <w:vMerge w:val="continue"/>
            <w:shd w:val="clear" w:color="auto" w:fill="ACACAC"/>
          </w:tcPr>
          <w:p>
            <w:pPr>
              <w:spacing w:after="0"/>
              <w:rPr>
                <w:sz w:val="15"/>
                <w:szCs w:val="15"/>
                <w:color w:val="auto"/>
              </w:rPr>
            </w:pPr>
          </w:p>
        </w:tc>
        <w:tc>
          <w:tcPr>
            <w:tcW w:w="1740" w:type="dxa"/>
            <w:vAlign w:val="bottom"/>
            <w:tcBorders>
              <w:bottom w:val="single" w:sz="8" w:color="ACACAC"/>
            </w:tcBorders>
            <w:gridSpan w:val="2"/>
            <w:vMerge w:val="continue"/>
            <w:shd w:val="clear" w:color="auto" w:fill="ACACAC"/>
          </w:tcPr>
          <w:p>
            <w:pPr>
              <w:spacing w:after="0"/>
              <w:rPr>
                <w:sz w:val="15"/>
                <w:szCs w:val="15"/>
                <w:color w:val="auto"/>
              </w:rPr>
            </w:pPr>
          </w:p>
        </w:tc>
        <w:tc>
          <w:tcPr>
            <w:tcW w:w="280" w:type="dxa"/>
            <w:vAlign w:val="bottom"/>
            <w:tcBorders>
              <w:bottom w:val="single" w:sz="8" w:color="ACACAC"/>
            </w:tcBorders>
            <w:shd w:val="clear" w:color="auto" w:fill="ACACAC"/>
          </w:tcPr>
          <w:p>
            <w:pPr>
              <w:spacing w:after="0"/>
              <w:rPr>
                <w:sz w:val="15"/>
                <w:szCs w:val="15"/>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00" w:type="dxa"/>
            <w:vAlign w:val="bottom"/>
            <w:tcBorders>
              <w:bottom w:val="single" w:sz="8" w:color="ACACAC"/>
            </w:tcBorders>
            <w:shd w:val="clear" w:color="auto" w:fill="ACACAC"/>
          </w:tcPr>
          <w:p>
            <w:pPr>
              <w:spacing w:after="0"/>
              <w:rPr>
                <w:sz w:val="15"/>
                <w:szCs w:val="15"/>
                <w:color w:val="auto"/>
              </w:rPr>
            </w:pPr>
          </w:p>
        </w:tc>
        <w:tc>
          <w:tcPr>
            <w:tcW w:w="380" w:type="dxa"/>
            <w:vAlign w:val="bottom"/>
            <w:tcBorders>
              <w:bottom w:val="single" w:sz="8" w:color="ACACAC"/>
            </w:tcBorders>
            <w:shd w:val="clear" w:color="auto" w:fill="ACACAC"/>
          </w:tcPr>
          <w:p>
            <w:pPr>
              <w:spacing w:after="0"/>
              <w:rPr>
                <w:sz w:val="15"/>
                <w:szCs w:val="15"/>
                <w:color w:val="auto"/>
              </w:rPr>
            </w:pPr>
          </w:p>
        </w:tc>
        <w:tc>
          <w:tcPr>
            <w:tcW w:w="620" w:type="dxa"/>
            <w:vAlign w:val="bottom"/>
            <w:tcBorders>
              <w:bottom w:val="single" w:sz="8" w:color="ACACAC"/>
              <w:right w:val="single" w:sz="8" w:color="ACACAC"/>
            </w:tcBorders>
            <w:shd w:val="clear" w:color="auto" w:fill="ACACAC"/>
          </w:tcPr>
          <w:p>
            <w:pPr>
              <w:jc w:val="center"/>
              <w:ind w:left="141"/>
              <w:spacing w:after="0"/>
              <w:rPr>
                <w:sz w:val="20"/>
                <w:szCs w:val="20"/>
                <w:color w:val="auto"/>
              </w:rPr>
            </w:pPr>
            <w:r>
              <w:rPr>
                <w:rFonts w:ascii="Arial" w:cs="Arial" w:eastAsia="Arial" w:hAnsi="Arial"/>
                <w:sz w:val="14"/>
                <w:szCs w:val="14"/>
                <w:b w:val="1"/>
                <w:bCs w:val="1"/>
                <w:color w:val="FFFFFF"/>
              </w:rPr>
              <w:t>2020</w:t>
            </w:r>
          </w:p>
        </w:tc>
        <w:tc>
          <w:tcPr>
            <w:tcW w:w="120" w:type="dxa"/>
            <w:vAlign w:val="bottom"/>
            <w:tcBorders>
              <w:bottom w:val="single" w:sz="8" w:color="F4F4F4"/>
              <w:right w:val="single" w:sz="8" w:color="ACACAC"/>
            </w:tcBorders>
          </w:tcPr>
          <w:p>
            <w:pPr>
              <w:spacing w:after="0"/>
              <w:rPr>
                <w:sz w:val="15"/>
                <w:szCs w:val="15"/>
                <w:color w:val="auto"/>
              </w:rPr>
            </w:pPr>
          </w:p>
        </w:tc>
        <w:tc>
          <w:tcPr>
            <w:tcW w:w="1720" w:type="dxa"/>
            <w:vAlign w:val="bottom"/>
            <w:tcBorders>
              <w:bottom w:val="single" w:sz="8" w:color="ACACAC"/>
            </w:tcBorders>
            <w:gridSpan w:val="3"/>
            <w:vMerge w:val="continue"/>
            <w:shd w:val="clear" w:color="auto" w:fill="ACACAC"/>
          </w:tcPr>
          <w:p>
            <w:pPr>
              <w:spacing w:after="0"/>
              <w:rPr>
                <w:sz w:val="15"/>
                <w:szCs w:val="15"/>
                <w:color w:val="auto"/>
              </w:rPr>
            </w:pPr>
          </w:p>
        </w:tc>
        <w:tc>
          <w:tcPr>
            <w:tcW w:w="360" w:type="dxa"/>
            <w:vAlign w:val="bottom"/>
            <w:tcBorders>
              <w:bottom w:val="single" w:sz="8" w:color="ACACAC"/>
            </w:tcBorders>
            <w:shd w:val="clear" w:color="auto" w:fill="ACACAC"/>
          </w:tcPr>
          <w:p>
            <w:pPr>
              <w:spacing w:after="0"/>
              <w:rPr>
                <w:sz w:val="15"/>
                <w:szCs w:val="15"/>
                <w:color w:val="auto"/>
              </w:rPr>
            </w:pPr>
          </w:p>
        </w:tc>
        <w:tc>
          <w:tcPr>
            <w:tcW w:w="9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80" w:type="dxa"/>
            <w:vAlign w:val="bottom"/>
            <w:tcBorders>
              <w:bottom w:val="single" w:sz="8" w:color="ACACAC"/>
            </w:tcBorders>
            <w:shd w:val="clear" w:color="auto" w:fill="ACACAC"/>
          </w:tcPr>
          <w:p>
            <w:pPr>
              <w:spacing w:after="0"/>
              <w:rPr>
                <w:sz w:val="15"/>
                <w:szCs w:val="15"/>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F4F4F4"/>
          </w:tcPr>
          <w:p>
            <w:pPr>
              <w:ind w:left="20"/>
              <w:spacing w:after="0" w:line="169" w:lineRule="exact"/>
              <w:rPr>
                <w:sz w:val="20"/>
                <w:szCs w:val="20"/>
                <w:color w:val="auto"/>
              </w:rPr>
            </w:pPr>
            <w:r>
              <w:rPr>
                <w:rFonts w:ascii="Arial" w:cs="Arial" w:eastAsia="Arial" w:hAnsi="Arial"/>
                <w:sz w:val="18"/>
                <w:szCs w:val="18"/>
                <w:b w:val="1"/>
                <w:bCs w:val="1"/>
                <w:color w:val="auto"/>
              </w:rPr>
              <w:t>Derivative instruments</w:t>
            </w:r>
          </w:p>
        </w:tc>
        <w:tc>
          <w:tcPr>
            <w:tcW w:w="1240" w:type="dxa"/>
            <w:vAlign w:val="bottom"/>
            <w:shd w:val="clear" w:color="auto" w:fill="F4F4F4"/>
          </w:tcPr>
          <w:p>
            <w:pPr>
              <w:spacing w:after="0"/>
              <w:rPr>
                <w:sz w:val="14"/>
                <w:szCs w:val="14"/>
                <w:color w:val="auto"/>
              </w:rPr>
            </w:pPr>
          </w:p>
        </w:tc>
        <w:tc>
          <w:tcPr>
            <w:tcW w:w="500" w:type="dxa"/>
            <w:vAlign w:val="bottom"/>
            <w:shd w:val="clear" w:color="auto" w:fill="F4F4F4"/>
          </w:tcPr>
          <w:p>
            <w:pPr>
              <w:spacing w:after="0"/>
              <w:rPr>
                <w:sz w:val="14"/>
                <w:szCs w:val="14"/>
                <w:color w:val="auto"/>
              </w:rPr>
            </w:pPr>
          </w:p>
        </w:tc>
        <w:tc>
          <w:tcPr>
            <w:tcW w:w="280" w:type="dxa"/>
            <w:vAlign w:val="bottom"/>
            <w:shd w:val="clear" w:color="auto" w:fill="F4F4F4"/>
          </w:tcPr>
          <w:p>
            <w:pPr>
              <w:spacing w:after="0"/>
              <w:rPr>
                <w:sz w:val="14"/>
                <w:szCs w:val="14"/>
                <w:color w:val="auto"/>
              </w:rPr>
            </w:pPr>
          </w:p>
        </w:tc>
        <w:tc>
          <w:tcPr>
            <w:tcW w:w="980" w:type="dxa"/>
            <w:vAlign w:val="bottom"/>
            <w:shd w:val="clear" w:color="auto" w:fill="F4F4F4"/>
          </w:tcPr>
          <w:p>
            <w:pPr>
              <w:spacing w:after="0"/>
              <w:rPr>
                <w:sz w:val="14"/>
                <w:szCs w:val="14"/>
                <w:color w:val="auto"/>
              </w:rPr>
            </w:pPr>
          </w:p>
        </w:tc>
        <w:tc>
          <w:tcPr>
            <w:tcW w:w="300" w:type="dxa"/>
            <w:vAlign w:val="bottom"/>
            <w:shd w:val="clear" w:color="auto" w:fill="F4F4F4"/>
          </w:tcPr>
          <w:p>
            <w:pPr>
              <w:spacing w:after="0"/>
              <w:rPr>
                <w:sz w:val="14"/>
                <w:szCs w:val="14"/>
                <w:color w:val="auto"/>
              </w:rPr>
            </w:pPr>
          </w:p>
        </w:tc>
        <w:tc>
          <w:tcPr>
            <w:tcW w:w="380" w:type="dxa"/>
            <w:vAlign w:val="bottom"/>
            <w:shd w:val="clear" w:color="auto" w:fill="F4F4F4"/>
          </w:tcPr>
          <w:p>
            <w:pPr>
              <w:spacing w:after="0"/>
              <w:rPr>
                <w:sz w:val="14"/>
                <w:szCs w:val="14"/>
                <w:color w:val="auto"/>
              </w:rPr>
            </w:pPr>
          </w:p>
        </w:tc>
        <w:tc>
          <w:tcPr>
            <w:tcW w:w="620" w:type="dxa"/>
            <w:vAlign w:val="bottom"/>
            <w:tcBorders>
              <w:right w:val="single" w:sz="8" w:color="F4F4F4"/>
            </w:tcBorders>
            <w:shd w:val="clear" w:color="auto" w:fill="F4F4F4"/>
          </w:tcPr>
          <w:p>
            <w:pPr>
              <w:spacing w:after="0"/>
              <w:rPr>
                <w:sz w:val="14"/>
                <w:szCs w:val="14"/>
                <w:color w:val="auto"/>
              </w:rPr>
            </w:pPr>
          </w:p>
        </w:tc>
        <w:tc>
          <w:tcPr>
            <w:tcW w:w="120" w:type="dxa"/>
            <w:vAlign w:val="bottom"/>
            <w:tcBorders>
              <w:right w:val="single" w:sz="8" w:color="F4F4F4"/>
            </w:tcBorders>
            <w:shd w:val="clear" w:color="auto" w:fill="F4F4F4"/>
          </w:tcPr>
          <w:p>
            <w:pPr>
              <w:spacing w:after="0"/>
              <w:rPr>
                <w:sz w:val="14"/>
                <w:szCs w:val="14"/>
                <w:color w:val="auto"/>
              </w:rPr>
            </w:pPr>
          </w:p>
        </w:tc>
        <w:tc>
          <w:tcPr>
            <w:tcW w:w="660" w:type="dxa"/>
            <w:vAlign w:val="bottom"/>
            <w:shd w:val="clear" w:color="auto" w:fill="F4F4F4"/>
          </w:tcPr>
          <w:p>
            <w:pPr>
              <w:spacing w:after="0"/>
              <w:rPr>
                <w:sz w:val="14"/>
                <w:szCs w:val="14"/>
                <w:color w:val="auto"/>
              </w:rPr>
            </w:pPr>
          </w:p>
        </w:tc>
        <w:tc>
          <w:tcPr>
            <w:tcW w:w="200" w:type="dxa"/>
            <w:vAlign w:val="bottom"/>
            <w:shd w:val="clear" w:color="auto" w:fill="F4F4F4"/>
          </w:tcPr>
          <w:p>
            <w:pPr>
              <w:spacing w:after="0"/>
              <w:rPr>
                <w:sz w:val="14"/>
                <w:szCs w:val="14"/>
                <w:color w:val="auto"/>
              </w:rPr>
            </w:pPr>
          </w:p>
        </w:tc>
        <w:tc>
          <w:tcPr>
            <w:tcW w:w="860" w:type="dxa"/>
            <w:vAlign w:val="bottom"/>
            <w:shd w:val="clear" w:color="auto" w:fill="F4F4F4"/>
          </w:tcPr>
          <w:p>
            <w:pPr>
              <w:spacing w:after="0"/>
              <w:rPr>
                <w:sz w:val="14"/>
                <w:szCs w:val="14"/>
                <w:color w:val="auto"/>
              </w:rPr>
            </w:pPr>
          </w:p>
        </w:tc>
        <w:tc>
          <w:tcPr>
            <w:tcW w:w="360" w:type="dxa"/>
            <w:vAlign w:val="bottom"/>
            <w:shd w:val="clear" w:color="auto" w:fill="F4F4F4"/>
          </w:tcPr>
          <w:p>
            <w:pPr>
              <w:spacing w:after="0"/>
              <w:rPr>
                <w:sz w:val="14"/>
                <w:szCs w:val="14"/>
                <w:color w:val="auto"/>
              </w:rPr>
            </w:pPr>
          </w:p>
        </w:tc>
        <w:tc>
          <w:tcPr>
            <w:tcW w:w="920" w:type="dxa"/>
            <w:vAlign w:val="bottom"/>
            <w:shd w:val="clear" w:color="auto" w:fill="F4F4F4"/>
          </w:tcPr>
          <w:p>
            <w:pPr>
              <w:spacing w:after="0"/>
              <w:rPr>
                <w:sz w:val="14"/>
                <w:szCs w:val="14"/>
                <w:color w:val="auto"/>
              </w:rPr>
            </w:pPr>
          </w:p>
        </w:tc>
        <w:tc>
          <w:tcPr>
            <w:tcW w:w="180" w:type="dxa"/>
            <w:vAlign w:val="bottom"/>
            <w:shd w:val="clear" w:color="auto" w:fill="F4F4F4"/>
          </w:tcPr>
          <w:p>
            <w:pPr>
              <w:spacing w:after="0"/>
              <w:rPr>
                <w:sz w:val="14"/>
                <w:szCs w:val="14"/>
                <w:color w:val="auto"/>
              </w:rPr>
            </w:pPr>
          </w:p>
        </w:tc>
        <w:tc>
          <w:tcPr>
            <w:tcW w:w="1100" w:type="dxa"/>
            <w:vAlign w:val="bottom"/>
            <w:shd w:val="clear" w:color="auto" w:fill="F4F4F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F4F4F4"/>
          </w:tcPr>
          <w:p>
            <w:pPr>
              <w:ind w:left="20"/>
              <w:spacing w:after="0" w:line="176" w:lineRule="exact"/>
              <w:rPr>
                <w:sz w:val="20"/>
                <w:szCs w:val="20"/>
                <w:color w:val="auto"/>
              </w:rPr>
            </w:pPr>
            <w:r>
              <w:rPr>
                <w:rFonts w:ascii="Arial" w:cs="Arial" w:eastAsia="Arial" w:hAnsi="Arial"/>
                <w:sz w:val="18"/>
                <w:szCs w:val="18"/>
                <w:b w:val="1"/>
                <w:bCs w:val="1"/>
                <w:color w:val="auto"/>
              </w:rPr>
              <w:t>designated as hedging</w:t>
            </w:r>
          </w:p>
        </w:tc>
        <w:tc>
          <w:tcPr>
            <w:tcW w:w="1240" w:type="dxa"/>
            <w:vAlign w:val="bottom"/>
            <w:shd w:val="clear" w:color="auto" w:fill="F4F4F4"/>
          </w:tcPr>
          <w:p>
            <w:pPr>
              <w:spacing w:after="0"/>
              <w:rPr>
                <w:sz w:val="15"/>
                <w:szCs w:val="15"/>
                <w:color w:val="auto"/>
              </w:rPr>
            </w:pPr>
          </w:p>
        </w:tc>
        <w:tc>
          <w:tcPr>
            <w:tcW w:w="500" w:type="dxa"/>
            <w:vAlign w:val="bottom"/>
            <w:shd w:val="clear" w:color="auto" w:fill="F4F4F4"/>
          </w:tcPr>
          <w:p>
            <w:pPr>
              <w:spacing w:after="0"/>
              <w:rPr>
                <w:sz w:val="15"/>
                <w:szCs w:val="15"/>
                <w:color w:val="auto"/>
              </w:rPr>
            </w:pPr>
          </w:p>
        </w:tc>
        <w:tc>
          <w:tcPr>
            <w:tcW w:w="280" w:type="dxa"/>
            <w:vAlign w:val="bottom"/>
            <w:shd w:val="clear" w:color="auto" w:fill="F4F4F4"/>
          </w:tcPr>
          <w:p>
            <w:pPr>
              <w:spacing w:after="0"/>
              <w:rPr>
                <w:sz w:val="15"/>
                <w:szCs w:val="15"/>
                <w:color w:val="auto"/>
              </w:rPr>
            </w:pPr>
          </w:p>
        </w:tc>
        <w:tc>
          <w:tcPr>
            <w:tcW w:w="980" w:type="dxa"/>
            <w:vAlign w:val="bottom"/>
            <w:shd w:val="clear" w:color="auto" w:fill="F4F4F4"/>
          </w:tcPr>
          <w:p>
            <w:pPr>
              <w:spacing w:after="0"/>
              <w:rPr>
                <w:sz w:val="15"/>
                <w:szCs w:val="15"/>
                <w:color w:val="auto"/>
              </w:rPr>
            </w:pPr>
          </w:p>
        </w:tc>
        <w:tc>
          <w:tcPr>
            <w:tcW w:w="300" w:type="dxa"/>
            <w:vAlign w:val="bottom"/>
            <w:shd w:val="clear" w:color="auto" w:fill="F4F4F4"/>
          </w:tcPr>
          <w:p>
            <w:pPr>
              <w:spacing w:after="0"/>
              <w:rPr>
                <w:sz w:val="15"/>
                <w:szCs w:val="15"/>
                <w:color w:val="auto"/>
              </w:rPr>
            </w:pPr>
          </w:p>
        </w:tc>
        <w:tc>
          <w:tcPr>
            <w:tcW w:w="380" w:type="dxa"/>
            <w:vAlign w:val="bottom"/>
            <w:shd w:val="clear" w:color="auto" w:fill="F4F4F4"/>
          </w:tcPr>
          <w:p>
            <w:pPr>
              <w:spacing w:after="0"/>
              <w:rPr>
                <w:sz w:val="15"/>
                <w:szCs w:val="15"/>
                <w:color w:val="auto"/>
              </w:rPr>
            </w:pPr>
          </w:p>
        </w:tc>
        <w:tc>
          <w:tcPr>
            <w:tcW w:w="620" w:type="dxa"/>
            <w:vAlign w:val="bottom"/>
            <w:tcBorders>
              <w:right w:val="single" w:sz="8" w:color="F4F4F4"/>
            </w:tcBorders>
            <w:shd w:val="clear" w:color="auto" w:fill="F4F4F4"/>
          </w:tcPr>
          <w:p>
            <w:pPr>
              <w:spacing w:after="0"/>
              <w:rPr>
                <w:sz w:val="15"/>
                <w:szCs w:val="15"/>
                <w:color w:val="auto"/>
              </w:rPr>
            </w:pPr>
          </w:p>
        </w:tc>
        <w:tc>
          <w:tcPr>
            <w:tcW w:w="120" w:type="dxa"/>
            <w:vAlign w:val="bottom"/>
            <w:tcBorders>
              <w:right w:val="single" w:sz="8" w:color="F4F4F4"/>
            </w:tcBorders>
            <w:shd w:val="clear" w:color="auto" w:fill="F4F4F4"/>
          </w:tcPr>
          <w:p>
            <w:pPr>
              <w:spacing w:after="0"/>
              <w:rPr>
                <w:sz w:val="15"/>
                <w:szCs w:val="15"/>
                <w:color w:val="auto"/>
              </w:rPr>
            </w:pPr>
          </w:p>
        </w:tc>
        <w:tc>
          <w:tcPr>
            <w:tcW w:w="660" w:type="dxa"/>
            <w:vAlign w:val="bottom"/>
            <w:shd w:val="clear" w:color="auto" w:fill="F4F4F4"/>
          </w:tcPr>
          <w:p>
            <w:pPr>
              <w:spacing w:after="0"/>
              <w:rPr>
                <w:sz w:val="15"/>
                <w:szCs w:val="15"/>
                <w:color w:val="auto"/>
              </w:rPr>
            </w:pPr>
          </w:p>
        </w:tc>
        <w:tc>
          <w:tcPr>
            <w:tcW w:w="200" w:type="dxa"/>
            <w:vAlign w:val="bottom"/>
            <w:shd w:val="clear" w:color="auto" w:fill="F4F4F4"/>
          </w:tcPr>
          <w:p>
            <w:pPr>
              <w:spacing w:after="0"/>
              <w:rPr>
                <w:sz w:val="15"/>
                <w:szCs w:val="15"/>
                <w:color w:val="auto"/>
              </w:rPr>
            </w:pPr>
          </w:p>
        </w:tc>
        <w:tc>
          <w:tcPr>
            <w:tcW w:w="860" w:type="dxa"/>
            <w:vAlign w:val="bottom"/>
            <w:shd w:val="clear" w:color="auto" w:fill="F4F4F4"/>
          </w:tcPr>
          <w:p>
            <w:pPr>
              <w:spacing w:after="0"/>
              <w:rPr>
                <w:sz w:val="15"/>
                <w:szCs w:val="15"/>
                <w:color w:val="auto"/>
              </w:rPr>
            </w:pPr>
          </w:p>
        </w:tc>
        <w:tc>
          <w:tcPr>
            <w:tcW w:w="360" w:type="dxa"/>
            <w:vAlign w:val="bottom"/>
            <w:shd w:val="clear" w:color="auto" w:fill="F4F4F4"/>
          </w:tcPr>
          <w:p>
            <w:pPr>
              <w:spacing w:after="0"/>
              <w:rPr>
                <w:sz w:val="15"/>
                <w:szCs w:val="15"/>
                <w:color w:val="auto"/>
              </w:rPr>
            </w:pPr>
          </w:p>
        </w:tc>
        <w:tc>
          <w:tcPr>
            <w:tcW w:w="920" w:type="dxa"/>
            <w:vAlign w:val="bottom"/>
            <w:shd w:val="clear" w:color="auto" w:fill="F4F4F4"/>
          </w:tcPr>
          <w:p>
            <w:pPr>
              <w:spacing w:after="0"/>
              <w:rPr>
                <w:sz w:val="15"/>
                <w:szCs w:val="15"/>
                <w:color w:val="auto"/>
              </w:rPr>
            </w:pPr>
          </w:p>
        </w:tc>
        <w:tc>
          <w:tcPr>
            <w:tcW w:w="180" w:type="dxa"/>
            <w:vAlign w:val="bottom"/>
            <w:shd w:val="clear" w:color="auto" w:fill="F4F4F4"/>
          </w:tcPr>
          <w:p>
            <w:pPr>
              <w:spacing w:after="0"/>
              <w:rPr>
                <w:sz w:val="15"/>
                <w:szCs w:val="15"/>
                <w:color w:val="auto"/>
              </w:rPr>
            </w:pPr>
          </w:p>
        </w:tc>
        <w:tc>
          <w:tcPr>
            <w:tcW w:w="110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instruments:</w:t>
            </w:r>
          </w:p>
        </w:tc>
        <w:tc>
          <w:tcPr>
            <w:tcW w:w="1240" w:type="dxa"/>
            <w:vAlign w:val="bottom"/>
            <w:shd w:val="clear" w:color="auto" w:fill="F4F4F4"/>
          </w:tcPr>
          <w:p>
            <w:pPr>
              <w:spacing w:after="0"/>
              <w:rPr>
                <w:sz w:val="19"/>
                <w:szCs w:val="19"/>
                <w:color w:val="auto"/>
              </w:rPr>
            </w:pPr>
          </w:p>
        </w:tc>
        <w:tc>
          <w:tcPr>
            <w:tcW w:w="50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980" w:type="dxa"/>
            <w:vAlign w:val="bottom"/>
            <w:shd w:val="clear" w:color="auto" w:fill="F4F4F4"/>
          </w:tcPr>
          <w:p>
            <w:pPr>
              <w:spacing w:after="0"/>
              <w:rPr>
                <w:sz w:val="19"/>
                <w:szCs w:val="19"/>
                <w:color w:val="auto"/>
              </w:rPr>
            </w:pPr>
          </w:p>
        </w:tc>
        <w:tc>
          <w:tcPr>
            <w:tcW w:w="300" w:type="dxa"/>
            <w:vAlign w:val="bottom"/>
            <w:shd w:val="clear" w:color="auto" w:fill="F4F4F4"/>
          </w:tcPr>
          <w:p>
            <w:pPr>
              <w:spacing w:after="0"/>
              <w:rPr>
                <w:sz w:val="19"/>
                <w:szCs w:val="19"/>
                <w:color w:val="auto"/>
              </w:rPr>
            </w:pPr>
          </w:p>
        </w:tc>
        <w:tc>
          <w:tcPr>
            <w:tcW w:w="380" w:type="dxa"/>
            <w:vAlign w:val="bottom"/>
            <w:shd w:val="clear" w:color="auto" w:fill="F4F4F4"/>
          </w:tcPr>
          <w:p>
            <w:pPr>
              <w:spacing w:after="0"/>
              <w:rPr>
                <w:sz w:val="19"/>
                <w:szCs w:val="19"/>
                <w:color w:val="auto"/>
              </w:rPr>
            </w:pPr>
          </w:p>
        </w:tc>
        <w:tc>
          <w:tcPr>
            <w:tcW w:w="620" w:type="dxa"/>
            <w:vAlign w:val="bottom"/>
            <w:tcBorders>
              <w:right w:val="single" w:sz="8" w:color="F4F4F4"/>
            </w:tcBorders>
            <w:shd w:val="clear" w:color="auto" w:fill="F4F4F4"/>
          </w:tcPr>
          <w:p>
            <w:pPr>
              <w:spacing w:after="0"/>
              <w:rPr>
                <w:sz w:val="19"/>
                <w:szCs w:val="19"/>
                <w:color w:val="auto"/>
              </w:rPr>
            </w:pPr>
          </w:p>
        </w:tc>
        <w:tc>
          <w:tcPr>
            <w:tcW w:w="120" w:type="dxa"/>
            <w:vAlign w:val="bottom"/>
            <w:tcBorders>
              <w:right w:val="single" w:sz="8" w:color="F4F4F4"/>
            </w:tcBorders>
            <w:shd w:val="clear" w:color="auto" w:fill="F4F4F4"/>
          </w:tcPr>
          <w:p>
            <w:pPr>
              <w:spacing w:after="0"/>
              <w:rPr>
                <w:sz w:val="19"/>
                <w:szCs w:val="19"/>
                <w:color w:val="auto"/>
              </w:rPr>
            </w:pPr>
          </w:p>
        </w:tc>
        <w:tc>
          <w:tcPr>
            <w:tcW w:w="660" w:type="dxa"/>
            <w:vAlign w:val="bottom"/>
            <w:shd w:val="clear" w:color="auto" w:fill="F4F4F4"/>
          </w:tcPr>
          <w:p>
            <w:pPr>
              <w:spacing w:after="0"/>
              <w:rPr>
                <w:sz w:val="19"/>
                <w:szCs w:val="19"/>
                <w:color w:val="auto"/>
              </w:rPr>
            </w:pPr>
          </w:p>
        </w:tc>
        <w:tc>
          <w:tcPr>
            <w:tcW w:w="20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36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18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540" w:type="dxa"/>
            <w:vAlign w:val="bottom"/>
          </w:tcPr>
          <w:p>
            <w:pPr>
              <w:ind w:left="140"/>
              <w:spacing w:after="0" w:line="189" w:lineRule="exact"/>
              <w:rPr>
                <w:sz w:val="20"/>
                <w:szCs w:val="20"/>
                <w:color w:val="auto"/>
              </w:rPr>
            </w:pPr>
            <w:r>
              <w:rPr>
                <w:rFonts w:ascii="Arial" w:cs="Arial" w:eastAsia="Arial" w:hAnsi="Arial"/>
                <w:sz w:val="18"/>
                <w:szCs w:val="18"/>
                <w:color w:val="auto"/>
              </w:rPr>
              <w:t>Interest rate swaps, current</w:t>
            </w:r>
          </w:p>
        </w:tc>
        <w:tc>
          <w:tcPr>
            <w:tcW w:w="2020" w:type="dxa"/>
            <w:vAlign w:val="bottom"/>
            <w:gridSpan w:val="3"/>
          </w:tcPr>
          <w:p>
            <w:pPr>
              <w:jc w:val="right"/>
              <w:ind w:right="228"/>
              <w:spacing w:after="0" w:line="189" w:lineRule="exact"/>
              <w:rPr>
                <w:sz w:val="20"/>
                <w:szCs w:val="20"/>
                <w:color w:val="auto"/>
              </w:rPr>
            </w:pPr>
            <w:r>
              <w:rPr>
                <w:rFonts w:ascii="Arial" w:cs="Arial" w:eastAsia="Arial" w:hAnsi="Arial"/>
                <w:sz w:val="18"/>
                <w:szCs w:val="18"/>
                <w:color w:val="auto"/>
              </w:rPr>
              <w:t>Prepaid expenses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380"/>
              <w:spacing w:after="0" w:line="189" w:lineRule="exact"/>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40" w:type="dxa"/>
            <w:vAlign w:val="bottom"/>
          </w:tcPr>
          <w:p>
            <w:pPr>
              <w:ind w:left="140"/>
              <w:spacing w:after="0" w:line="176" w:lineRule="exact"/>
              <w:rPr>
                <w:sz w:val="20"/>
                <w:szCs w:val="20"/>
                <w:color w:val="auto"/>
              </w:rPr>
            </w:pPr>
            <w:r>
              <w:rPr>
                <w:rFonts w:ascii="Arial" w:cs="Arial" w:eastAsia="Arial" w:hAnsi="Arial"/>
                <w:sz w:val="18"/>
                <w:szCs w:val="18"/>
                <w:color w:val="auto"/>
              </w:rPr>
              <w:t>portion</w:t>
            </w:r>
          </w:p>
        </w:tc>
        <w:tc>
          <w:tcPr>
            <w:tcW w:w="2020" w:type="dxa"/>
            <w:vAlign w:val="bottom"/>
            <w:gridSpan w:val="3"/>
          </w:tcPr>
          <w:p>
            <w:pPr>
              <w:jc w:val="right"/>
              <w:ind w:right="228"/>
              <w:spacing w:after="0" w:line="176" w:lineRule="exact"/>
              <w:rPr>
                <w:sz w:val="20"/>
                <w:szCs w:val="20"/>
                <w:color w:val="auto"/>
              </w:rPr>
            </w:pPr>
            <w:r>
              <w:rPr>
                <w:rFonts w:ascii="Arial" w:cs="Arial" w:eastAsia="Arial" w:hAnsi="Arial"/>
                <w:sz w:val="18"/>
                <w:szCs w:val="18"/>
                <w:color w:val="auto"/>
              </w:rPr>
              <w:t>and other current</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and other</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40" w:type="dxa"/>
            <w:vAlign w:val="bottom"/>
          </w:tcPr>
          <w:p>
            <w:pPr>
              <w:spacing w:after="0"/>
              <w:rPr>
                <w:sz w:val="18"/>
                <w:szCs w:val="18"/>
                <w:color w:val="auto"/>
              </w:rPr>
            </w:pPr>
          </w:p>
        </w:tc>
        <w:tc>
          <w:tcPr>
            <w:tcW w:w="2020" w:type="dxa"/>
            <w:vAlign w:val="bottom"/>
            <w:gridSpan w:val="3"/>
          </w:tcPr>
          <w:p>
            <w:pPr>
              <w:jc w:val="right"/>
              <w:ind w:right="88"/>
              <w:spacing w:after="0"/>
              <w:rPr>
                <w:sz w:val="20"/>
                <w:szCs w:val="20"/>
                <w:color w:val="auto"/>
              </w:rPr>
            </w:pPr>
            <w:r>
              <w:rPr>
                <w:rFonts w:ascii="Arial" w:cs="Arial" w:eastAsia="Arial" w:hAnsi="Arial"/>
                <w:sz w:val="18"/>
                <w:szCs w:val="18"/>
                <w:color w:val="auto"/>
              </w:rPr>
              <w:t>assets $</w:t>
            </w:r>
          </w:p>
        </w:tc>
        <w:tc>
          <w:tcPr>
            <w:tcW w:w="9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740" w:type="dxa"/>
            <w:vAlign w:val="bottom"/>
            <w:gridSpan w:val="2"/>
          </w:tcPr>
          <w:p>
            <w:pPr>
              <w:jc w:val="center"/>
              <w:ind w:left="41"/>
              <w:spacing w:after="0"/>
              <w:rPr>
                <w:sz w:val="20"/>
                <w:szCs w:val="20"/>
                <w:color w:val="auto"/>
              </w:rPr>
            </w:pPr>
            <w:r>
              <w:rPr>
                <w:rFonts w:ascii="Arial" w:cs="Arial" w:eastAsia="Arial" w:hAnsi="Arial"/>
                <w:sz w:val="18"/>
                <w:szCs w:val="18"/>
                <w:color w:val="auto"/>
                <w:w w:val="99"/>
              </w:rPr>
              <w:t>—</w:t>
            </w:r>
          </w:p>
        </w:tc>
        <w:tc>
          <w:tcPr>
            <w:tcW w:w="2080" w:type="dxa"/>
            <w:vAlign w:val="bottom"/>
            <w:gridSpan w:val="4"/>
          </w:tcPr>
          <w:p>
            <w:pPr>
              <w:jc w:val="right"/>
              <w:ind w:right="240"/>
              <w:spacing w:after="0"/>
              <w:rPr>
                <w:sz w:val="20"/>
                <w:szCs w:val="20"/>
                <w:color w:val="auto"/>
              </w:rPr>
            </w:pPr>
            <w:r>
              <w:rPr>
                <w:rFonts w:ascii="Arial" w:cs="Arial" w:eastAsia="Arial" w:hAnsi="Arial"/>
                <w:sz w:val="18"/>
                <w:szCs w:val="18"/>
                <w:color w:val="auto"/>
              </w:rPr>
              <w:t>current liabilities $</w:t>
            </w:r>
          </w:p>
        </w:tc>
        <w:tc>
          <w:tcPr>
            <w:tcW w:w="920" w:type="dxa"/>
            <w:vAlign w:val="bottom"/>
          </w:tcPr>
          <w:p>
            <w:pPr>
              <w:jc w:val="right"/>
              <w:ind w:right="1"/>
              <w:spacing w:after="0"/>
              <w:rPr>
                <w:sz w:val="20"/>
                <w:szCs w:val="20"/>
                <w:color w:val="auto"/>
              </w:rPr>
            </w:pPr>
            <w:r>
              <w:rPr>
                <w:rFonts w:ascii="Arial" w:cs="Arial" w:eastAsia="Arial" w:hAnsi="Arial"/>
                <w:sz w:val="18"/>
                <w:szCs w:val="18"/>
                <w:color w:val="auto"/>
              </w:rPr>
              <w:t>1,431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540" w:type="dxa"/>
            <w:vAlign w:val="bottom"/>
            <w:shd w:val="clear" w:color="auto" w:fill="F4F4F4"/>
          </w:tcPr>
          <w:p>
            <w:pPr>
              <w:ind w:left="140"/>
              <w:spacing w:after="0" w:line="189" w:lineRule="exact"/>
              <w:rPr>
                <w:sz w:val="20"/>
                <w:szCs w:val="20"/>
                <w:color w:val="auto"/>
              </w:rPr>
            </w:pPr>
            <w:r>
              <w:rPr>
                <w:rFonts w:ascii="Arial" w:cs="Arial" w:eastAsia="Arial" w:hAnsi="Arial"/>
                <w:sz w:val="18"/>
                <w:szCs w:val="18"/>
                <w:color w:val="auto"/>
              </w:rPr>
              <w:t>Interest rate swaps, long-</w:t>
            </w:r>
          </w:p>
        </w:tc>
        <w:tc>
          <w:tcPr>
            <w:tcW w:w="1240" w:type="dxa"/>
            <w:vAlign w:val="bottom"/>
            <w:shd w:val="clear" w:color="auto" w:fill="F4F4F4"/>
          </w:tcPr>
          <w:p>
            <w:pPr>
              <w:spacing w:after="0"/>
              <w:rPr>
                <w:sz w:val="16"/>
                <w:szCs w:val="16"/>
                <w:color w:val="auto"/>
              </w:rPr>
            </w:pPr>
          </w:p>
        </w:tc>
        <w:tc>
          <w:tcPr>
            <w:tcW w:w="500" w:type="dxa"/>
            <w:vAlign w:val="bottom"/>
            <w:shd w:val="clear" w:color="auto" w:fill="F4F4F4"/>
          </w:tcPr>
          <w:p>
            <w:pPr>
              <w:spacing w:after="0"/>
              <w:rPr>
                <w:sz w:val="16"/>
                <w:szCs w:val="16"/>
                <w:color w:val="auto"/>
              </w:rPr>
            </w:pPr>
          </w:p>
        </w:tc>
        <w:tc>
          <w:tcPr>
            <w:tcW w:w="280" w:type="dxa"/>
            <w:vAlign w:val="bottom"/>
            <w:shd w:val="clear" w:color="auto" w:fill="F4F4F4"/>
          </w:tcPr>
          <w:p>
            <w:pPr>
              <w:spacing w:after="0"/>
              <w:rPr>
                <w:sz w:val="16"/>
                <w:szCs w:val="16"/>
                <w:color w:val="auto"/>
              </w:rPr>
            </w:pPr>
          </w:p>
        </w:tc>
        <w:tc>
          <w:tcPr>
            <w:tcW w:w="980" w:type="dxa"/>
            <w:vAlign w:val="bottom"/>
            <w:shd w:val="clear" w:color="auto" w:fill="F4F4F4"/>
          </w:tcPr>
          <w:p>
            <w:pPr>
              <w:spacing w:after="0"/>
              <w:rPr>
                <w:sz w:val="16"/>
                <w:szCs w:val="16"/>
                <w:color w:val="auto"/>
              </w:rPr>
            </w:pPr>
          </w:p>
        </w:tc>
        <w:tc>
          <w:tcPr>
            <w:tcW w:w="300" w:type="dxa"/>
            <w:vAlign w:val="bottom"/>
            <w:shd w:val="clear" w:color="auto" w:fill="F4F4F4"/>
          </w:tcPr>
          <w:p>
            <w:pPr>
              <w:spacing w:after="0"/>
              <w:rPr>
                <w:sz w:val="16"/>
                <w:szCs w:val="16"/>
                <w:color w:val="auto"/>
              </w:rPr>
            </w:pPr>
          </w:p>
        </w:tc>
        <w:tc>
          <w:tcPr>
            <w:tcW w:w="380" w:type="dxa"/>
            <w:vAlign w:val="bottom"/>
            <w:shd w:val="clear" w:color="auto" w:fill="F4F4F4"/>
          </w:tcPr>
          <w:p>
            <w:pPr>
              <w:spacing w:after="0"/>
              <w:rPr>
                <w:sz w:val="16"/>
                <w:szCs w:val="16"/>
                <w:color w:val="auto"/>
              </w:rPr>
            </w:pPr>
          </w:p>
        </w:tc>
        <w:tc>
          <w:tcPr>
            <w:tcW w:w="620" w:type="dxa"/>
            <w:vAlign w:val="bottom"/>
            <w:tcBorders>
              <w:right w:val="single" w:sz="8" w:color="F4F4F4"/>
            </w:tcBorders>
            <w:shd w:val="clear" w:color="auto" w:fill="F4F4F4"/>
          </w:tcPr>
          <w:p>
            <w:pPr>
              <w:spacing w:after="0"/>
              <w:rPr>
                <w:sz w:val="16"/>
                <w:szCs w:val="16"/>
                <w:color w:val="auto"/>
              </w:rPr>
            </w:pPr>
          </w:p>
        </w:tc>
        <w:tc>
          <w:tcPr>
            <w:tcW w:w="120" w:type="dxa"/>
            <w:vAlign w:val="bottom"/>
            <w:tcBorders>
              <w:right w:val="single" w:sz="8" w:color="F4F4F4"/>
            </w:tcBorders>
            <w:shd w:val="clear" w:color="auto" w:fill="F4F4F4"/>
          </w:tcPr>
          <w:p>
            <w:pPr>
              <w:spacing w:after="0"/>
              <w:rPr>
                <w:sz w:val="16"/>
                <w:szCs w:val="16"/>
                <w:color w:val="auto"/>
              </w:rPr>
            </w:pPr>
          </w:p>
        </w:tc>
        <w:tc>
          <w:tcPr>
            <w:tcW w:w="660" w:type="dxa"/>
            <w:vAlign w:val="bottom"/>
            <w:shd w:val="clear" w:color="auto" w:fill="F4F4F4"/>
          </w:tcPr>
          <w:p>
            <w:pPr>
              <w:spacing w:after="0"/>
              <w:rPr>
                <w:sz w:val="16"/>
                <w:szCs w:val="16"/>
                <w:color w:val="auto"/>
              </w:rPr>
            </w:pPr>
          </w:p>
        </w:tc>
        <w:tc>
          <w:tcPr>
            <w:tcW w:w="200" w:type="dxa"/>
            <w:vAlign w:val="bottom"/>
            <w:shd w:val="clear" w:color="auto" w:fill="F4F4F4"/>
          </w:tcPr>
          <w:p>
            <w:pPr>
              <w:spacing w:after="0"/>
              <w:rPr>
                <w:sz w:val="16"/>
                <w:szCs w:val="16"/>
                <w:color w:val="auto"/>
              </w:rPr>
            </w:pPr>
          </w:p>
        </w:tc>
        <w:tc>
          <w:tcPr>
            <w:tcW w:w="860" w:type="dxa"/>
            <w:vAlign w:val="bottom"/>
            <w:shd w:val="clear" w:color="auto" w:fill="F4F4F4"/>
          </w:tcPr>
          <w:p>
            <w:pPr>
              <w:spacing w:after="0"/>
              <w:rPr>
                <w:sz w:val="16"/>
                <w:szCs w:val="16"/>
                <w:color w:val="auto"/>
              </w:rPr>
            </w:pPr>
          </w:p>
        </w:tc>
        <w:tc>
          <w:tcPr>
            <w:tcW w:w="360" w:type="dxa"/>
            <w:vAlign w:val="bottom"/>
            <w:shd w:val="clear" w:color="auto" w:fill="F4F4F4"/>
          </w:tcPr>
          <w:p>
            <w:pPr>
              <w:spacing w:after="0"/>
              <w:rPr>
                <w:sz w:val="16"/>
                <w:szCs w:val="16"/>
                <w:color w:val="auto"/>
              </w:rPr>
            </w:pPr>
          </w:p>
        </w:tc>
        <w:tc>
          <w:tcPr>
            <w:tcW w:w="920" w:type="dxa"/>
            <w:vAlign w:val="bottom"/>
            <w:shd w:val="clear" w:color="auto" w:fill="F4F4F4"/>
          </w:tcPr>
          <w:p>
            <w:pPr>
              <w:spacing w:after="0"/>
              <w:rPr>
                <w:sz w:val="16"/>
                <w:szCs w:val="16"/>
                <w:color w:val="auto"/>
              </w:rPr>
            </w:pPr>
          </w:p>
        </w:tc>
        <w:tc>
          <w:tcPr>
            <w:tcW w:w="180" w:type="dxa"/>
            <w:vAlign w:val="bottom"/>
            <w:shd w:val="clear" w:color="auto" w:fill="F4F4F4"/>
          </w:tcPr>
          <w:p>
            <w:pPr>
              <w:spacing w:after="0"/>
              <w:rPr>
                <w:sz w:val="16"/>
                <w:szCs w:val="16"/>
                <w:color w:val="auto"/>
              </w:rPr>
            </w:pPr>
          </w:p>
        </w:tc>
        <w:tc>
          <w:tcPr>
            <w:tcW w:w="110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F4F4F4"/>
          </w:tcPr>
          <w:p>
            <w:pPr>
              <w:ind w:left="140"/>
              <w:spacing w:after="0"/>
              <w:rPr>
                <w:sz w:val="20"/>
                <w:szCs w:val="20"/>
                <w:color w:val="auto"/>
              </w:rPr>
            </w:pPr>
            <w:r>
              <w:rPr>
                <w:rFonts w:ascii="Arial" w:cs="Arial" w:eastAsia="Arial" w:hAnsi="Arial"/>
                <w:sz w:val="18"/>
                <w:szCs w:val="18"/>
                <w:color w:val="auto"/>
              </w:rPr>
              <w:t>term portion</w:t>
            </w:r>
          </w:p>
        </w:tc>
        <w:tc>
          <w:tcPr>
            <w:tcW w:w="2020" w:type="dxa"/>
            <w:vAlign w:val="bottom"/>
            <w:gridSpan w:val="3"/>
            <w:shd w:val="clear" w:color="auto" w:fill="F4F4F4"/>
          </w:tcPr>
          <w:p>
            <w:pPr>
              <w:jc w:val="right"/>
              <w:ind w:right="228"/>
              <w:spacing w:after="0"/>
              <w:rPr>
                <w:sz w:val="20"/>
                <w:szCs w:val="20"/>
                <w:color w:val="auto"/>
              </w:rPr>
            </w:pPr>
            <w:r>
              <w:rPr>
                <w:rFonts w:ascii="Arial" w:cs="Arial" w:eastAsia="Arial" w:hAnsi="Arial"/>
                <w:sz w:val="18"/>
                <w:szCs w:val="18"/>
                <w:color w:val="auto"/>
              </w:rPr>
              <w:t>Other assets</w:t>
            </w:r>
          </w:p>
        </w:tc>
        <w:tc>
          <w:tcPr>
            <w:tcW w:w="98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2,851</w:t>
            </w:r>
          </w:p>
        </w:tc>
        <w:tc>
          <w:tcPr>
            <w:tcW w:w="300" w:type="dxa"/>
            <w:vAlign w:val="bottom"/>
            <w:shd w:val="clear" w:color="auto" w:fill="F4F4F4"/>
          </w:tcPr>
          <w:p>
            <w:pPr>
              <w:spacing w:after="0"/>
              <w:rPr>
                <w:sz w:val="18"/>
                <w:szCs w:val="18"/>
                <w:color w:val="auto"/>
              </w:rPr>
            </w:pPr>
          </w:p>
        </w:tc>
        <w:tc>
          <w:tcPr>
            <w:tcW w:w="380" w:type="dxa"/>
            <w:vAlign w:val="bottom"/>
            <w:shd w:val="clear" w:color="auto" w:fill="F4F4F4"/>
          </w:tcPr>
          <w:p>
            <w:pPr>
              <w:spacing w:after="0"/>
              <w:rPr>
                <w:sz w:val="18"/>
                <w:szCs w:val="18"/>
                <w:color w:val="auto"/>
              </w:rPr>
            </w:pPr>
          </w:p>
        </w:tc>
        <w:tc>
          <w:tcPr>
            <w:tcW w:w="740" w:type="dxa"/>
            <w:vAlign w:val="bottom"/>
            <w:tcBorders>
              <w:right w:val="single" w:sz="8" w:color="F4F4F4"/>
            </w:tcBorders>
            <w:gridSpan w:val="2"/>
            <w:shd w:val="clear" w:color="auto" w:fill="F4F4F4"/>
          </w:tcPr>
          <w:p>
            <w:pPr>
              <w:jc w:val="center"/>
              <w:ind w:left="41"/>
              <w:spacing w:after="0"/>
              <w:rPr>
                <w:sz w:val="20"/>
                <w:szCs w:val="20"/>
                <w:color w:val="auto"/>
              </w:rPr>
            </w:pPr>
            <w:r>
              <w:rPr>
                <w:rFonts w:ascii="Arial" w:cs="Arial" w:eastAsia="Arial" w:hAnsi="Arial"/>
                <w:sz w:val="18"/>
                <w:szCs w:val="18"/>
                <w:color w:val="auto"/>
                <w:w w:val="99"/>
              </w:rPr>
              <w:t>—</w:t>
            </w:r>
          </w:p>
        </w:tc>
        <w:tc>
          <w:tcPr>
            <w:tcW w:w="2080" w:type="dxa"/>
            <w:vAlign w:val="bottom"/>
            <w:gridSpan w:val="4"/>
            <w:shd w:val="clear" w:color="auto" w:fill="F4F4F4"/>
          </w:tcPr>
          <w:p>
            <w:pPr>
              <w:jc w:val="right"/>
              <w:ind w:right="38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F4F4F4"/>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shd w:val="clear" w:color="auto" w:fill="F4F4F4"/>
          </w:tcPr>
          <w:p>
            <w:pPr>
              <w:spacing w:after="0"/>
              <w:rPr>
                <w:sz w:val="18"/>
                <w:szCs w:val="18"/>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derivative instruments</w:t>
            </w: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designated as hedging</w:t>
            </w: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tcBorders>
              <w:bottom w:val="single" w:sz="8" w:color="71BF43"/>
            </w:tcBorders>
          </w:tcPr>
          <w:p>
            <w:pPr>
              <w:ind w:left="20"/>
              <w:spacing w:after="0"/>
              <w:rPr>
                <w:sz w:val="20"/>
                <w:szCs w:val="20"/>
                <w:color w:val="auto"/>
              </w:rPr>
            </w:pPr>
            <w:r>
              <w:rPr>
                <w:rFonts w:ascii="Arial" w:cs="Arial" w:eastAsia="Arial" w:hAnsi="Arial"/>
                <w:sz w:val="18"/>
                <w:szCs w:val="18"/>
                <w:b w:val="1"/>
                <w:bCs w:val="1"/>
                <w:color w:val="auto"/>
              </w:rPr>
              <w:t>instruments</w:t>
            </w:r>
          </w:p>
        </w:tc>
        <w:tc>
          <w:tcPr>
            <w:tcW w:w="2020" w:type="dxa"/>
            <w:vAlign w:val="bottom"/>
            <w:tcBorders>
              <w:bottom w:val="single" w:sz="8" w:color="71BF43"/>
            </w:tcBorders>
            <w:gridSpan w:val="3"/>
          </w:tcPr>
          <w:p>
            <w:pPr>
              <w:jc w:val="right"/>
              <w:ind w:right="8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71BF43"/>
            </w:tcBorders>
          </w:tcPr>
          <w:p>
            <w:pPr>
              <w:jc w:val="right"/>
              <w:ind w:right="2"/>
              <w:spacing w:after="0"/>
              <w:rPr>
                <w:sz w:val="20"/>
                <w:szCs w:val="20"/>
                <w:color w:val="auto"/>
              </w:rPr>
            </w:pPr>
            <w:r>
              <w:rPr>
                <w:rFonts w:ascii="Arial" w:cs="Arial" w:eastAsia="Arial" w:hAnsi="Arial"/>
                <w:sz w:val="18"/>
                <w:szCs w:val="18"/>
                <w:color w:val="auto"/>
              </w:rPr>
              <w:t>2,851</w:t>
            </w:r>
          </w:p>
        </w:tc>
        <w:tc>
          <w:tcPr>
            <w:tcW w:w="300" w:type="dxa"/>
            <w:vAlign w:val="bottom"/>
            <w:tcBorders>
              <w:bottom w:val="single" w:sz="8" w:color="71BF43"/>
            </w:tcBorders>
          </w:tcPr>
          <w:p>
            <w:pPr>
              <w:jc w:val="right"/>
              <w:ind w:right="9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71BF43"/>
            </w:tcBorders>
          </w:tcPr>
          <w:p>
            <w:pPr>
              <w:spacing w:after="0"/>
              <w:rPr>
                <w:sz w:val="19"/>
                <w:szCs w:val="19"/>
                <w:color w:val="auto"/>
              </w:rPr>
            </w:pPr>
          </w:p>
        </w:tc>
        <w:tc>
          <w:tcPr>
            <w:tcW w:w="740" w:type="dxa"/>
            <w:vAlign w:val="bottom"/>
            <w:tcBorders>
              <w:bottom w:val="single" w:sz="8" w:color="71BF43"/>
            </w:tcBorders>
            <w:gridSpan w:val="2"/>
          </w:tcPr>
          <w:p>
            <w:pPr>
              <w:jc w:val="center"/>
              <w:ind w:left="4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71BF43"/>
            </w:tcBorders>
          </w:tcPr>
          <w:p>
            <w:pPr>
              <w:spacing w:after="0"/>
              <w:rPr>
                <w:sz w:val="19"/>
                <w:szCs w:val="19"/>
                <w:color w:val="auto"/>
              </w:rPr>
            </w:pPr>
          </w:p>
        </w:tc>
        <w:tc>
          <w:tcPr>
            <w:tcW w:w="200" w:type="dxa"/>
            <w:vAlign w:val="bottom"/>
            <w:tcBorders>
              <w:bottom w:val="single" w:sz="8" w:color="71BF43"/>
            </w:tcBorders>
          </w:tcPr>
          <w:p>
            <w:pPr>
              <w:spacing w:after="0"/>
              <w:rPr>
                <w:sz w:val="19"/>
                <w:szCs w:val="19"/>
                <w:color w:val="auto"/>
              </w:rPr>
            </w:pPr>
          </w:p>
        </w:tc>
        <w:tc>
          <w:tcPr>
            <w:tcW w:w="1220" w:type="dxa"/>
            <w:vAlign w:val="bottom"/>
            <w:tcBorders>
              <w:bottom w:val="single" w:sz="8" w:color="71BF43"/>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71BF43"/>
            </w:tcBorders>
          </w:tcPr>
          <w:p>
            <w:pPr>
              <w:jc w:val="right"/>
              <w:ind w:right="1"/>
              <w:spacing w:after="0"/>
              <w:rPr>
                <w:sz w:val="20"/>
                <w:szCs w:val="20"/>
                <w:color w:val="auto"/>
              </w:rPr>
            </w:pPr>
            <w:r>
              <w:rPr>
                <w:rFonts w:ascii="Arial" w:cs="Arial" w:eastAsia="Arial" w:hAnsi="Arial"/>
                <w:sz w:val="18"/>
                <w:szCs w:val="18"/>
                <w:color w:val="auto"/>
              </w:rPr>
              <w:t>1,431</w:t>
            </w:r>
          </w:p>
        </w:tc>
        <w:tc>
          <w:tcPr>
            <w:tcW w:w="1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6960" w:type="dxa"/>
            <w:vAlign w:val="bottom"/>
            <w:gridSpan w:val="9"/>
          </w:tcPr>
          <w:p>
            <w:pPr>
              <w:spacing w:after="0"/>
              <w:rPr>
                <w:sz w:val="20"/>
                <w:szCs w:val="20"/>
                <w:color w:val="auto"/>
              </w:rPr>
            </w:pPr>
            <w:r>
              <w:rPr>
                <w:rFonts w:ascii="Arial" w:cs="Arial" w:eastAsia="Arial" w:hAnsi="Arial"/>
                <w:sz w:val="18"/>
                <w:szCs w:val="18"/>
                <w:color w:val="auto"/>
                <w:w w:val="99"/>
              </w:rPr>
              <w:t>The effects of derivative instruments in cash flow hedging relationships were as follows: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60" w:type="dxa"/>
            <w:vAlign w:val="bottom"/>
            <w:gridSpan w:val="4"/>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ACACAC"/>
          </w:tcPr>
          <w:p>
            <w:pPr>
              <w:spacing w:after="0"/>
              <w:rPr>
                <w:sz w:val="17"/>
                <w:szCs w:val="17"/>
                <w:color w:val="auto"/>
              </w:rPr>
            </w:pPr>
          </w:p>
        </w:tc>
        <w:tc>
          <w:tcPr>
            <w:tcW w:w="1240" w:type="dxa"/>
            <w:vAlign w:val="bottom"/>
            <w:shd w:val="clear" w:color="auto" w:fill="ACACAC"/>
          </w:tcPr>
          <w:p>
            <w:pPr>
              <w:spacing w:after="0"/>
              <w:rPr>
                <w:sz w:val="17"/>
                <w:szCs w:val="17"/>
                <w:color w:val="auto"/>
              </w:rPr>
            </w:pPr>
          </w:p>
        </w:tc>
        <w:tc>
          <w:tcPr>
            <w:tcW w:w="2060" w:type="dxa"/>
            <w:vAlign w:val="bottom"/>
            <w:gridSpan w:val="4"/>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380" w:type="dxa"/>
            <w:vAlign w:val="bottom"/>
            <w:shd w:val="clear" w:color="auto" w:fill="ACACAC"/>
          </w:tcPr>
          <w:p>
            <w:pPr>
              <w:spacing w:after="0"/>
              <w:rPr>
                <w:sz w:val="17"/>
                <w:szCs w:val="17"/>
                <w:color w:val="auto"/>
              </w:rPr>
            </w:pPr>
          </w:p>
        </w:tc>
        <w:tc>
          <w:tcPr>
            <w:tcW w:w="620" w:type="dxa"/>
            <w:vAlign w:val="bottom"/>
            <w:tcBorders>
              <w:right w:val="single" w:sz="8" w:color="ACACAC"/>
            </w:tcBorders>
            <w:shd w:val="clear" w:color="auto" w:fill="ACACAC"/>
          </w:tcPr>
          <w:p>
            <w:pPr>
              <w:spacing w:after="0"/>
              <w:rPr>
                <w:sz w:val="17"/>
                <w:szCs w:val="17"/>
                <w:color w:val="auto"/>
              </w:rPr>
            </w:pPr>
          </w:p>
        </w:tc>
        <w:tc>
          <w:tcPr>
            <w:tcW w:w="120" w:type="dxa"/>
            <w:vAlign w:val="bottom"/>
            <w:tcBorders>
              <w:right w:val="single" w:sz="8" w:color="ACACAC"/>
            </w:tcBorders>
            <w:shd w:val="clear" w:color="auto" w:fill="ACACAC"/>
          </w:tcPr>
          <w:p>
            <w:pPr>
              <w:spacing w:after="0"/>
              <w:rPr>
                <w:sz w:val="17"/>
                <w:szCs w:val="17"/>
                <w:color w:val="auto"/>
              </w:rPr>
            </w:pPr>
          </w:p>
        </w:tc>
        <w:tc>
          <w:tcPr>
            <w:tcW w:w="6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w w:val="99"/>
              </w:rPr>
              <w:t>Location</w:t>
            </w:r>
          </w:p>
        </w:tc>
        <w:tc>
          <w:tcPr>
            <w:tcW w:w="200" w:type="dxa"/>
            <w:vAlign w:val="bottom"/>
            <w:shd w:val="clear" w:color="auto" w:fill="ACACAC"/>
          </w:tcPr>
          <w:p>
            <w:pPr>
              <w:spacing w:after="0"/>
              <w:rPr>
                <w:sz w:val="17"/>
                <w:szCs w:val="17"/>
                <w:color w:val="auto"/>
              </w:rPr>
            </w:pPr>
          </w:p>
        </w:tc>
        <w:tc>
          <w:tcPr>
            <w:tcW w:w="860" w:type="dxa"/>
            <w:vAlign w:val="bottom"/>
            <w:shd w:val="clear" w:color="auto" w:fill="ACACAC"/>
          </w:tcPr>
          <w:p>
            <w:pPr>
              <w:spacing w:after="0"/>
              <w:rPr>
                <w:sz w:val="17"/>
                <w:szCs w:val="17"/>
                <w:color w:val="auto"/>
              </w:rPr>
            </w:pPr>
          </w:p>
        </w:tc>
        <w:tc>
          <w:tcPr>
            <w:tcW w:w="360" w:type="dxa"/>
            <w:vAlign w:val="bottom"/>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180" w:type="dxa"/>
            <w:vAlign w:val="bottom"/>
            <w:shd w:val="clear" w:color="auto" w:fill="ACACAC"/>
          </w:tcPr>
          <w:p>
            <w:pPr>
              <w:spacing w:after="0"/>
              <w:rPr>
                <w:sz w:val="17"/>
                <w:szCs w:val="17"/>
                <w:color w:val="auto"/>
              </w:rPr>
            </w:pPr>
          </w:p>
        </w:tc>
        <w:tc>
          <w:tcPr>
            <w:tcW w:w="110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ACACAC"/>
          </w:tcPr>
          <w:p>
            <w:pPr>
              <w:spacing w:after="0"/>
              <w:rPr>
                <w:sz w:val="11"/>
                <w:szCs w:val="11"/>
                <w:color w:val="auto"/>
              </w:rPr>
            </w:pPr>
          </w:p>
        </w:tc>
        <w:tc>
          <w:tcPr>
            <w:tcW w:w="1240" w:type="dxa"/>
            <w:vAlign w:val="bottom"/>
            <w:shd w:val="clear" w:color="auto" w:fill="ACACAC"/>
          </w:tcPr>
          <w:p>
            <w:pPr>
              <w:spacing w:after="0"/>
              <w:rPr>
                <w:sz w:val="11"/>
                <w:szCs w:val="11"/>
                <w:color w:val="auto"/>
              </w:rPr>
            </w:pPr>
          </w:p>
        </w:tc>
        <w:tc>
          <w:tcPr>
            <w:tcW w:w="500" w:type="dxa"/>
            <w:vAlign w:val="bottom"/>
            <w:shd w:val="clear" w:color="auto" w:fill="ACACAC"/>
          </w:tcPr>
          <w:p>
            <w:pPr>
              <w:spacing w:after="0"/>
              <w:rPr>
                <w:sz w:val="11"/>
                <w:szCs w:val="11"/>
                <w:color w:val="auto"/>
              </w:rPr>
            </w:pPr>
          </w:p>
        </w:tc>
        <w:tc>
          <w:tcPr>
            <w:tcW w:w="1560" w:type="dxa"/>
            <w:vAlign w:val="bottom"/>
            <w:gridSpan w:val="3"/>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in accumulated other</w:t>
            </w:r>
          </w:p>
        </w:tc>
        <w:tc>
          <w:tcPr>
            <w:tcW w:w="380" w:type="dxa"/>
            <w:vAlign w:val="bottom"/>
            <w:shd w:val="clear" w:color="auto" w:fill="ACACAC"/>
          </w:tcPr>
          <w:p>
            <w:pPr>
              <w:spacing w:after="0"/>
              <w:rPr>
                <w:sz w:val="11"/>
                <w:szCs w:val="11"/>
                <w:color w:val="auto"/>
              </w:rPr>
            </w:pPr>
          </w:p>
        </w:tc>
        <w:tc>
          <w:tcPr>
            <w:tcW w:w="620" w:type="dxa"/>
            <w:vAlign w:val="bottom"/>
            <w:tcBorders>
              <w:right w:val="single" w:sz="8" w:color="ACACAC"/>
            </w:tcBorders>
            <w:shd w:val="clear" w:color="auto" w:fill="ACACAC"/>
          </w:tcPr>
          <w:p>
            <w:pPr>
              <w:spacing w:after="0"/>
              <w:rPr>
                <w:sz w:val="11"/>
                <w:szCs w:val="11"/>
                <w:color w:val="auto"/>
              </w:rPr>
            </w:pPr>
          </w:p>
        </w:tc>
        <w:tc>
          <w:tcPr>
            <w:tcW w:w="120" w:type="dxa"/>
            <w:vAlign w:val="bottom"/>
            <w:tcBorders>
              <w:right w:val="single" w:sz="8" w:color="ACACAC"/>
            </w:tcBorders>
            <w:shd w:val="clear" w:color="auto" w:fill="ACACAC"/>
          </w:tcPr>
          <w:p>
            <w:pPr>
              <w:spacing w:after="0"/>
              <w:rPr>
                <w:sz w:val="11"/>
                <w:szCs w:val="11"/>
                <w:color w:val="auto"/>
              </w:rPr>
            </w:pPr>
          </w:p>
        </w:tc>
        <w:tc>
          <w:tcPr>
            <w:tcW w:w="660" w:type="dxa"/>
            <w:vAlign w:val="bottom"/>
            <w:vMerge w:val="continue"/>
            <w:shd w:val="clear" w:color="auto" w:fill="ACACAC"/>
          </w:tcPr>
          <w:p>
            <w:pPr>
              <w:spacing w:after="0"/>
              <w:rPr>
                <w:sz w:val="11"/>
                <w:szCs w:val="11"/>
                <w:color w:val="auto"/>
              </w:rPr>
            </w:pPr>
          </w:p>
        </w:tc>
        <w:tc>
          <w:tcPr>
            <w:tcW w:w="200" w:type="dxa"/>
            <w:vAlign w:val="bottom"/>
            <w:shd w:val="clear" w:color="auto" w:fill="ACACAC"/>
          </w:tcPr>
          <w:p>
            <w:pPr>
              <w:spacing w:after="0"/>
              <w:rPr>
                <w:sz w:val="11"/>
                <w:szCs w:val="11"/>
                <w:color w:val="auto"/>
              </w:rPr>
            </w:pPr>
          </w:p>
        </w:tc>
        <w:tc>
          <w:tcPr>
            <w:tcW w:w="3420" w:type="dxa"/>
            <w:vAlign w:val="bottom"/>
            <w:gridSpan w:val="5"/>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ACACAC"/>
          </w:tcPr>
          <w:p>
            <w:pPr>
              <w:spacing w:after="0"/>
              <w:rPr>
                <w:sz w:val="11"/>
                <w:szCs w:val="11"/>
                <w:color w:val="auto"/>
              </w:rPr>
            </w:pPr>
          </w:p>
        </w:tc>
        <w:tc>
          <w:tcPr>
            <w:tcW w:w="1240" w:type="dxa"/>
            <w:vAlign w:val="bottom"/>
            <w:shd w:val="clear" w:color="auto" w:fill="ACACAC"/>
          </w:tcPr>
          <w:p>
            <w:pPr>
              <w:spacing w:after="0"/>
              <w:rPr>
                <w:sz w:val="11"/>
                <w:szCs w:val="11"/>
                <w:color w:val="auto"/>
              </w:rPr>
            </w:pPr>
          </w:p>
        </w:tc>
        <w:tc>
          <w:tcPr>
            <w:tcW w:w="500" w:type="dxa"/>
            <w:vAlign w:val="bottom"/>
            <w:shd w:val="clear" w:color="auto" w:fill="ACACAC"/>
          </w:tcPr>
          <w:p>
            <w:pPr>
              <w:spacing w:after="0"/>
              <w:rPr>
                <w:sz w:val="11"/>
                <w:szCs w:val="11"/>
                <w:color w:val="auto"/>
              </w:rPr>
            </w:pPr>
          </w:p>
        </w:tc>
        <w:tc>
          <w:tcPr>
            <w:tcW w:w="280" w:type="dxa"/>
            <w:vAlign w:val="bottom"/>
            <w:shd w:val="clear" w:color="auto" w:fill="ACACAC"/>
          </w:tcPr>
          <w:p>
            <w:pPr>
              <w:spacing w:after="0"/>
              <w:rPr>
                <w:sz w:val="11"/>
                <w:szCs w:val="11"/>
                <w:color w:val="auto"/>
              </w:rPr>
            </w:pPr>
          </w:p>
        </w:tc>
        <w:tc>
          <w:tcPr>
            <w:tcW w:w="128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comprehensive</w:t>
            </w:r>
          </w:p>
        </w:tc>
        <w:tc>
          <w:tcPr>
            <w:tcW w:w="380" w:type="dxa"/>
            <w:vAlign w:val="bottom"/>
            <w:shd w:val="clear" w:color="auto" w:fill="ACACAC"/>
          </w:tcPr>
          <w:p>
            <w:pPr>
              <w:spacing w:after="0"/>
              <w:rPr>
                <w:sz w:val="11"/>
                <w:szCs w:val="11"/>
                <w:color w:val="auto"/>
              </w:rPr>
            </w:pPr>
          </w:p>
        </w:tc>
        <w:tc>
          <w:tcPr>
            <w:tcW w:w="1400" w:type="dxa"/>
            <w:vAlign w:val="bottom"/>
            <w:gridSpan w:val="3"/>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of gain (loss)</w:t>
            </w:r>
          </w:p>
        </w:tc>
        <w:tc>
          <w:tcPr>
            <w:tcW w:w="200" w:type="dxa"/>
            <w:vAlign w:val="bottom"/>
            <w:shd w:val="clear" w:color="auto" w:fill="ACACAC"/>
          </w:tcPr>
          <w:p>
            <w:pPr>
              <w:spacing w:after="0"/>
              <w:rPr>
                <w:sz w:val="11"/>
                <w:szCs w:val="11"/>
                <w:color w:val="auto"/>
              </w:rPr>
            </w:pPr>
          </w:p>
        </w:tc>
        <w:tc>
          <w:tcPr>
            <w:tcW w:w="3420" w:type="dxa"/>
            <w:vAlign w:val="bottom"/>
            <w:gridSpan w:val="5"/>
            <w:vMerge w:val="continue"/>
            <w:shd w:val="clear" w:color="auto" w:fill="ACACAC"/>
          </w:tcPr>
          <w:p>
            <w:pPr>
              <w:spacing w:after="0"/>
              <w:rPr>
                <w:sz w:val="11"/>
                <w:szCs w:val="11"/>
                <w:color w:val="auto"/>
              </w:rPr>
            </w:pP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ACACAC"/>
          </w:tcPr>
          <w:p>
            <w:pPr>
              <w:spacing w:after="0"/>
              <w:rPr>
                <w:sz w:val="11"/>
                <w:szCs w:val="11"/>
                <w:color w:val="auto"/>
              </w:rPr>
            </w:pPr>
          </w:p>
        </w:tc>
        <w:tc>
          <w:tcPr>
            <w:tcW w:w="1240" w:type="dxa"/>
            <w:vAlign w:val="bottom"/>
            <w:shd w:val="clear" w:color="auto" w:fill="ACACAC"/>
          </w:tcPr>
          <w:p>
            <w:pPr>
              <w:spacing w:after="0"/>
              <w:rPr>
                <w:sz w:val="11"/>
                <w:szCs w:val="11"/>
                <w:color w:val="auto"/>
              </w:rPr>
            </w:pPr>
          </w:p>
        </w:tc>
        <w:tc>
          <w:tcPr>
            <w:tcW w:w="500" w:type="dxa"/>
            <w:vAlign w:val="bottom"/>
            <w:shd w:val="clear" w:color="auto" w:fill="ACACAC"/>
          </w:tcPr>
          <w:p>
            <w:pPr>
              <w:spacing w:after="0"/>
              <w:rPr>
                <w:sz w:val="11"/>
                <w:szCs w:val="11"/>
                <w:color w:val="auto"/>
              </w:rPr>
            </w:pPr>
          </w:p>
        </w:tc>
        <w:tc>
          <w:tcPr>
            <w:tcW w:w="280" w:type="dxa"/>
            <w:vAlign w:val="bottom"/>
            <w:shd w:val="clear" w:color="auto" w:fill="ACACAC"/>
          </w:tcPr>
          <w:p>
            <w:pPr>
              <w:spacing w:after="0"/>
              <w:rPr>
                <w:sz w:val="11"/>
                <w:szCs w:val="11"/>
                <w:color w:val="auto"/>
              </w:rPr>
            </w:pPr>
          </w:p>
        </w:tc>
        <w:tc>
          <w:tcPr>
            <w:tcW w:w="1280" w:type="dxa"/>
            <w:vAlign w:val="bottom"/>
            <w:gridSpan w:val="2"/>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loss as of</w:t>
            </w:r>
          </w:p>
        </w:tc>
        <w:tc>
          <w:tcPr>
            <w:tcW w:w="380" w:type="dxa"/>
            <w:vAlign w:val="bottom"/>
            <w:shd w:val="clear" w:color="auto" w:fill="ACACAC"/>
          </w:tcPr>
          <w:p>
            <w:pPr>
              <w:spacing w:after="0"/>
              <w:rPr>
                <w:sz w:val="11"/>
                <w:szCs w:val="11"/>
                <w:color w:val="auto"/>
              </w:rPr>
            </w:pPr>
          </w:p>
        </w:tc>
        <w:tc>
          <w:tcPr>
            <w:tcW w:w="1400" w:type="dxa"/>
            <w:vAlign w:val="bottom"/>
            <w:gridSpan w:val="3"/>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reclassified from</w:t>
            </w:r>
          </w:p>
        </w:tc>
        <w:tc>
          <w:tcPr>
            <w:tcW w:w="200" w:type="dxa"/>
            <w:vAlign w:val="bottom"/>
            <w:shd w:val="clear" w:color="auto" w:fill="ACACAC"/>
          </w:tcPr>
          <w:p>
            <w:pPr>
              <w:spacing w:after="0"/>
              <w:rPr>
                <w:sz w:val="11"/>
                <w:szCs w:val="11"/>
                <w:color w:val="auto"/>
              </w:rPr>
            </w:pPr>
          </w:p>
        </w:tc>
        <w:tc>
          <w:tcPr>
            <w:tcW w:w="3420" w:type="dxa"/>
            <w:vAlign w:val="bottom"/>
            <w:gridSpan w:val="5"/>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other comprehensive loss into income</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ACACAC"/>
          </w:tcPr>
          <w:p>
            <w:pPr>
              <w:spacing w:after="0"/>
              <w:rPr>
                <w:sz w:val="9"/>
                <w:szCs w:val="9"/>
                <w:color w:val="auto"/>
              </w:rPr>
            </w:pPr>
          </w:p>
        </w:tc>
        <w:tc>
          <w:tcPr>
            <w:tcW w:w="1240" w:type="dxa"/>
            <w:vAlign w:val="bottom"/>
            <w:shd w:val="clear" w:color="auto" w:fill="ACACAC"/>
          </w:tcPr>
          <w:p>
            <w:pPr>
              <w:spacing w:after="0"/>
              <w:rPr>
                <w:sz w:val="9"/>
                <w:szCs w:val="9"/>
                <w:color w:val="auto"/>
              </w:rPr>
            </w:pPr>
          </w:p>
        </w:tc>
        <w:tc>
          <w:tcPr>
            <w:tcW w:w="500" w:type="dxa"/>
            <w:vAlign w:val="bottom"/>
            <w:shd w:val="clear" w:color="auto" w:fill="ACACAC"/>
          </w:tcPr>
          <w:p>
            <w:pPr>
              <w:spacing w:after="0"/>
              <w:rPr>
                <w:sz w:val="9"/>
                <w:szCs w:val="9"/>
                <w:color w:val="auto"/>
              </w:rPr>
            </w:pPr>
          </w:p>
        </w:tc>
        <w:tc>
          <w:tcPr>
            <w:tcW w:w="280" w:type="dxa"/>
            <w:vAlign w:val="bottom"/>
            <w:shd w:val="clear" w:color="auto" w:fill="ACACAC"/>
          </w:tcPr>
          <w:p>
            <w:pPr>
              <w:spacing w:after="0"/>
              <w:rPr>
                <w:sz w:val="9"/>
                <w:szCs w:val="9"/>
                <w:color w:val="auto"/>
              </w:rPr>
            </w:pPr>
          </w:p>
        </w:tc>
        <w:tc>
          <w:tcPr>
            <w:tcW w:w="128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380" w:type="dxa"/>
            <w:vAlign w:val="bottom"/>
            <w:shd w:val="clear" w:color="auto" w:fill="ACACAC"/>
          </w:tcPr>
          <w:p>
            <w:pPr>
              <w:spacing w:after="0"/>
              <w:rPr>
                <w:sz w:val="9"/>
                <w:szCs w:val="9"/>
                <w:color w:val="auto"/>
              </w:rPr>
            </w:pPr>
          </w:p>
        </w:tc>
        <w:tc>
          <w:tcPr>
            <w:tcW w:w="1400" w:type="dxa"/>
            <w:vAlign w:val="bottom"/>
            <w:gridSpan w:val="3"/>
            <w:shd w:val="clear" w:color="auto" w:fill="ACACAC"/>
          </w:tcPr>
          <w:p>
            <w:pPr>
              <w:jc w:val="right"/>
              <w:spacing w:after="0" w:line="108" w:lineRule="exact"/>
              <w:rPr>
                <w:sz w:val="20"/>
                <w:szCs w:val="20"/>
                <w:color w:val="auto"/>
              </w:rPr>
            </w:pPr>
            <w:r>
              <w:rPr>
                <w:rFonts w:ascii="Arial" w:cs="Arial" w:eastAsia="Arial" w:hAnsi="Arial"/>
                <w:sz w:val="12"/>
                <w:szCs w:val="12"/>
                <w:b w:val="1"/>
                <w:bCs w:val="1"/>
                <w:color w:val="FFFFFF"/>
              </w:rPr>
              <w:t>accumulated other</w:t>
            </w:r>
          </w:p>
        </w:tc>
        <w:tc>
          <w:tcPr>
            <w:tcW w:w="200" w:type="dxa"/>
            <w:vAlign w:val="bottom"/>
            <w:shd w:val="clear" w:color="auto" w:fill="ACACAC"/>
          </w:tcPr>
          <w:p>
            <w:pPr>
              <w:spacing w:after="0"/>
              <w:rPr>
                <w:sz w:val="9"/>
                <w:szCs w:val="9"/>
                <w:color w:val="auto"/>
              </w:rPr>
            </w:pPr>
          </w:p>
        </w:tc>
        <w:tc>
          <w:tcPr>
            <w:tcW w:w="860" w:type="dxa"/>
            <w:vAlign w:val="bottom"/>
            <w:shd w:val="clear" w:color="auto" w:fill="ACACAC"/>
          </w:tcPr>
          <w:p>
            <w:pPr>
              <w:spacing w:after="0"/>
              <w:rPr>
                <w:sz w:val="9"/>
                <w:szCs w:val="9"/>
                <w:color w:val="auto"/>
              </w:rPr>
            </w:pPr>
          </w:p>
        </w:tc>
        <w:tc>
          <w:tcPr>
            <w:tcW w:w="360" w:type="dxa"/>
            <w:vAlign w:val="bottom"/>
            <w:shd w:val="clear" w:color="auto" w:fill="ACACAC"/>
          </w:tcPr>
          <w:p>
            <w:pPr>
              <w:spacing w:after="0"/>
              <w:rPr>
                <w:sz w:val="9"/>
                <w:szCs w:val="9"/>
                <w:color w:val="auto"/>
              </w:rPr>
            </w:pPr>
          </w:p>
        </w:tc>
        <w:tc>
          <w:tcPr>
            <w:tcW w:w="220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240" w:type="dxa"/>
            <w:vAlign w:val="bottom"/>
            <w:shd w:val="clear" w:color="auto" w:fill="ACACAC"/>
          </w:tcPr>
          <w:p>
            <w:pPr>
              <w:spacing w:after="0"/>
              <w:rPr>
                <w:sz w:val="11"/>
                <w:szCs w:val="11"/>
                <w:color w:val="auto"/>
              </w:rPr>
            </w:pPr>
          </w:p>
        </w:tc>
        <w:tc>
          <w:tcPr>
            <w:tcW w:w="500" w:type="dxa"/>
            <w:vAlign w:val="bottom"/>
            <w:shd w:val="clear" w:color="auto" w:fill="ACACAC"/>
          </w:tcPr>
          <w:p>
            <w:pPr>
              <w:spacing w:after="0"/>
              <w:rPr>
                <w:sz w:val="11"/>
                <w:szCs w:val="11"/>
                <w:color w:val="auto"/>
              </w:rPr>
            </w:pPr>
          </w:p>
        </w:tc>
        <w:tc>
          <w:tcPr>
            <w:tcW w:w="280" w:type="dxa"/>
            <w:vAlign w:val="bottom"/>
            <w:shd w:val="clear" w:color="auto" w:fill="ACACAC"/>
          </w:tcPr>
          <w:p>
            <w:pPr>
              <w:spacing w:after="0"/>
              <w:rPr>
                <w:sz w:val="11"/>
                <w:szCs w:val="11"/>
                <w:color w:val="auto"/>
              </w:rPr>
            </w:pPr>
          </w:p>
        </w:tc>
        <w:tc>
          <w:tcPr>
            <w:tcW w:w="1280" w:type="dxa"/>
            <w:vAlign w:val="bottom"/>
            <w:gridSpan w:val="2"/>
            <w:vMerge w:val="continue"/>
            <w:shd w:val="clear" w:color="auto" w:fill="ACACAC"/>
          </w:tcPr>
          <w:p>
            <w:pPr>
              <w:spacing w:after="0"/>
              <w:rPr>
                <w:sz w:val="11"/>
                <w:szCs w:val="11"/>
                <w:color w:val="auto"/>
              </w:rPr>
            </w:pPr>
          </w:p>
        </w:tc>
        <w:tc>
          <w:tcPr>
            <w:tcW w:w="380" w:type="dxa"/>
            <w:vAlign w:val="bottom"/>
            <w:shd w:val="clear" w:color="auto" w:fill="ACACAC"/>
          </w:tcPr>
          <w:p>
            <w:pPr>
              <w:spacing w:after="0"/>
              <w:rPr>
                <w:sz w:val="11"/>
                <w:szCs w:val="11"/>
                <w:color w:val="auto"/>
              </w:rPr>
            </w:pPr>
          </w:p>
        </w:tc>
        <w:tc>
          <w:tcPr>
            <w:tcW w:w="1400" w:type="dxa"/>
            <w:vAlign w:val="bottom"/>
            <w:gridSpan w:val="3"/>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1"/>
                <w:szCs w:val="11"/>
                <w:color w:val="auto"/>
              </w:rPr>
            </w:pPr>
          </w:p>
        </w:tc>
        <w:tc>
          <w:tcPr>
            <w:tcW w:w="860" w:type="dxa"/>
            <w:vAlign w:val="bottom"/>
            <w:shd w:val="clear" w:color="auto" w:fill="ACACAC"/>
          </w:tcPr>
          <w:p>
            <w:pPr>
              <w:spacing w:after="0"/>
              <w:rPr>
                <w:sz w:val="11"/>
                <w:szCs w:val="11"/>
                <w:color w:val="auto"/>
              </w:rPr>
            </w:pPr>
          </w:p>
        </w:tc>
        <w:tc>
          <w:tcPr>
            <w:tcW w:w="360" w:type="dxa"/>
            <w:vAlign w:val="bottom"/>
            <w:shd w:val="clear" w:color="auto" w:fill="ACACAC"/>
          </w:tcPr>
          <w:p>
            <w:pPr>
              <w:spacing w:after="0"/>
              <w:rPr>
                <w:sz w:val="11"/>
                <w:szCs w:val="11"/>
                <w:color w:val="auto"/>
              </w:rPr>
            </w:pPr>
          </w:p>
        </w:tc>
        <w:tc>
          <w:tcPr>
            <w:tcW w:w="2200" w:type="dxa"/>
            <w:vAlign w:val="bottom"/>
            <w:gridSpan w:val="3"/>
            <w:vMerge w:val="continue"/>
            <w:shd w:val="clear" w:color="auto" w:fill="ACACAC"/>
          </w:tcPr>
          <w:p>
            <w:pPr>
              <w:spacing w:after="0"/>
              <w:rPr>
                <w:sz w:val="11"/>
                <w:szCs w:val="11"/>
                <w:color w:val="auto"/>
              </w:rPr>
            </w:pP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40" w:type="dxa"/>
            <w:vAlign w:val="bottom"/>
            <w:vMerge w:val="continue"/>
            <w:shd w:val="clear" w:color="auto" w:fill="ACACAC"/>
          </w:tcPr>
          <w:p>
            <w:pPr>
              <w:spacing w:after="0"/>
              <w:rPr>
                <w:sz w:val="16"/>
                <w:szCs w:val="16"/>
                <w:color w:val="auto"/>
              </w:rPr>
            </w:pPr>
          </w:p>
        </w:tc>
        <w:tc>
          <w:tcPr>
            <w:tcW w:w="1240" w:type="dxa"/>
            <w:vAlign w:val="bottom"/>
            <w:shd w:val="clear" w:color="auto" w:fill="ACACAC"/>
          </w:tcPr>
          <w:p>
            <w:pPr>
              <w:spacing w:after="0"/>
              <w:rPr>
                <w:sz w:val="16"/>
                <w:szCs w:val="16"/>
                <w:color w:val="auto"/>
              </w:rPr>
            </w:pPr>
          </w:p>
        </w:tc>
        <w:tc>
          <w:tcPr>
            <w:tcW w:w="50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2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80" w:type="dxa"/>
            <w:vAlign w:val="bottom"/>
            <w:shd w:val="clear" w:color="auto" w:fill="ACACAC"/>
          </w:tcPr>
          <w:p>
            <w:pPr>
              <w:spacing w:after="0"/>
              <w:rPr>
                <w:sz w:val="16"/>
                <w:szCs w:val="16"/>
                <w:color w:val="auto"/>
              </w:rPr>
            </w:pPr>
          </w:p>
        </w:tc>
        <w:tc>
          <w:tcPr>
            <w:tcW w:w="14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loss into income</w:t>
            </w:r>
          </w:p>
        </w:tc>
        <w:tc>
          <w:tcPr>
            <w:tcW w:w="20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18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 2021</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1740" w:type="dxa"/>
            <w:vAlign w:val="bottom"/>
            <w:gridSpan w:val="2"/>
            <w:shd w:val="clear" w:color="auto" w:fill="F4F4F4"/>
          </w:tcPr>
          <w:p>
            <w:pPr>
              <w:jc w:val="right"/>
              <w:ind w:right="308"/>
              <w:spacing w:after="0"/>
              <w:rPr>
                <w:sz w:val="20"/>
                <w:szCs w:val="20"/>
                <w:color w:val="auto"/>
              </w:rPr>
            </w:pPr>
            <w:r>
              <w:rPr>
                <w:rFonts w:ascii="Arial" w:cs="Arial" w:eastAsia="Arial" w:hAnsi="Arial"/>
                <w:sz w:val="18"/>
                <w:szCs w:val="18"/>
                <w:color w:val="auto"/>
              </w:rPr>
              <w:t>$</w:t>
            </w:r>
          </w:p>
        </w:tc>
        <w:tc>
          <w:tcPr>
            <w:tcW w:w="280" w:type="dxa"/>
            <w:vAlign w:val="bottom"/>
            <w:shd w:val="clear" w:color="auto" w:fill="F4F4F4"/>
          </w:tcPr>
          <w:p>
            <w:pPr>
              <w:spacing w:after="0"/>
              <w:rPr>
                <w:sz w:val="19"/>
                <w:szCs w:val="19"/>
                <w:color w:val="auto"/>
              </w:rPr>
            </w:pPr>
          </w:p>
        </w:tc>
        <w:tc>
          <w:tcPr>
            <w:tcW w:w="1280" w:type="dxa"/>
            <w:vAlign w:val="bottom"/>
            <w:gridSpan w:val="2"/>
            <w:shd w:val="clear" w:color="auto" w:fill="F4F4F4"/>
          </w:tcPr>
          <w:p>
            <w:pPr>
              <w:jc w:val="right"/>
              <w:ind w:right="10"/>
              <w:spacing w:after="0"/>
              <w:rPr>
                <w:sz w:val="20"/>
                <w:szCs w:val="20"/>
                <w:color w:val="auto"/>
              </w:rPr>
            </w:pPr>
            <w:r>
              <w:rPr>
                <w:rFonts w:ascii="Arial" w:cs="Arial" w:eastAsia="Arial" w:hAnsi="Arial"/>
                <w:sz w:val="18"/>
                <w:szCs w:val="18"/>
                <w:color w:val="auto"/>
              </w:rPr>
              <w:t>1,420</w:t>
            </w:r>
          </w:p>
        </w:tc>
        <w:tc>
          <w:tcPr>
            <w:tcW w:w="380" w:type="dxa"/>
            <w:vAlign w:val="bottom"/>
            <w:shd w:val="clear" w:color="auto" w:fill="F4F4F4"/>
          </w:tcPr>
          <w:p>
            <w:pPr>
              <w:spacing w:after="0"/>
              <w:rPr>
                <w:sz w:val="19"/>
                <w:szCs w:val="19"/>
                <w:color w:val="auto"/>
              </w:rPr>
            </w:pPr>
          </w:p>
        </w:tc>
        <w:tc>
          <w:tcPr>
            <w:tcW w:w="1600" w:type="dxa"/>
            <w:vAlign w:val="bottom"/>
            <w:gridSpan w:val="4"/>
            <w:shd w:val="clear" w:color="auto" w:fill="F4F4F4"/>
          </w:tcPr>
          <w:p>
            <w:pPr>
              <w:ind w:left="60"/>
              <w:spacing w:after="0"/>
              <w:rPr>
                <w:sz w:val="20"/>
                <w:szCs w:val="20"/>
                <w:color w:val="auto"/>
              </w:rPr>
            </w:pPr>
            <w:r>
              <w:rPr>
                <w:rFonts w:ascii="Arial" w:cs="Arial" w:eastAsia="Arial" w:hAnsi="Arial"/>
                <w:sz w:val="18"/>
                <w:szCs w:val="18"/>
                <w:color w:val="auto"/>
              </w:rPr>
              <w:t>Interest expense $</w:t>
            </w:r>
          </w:p>
        </w:tc>
        <w:tc>
          <w:tcPr>
            <w:tcW w:w="860" w:type="dxa"/>
            <w:vAlign w:val="bottom"/>
            <w:shd w:val="clear" w:color="auto" w:fill="F4F4F4"/>
          </w:tcPr>
          <w:p>
            <w:pPr>
              <w:spacing w:after="0"/>
              <w:rPr>
                <w:sz w:val="19"/>
                <w:szCs w:val="19"/>
                <w:color w:val="auto"/>
              </w:rPr>
            </w:pPr>
          </w:p>
        </w:tc>
        <w:tc>
          <w:tcPr>
            <w:tcW w:w="36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180" w:type="dxa"/>
            <w:vAlign w:val="bottom"/>
            <w:shd w:val="clear" w:color="auto" w:fill="F4F4F4"/>
          </w:tcPr>
          <w:p>
            <w:pPr>
              <w:spacing w:after="0"/>
              <w:rPr>
                <w:sz w:val="19"/>
                <w:szCs w:val="19"/>
                <w:color w:val="auto"/>
              </w:rPr>
            </w:pP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0" w:type="dxa"/>
            <w:vAlign w:val="bottom"/>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2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22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tcBorders>
              <w:bottom w:val="single" w:sz="8" w:color="F4F4F4"/>
            </w:tcBorders>
          </w:tcPr>
          <w:p>
            <w:pPr>
              <w:spacing w:after="0"/>
              <w:rPr>
                <w:sz w:val="15"/>
                <w:szCs w:val="15"/>
                <w:color w:val="auto"/>
              </w:rPr>
            </w:pPr>
          </w:p>
        </w:tc>
        <w:tc>
          <w:tcPr>
            <w:tcW w:w="1240" w:type="dxa"/>
            <w:vAlign w:val="bottom"/>
            <w:tcBorders>
              <w:bottom w:val="single" w:sz="8" w:color="F4F4F4"/>
            </w:tcBorders>
          </w:tcPr>
          <w:p>
            <w:pPr>
              <w:spacing w:after="0"/>
              <w:rPr>
                <w:sz w:val="15"/>
                <w:szCs w:val="15"/>
                <w:color w:val="auto"/>
              </w:rPr>
            </w:pPr>
          </w:p>
        </w:tc>
        <w:tc>
          <w:tcPr>
            <w:tcW w:w="500" w:type="dxa"/>
            <w:vAlign w:val="bottom"/>
            <w:tcBorders>
              <w:bottom w:val="single" w:sz="8" w:color="ACACAC"/>
            </w:tcBorders>
            <w:shd w:val="clear" w:color="auto" w:fill="ACACAC"/>
          </w:tcPr>
          <w:p>
            <w:pPr>
              <w:spacing w:after="0"/>
              <w:rPr>
                <w:sz w:val="15"/>
                <w:szCs w:val="15"/>
                <w:color w:val="auto"/>
              </w:rPr>
            </w:pPr>
          </w:p>
        </w:tc>
        <w:tc>
          <w:tcPr>
            <w:tcW w:w="280" w:type="dxa"/>
            <w:vAlign w:val="bottom"/>
            <w:tcBorders>
              <w:bottom w:val="single" w:sz="8" w:color="ACACAC"/>
            </w:tcBorders>
            <w:shd w:val="clear" w:color="auto" w:fill="ACACAC"/>
          </w:tcPr>
          <w:p>
            <w:pPr>
              <w:spacing w:after="0"/>
              <w:rPr>
                <w:sz w:val="15"/>
                <w:szCs w:val="15"/>
                <w:color w:val="auto"/>
              </w:rPr>
            </w:pPr>
          </w:p>
        </w:tc>
        <w:tc>
          <w:tcPr>
            <w:tcW w:w="128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80" w:type="dxa"/>
            <w:vAlign w:val="bottom"/>
            <w:tcBorders>
              <w:bottom w:val="single" w:sz="8" w:color="F4F4F4"/>
            </w:tcBorders>
          </w:tcPr>
          <w:p>
            <w:pPr>
              <w:spacing w:after="0"/>
              <w:rPr>
                <w:sz w:val="15"/>
                <w:szCs w:val="15"/>
                <w:color w:val="auto"/>
              </w:rPr>
            </w:pPr>
          </w:p>
        </w:tc>
        <w:tc>
          <w:tcPr>
            <w:tcW w:w="620" w:type="dxa"/>
            <w:vAlign w:val="bottom"/>
            <w:tcBorders>
              <w:bottom w:val="single" w:sz="8" w:color="F4F4F4"/>
            </w:tcBorders>
          </w:tcPr>
          <w:p>
            <w:pPr>
              <w:spacing w:after="0"/>
              <w:rPr>
                <w:sz w:val="15"/>
                <w:szCs w:val="15"/>
                <w:color w:val="auto"/>
              </w:rPr>
            </w:pPr>
          </w:p>
        </w:tc>
        <w:tc>
          <w:tcPr>
            <w:tcW w:w="120" w:type="dxa"/>
            <w:vAlign w:val="bottom"/>
            <w:tcBorders>
              <w:bottom w:val="single" w:sz="8" w:color="F4F4F4"/>
            </w:tcBorders>
          </w:tcPr>
          <w:p>
            <w:pPr>
              <w:spacing w:after="0"/>
              <w:rPr>
                <w:sz w:val="15"/>
                <w:szCs w:val="15"/>
                <w:color w:val="auto"/>
              </w:rPr>
            </w:pPr>
          </w:p>
        </w:tc>
        <w:tc>
          <w:tcPr>
            <w:tcW w:w="660" w:type="dxa"/>
            <w:vAlign w:val="bottom"/>
            <w:tcBorders>
              <w:bottom w:val="single" w:sz="8" w:color="F4F4F4"/>
            </w:tcBorders>
          </w:tcPr>
          <w:p>
            <w:pPr>
              <w:spacing w:after="0"/>
              <w:rPr>
                <w:sz w:val="15"/>
                <w:szCs w:val="15"/>
                <w:color w:val="auto"/>
              </w:rPr>
            </w:pPr>
          </w:p>
        </w:tc>
        <w:tc>
          <w:tcPr>
            <w:tcW w:w="200" w:type="dxa"/>
            <w:vAlign w:val="bottom"/>
            <w:tcBorders>
              <w:bottom w:val="single" w:sz="8" w:color="ACACAC"/>
            </w:tcBorders>
            <w:shd w:val="clear" w:color="auto" w:fill="ACACAC"/>
          </w:tcPr>
          <w:p>
            <w:pPr>
              <w:spacing w:after="0"/>
              <w:rPr>
                <w:sz w:val="15"/>
                <w:szCs w:val="15"/>
                <w:color w:val="auto"/>
              </w:rPr>
            </w:pPr>
          </w:p>
        </w:tc>
        <w:tc>
          <w:tcPr>
            <w:tcW w:w="860" w:type="dxa"/>
            <w:vAlign w:val="bottom"/>
            <w:tcBorders>
              <w:bottom w:val="single" w:sz="8" w:color="ACACAC"/>
            </w:tcBorders>
            <w:shd w:val="clear" w:color="auto" w:fill="ACACAC"/>
          </w:tcPr>
          <w:p>
            <w:pPr>
              <w:spacing w:after="0"/>
              <w:rPr>
                <w:sz w:val="15"/>
                <w:szCs w:val="15"/>
                <w:color w:val="auto"/>
              </w:rPr>
            </w:pPr>
          </w:p>
        </w:tc>
        <w:tc>
          <w:tcPr>
            <w:tcW w:w="360" w:type="dxa"/>
            <w:vAlign w:val="bottom"/>
            <w:tcBorders>
              <w:bottom w:val="single" w:sz="8" w:color="ACACAC"/>
            </w:tcBorders>
            <w:shd w:val="clear" w:color="auto" w:fill="ACACAC"/>
          </w:tcPr>
          <w:p>
            <w:pPr>
              <w:spacing w:after="0"/>
              <w:rPr>
                <w:sz w:val="15"/>
                <w:szCs w:val="15"/>
                <w:color w:val="auto"/>
              </w:rPr>
            </w:pPr>
          </w:p>
        </w:tc>
        <w:tc>
          <w:tcPr>
            <w:tcW w:w="920" w:type="dxa"/>
            <w:vAlign w:val="bottom"/>
            <w:tcBorders>
              <w:bottom w:val="single" w:sz="8" w:color="ACACAC"/>
            </w:tcBorders>
            <w:shd w:val="clear" w:color="auto" w:fill="ACACAC"/>
          </w:tcPr>
          <w:p>
            <w:pPr>
              <w:spacing w:after="0"/>
              <w:rPr>
                <w:sz w:val="15"/>
                <w:szCs w:val="15"/>
                <w:color w:val="auto"/>
              </w:rPr>
            </w:pPr>
          </w:p>
        </w:tc>
        <w:tc>
          <w:tcPr>
            <w:tcW w:w="180" w:type="dxa"/>
            <w:vAlign w:val="bottom"/>
            <w:tcBorders>
              <w:bottom w:val="single" w:sz="8" w:color="ACACAC"/>
            </w:tcBorders>
            <w:shd w:val="clear" w:color="auto" w:fill="ACACAC"/>
          </w:tcPr>
          <w:p>
            <w:pPr>
              <w:spacing w:after="0"/>
              <w:rPr>
                <w:sz w:val="15"/>
                <w:szCs w:val="15"/>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 2020</w:t>
            </w:r>
          </w:p>
        </w:tc>
        <w:tc>
          <w:tcPr>
            <w:tcW w:w="20" w:type="dxa"/>
            <w:vAlign w:val="bottom"/>
            <w:tcBorders>
              <w:bottom w:val="single" w:sz="8" w:color="ACACAC"/>
            </w:tcBorders>
            <w:shd w:val="clear" w:color="auto" w:fill="ACACAC"/>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Interest rate swaps</w:t>
            </w:r>
          </w:p>
        </w:tc>
        <w:tc>
          <w:tcPr>
            <w:tcW w:w="1740" w:type="dxa"/>
            <w:vAlign w:val="bottom"/>
            <w:tcBorders>
              <w:bottom w:val="single" w:sz="8" w:color="71BF43"/>
            </w:tcBorders>
            <w:gridSpan w:val="2"/>
            <w:shd w:val="clear" w:color="auto" w:fill="F4F4F4"/>
          </w:tcPr>
          <w:p>
            <w:pPr>
              <w:jc w:val="right"/>
              <w:ind w:right="308"/>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71BF43"/>
            </w:tcBorders>
            <w:shd w:val="clear" w:color="auto" w:fill="F4F4F4"/>
          </w:tcPr>
          <w:p>
            <w:pPr>
              <w:spacing w:after="0"/>
              <w:rPr>
                <w:sz w:val="19"/>
                <w:szCs w:val="19"/>
                <w:color w:val="auto"/>
              </w:rPr>
            </w:pPr>
          </w:p>
        </w:tc>
        <w:tc>
          <w:tcPr>
            <w:tcW w:w="1280" w:type="dxa"/>
            <w:vAlign w:val="bottom"/>
            <w:tcBorders>
              <w:bottom w:val="single" w:sz="8" w:color="71BF43"/>
            </w:tcBorders>
            <w:gridSpan w:val="2"/>
            <w:shd w:val="clear" w:color="auto" w:fill="F4F4F4"/>
          </w:tcPr>
          <w:p>
            <w:pPr>
              <w:jc w:val="right"/>
              <w:spacing w:after="0"/>
              <w:rPr>
                <w:sz w:val="20"/>
                <w:szCs w:val="20"/>
                <w:color w:val="auto"/>
              </w:rPr>
            </w:pPr>
            <w:r>
              <w:rPr>
                <w:rFonts w:ascii="Arial" w:cs="Arial" w:eastAsia="Arial" w:hAnsi="Arial"/>
                <w:sz w:val="18"/>
                <w:szCs w:val="18"/>
                <w:color w:val="auto"/>
              </w:rPr>
              <w:t>(5,979)</w:t>
            </w:r>
          </w:p>
        </w:tc>
        <w:tc>
          <w:tcPr>
            <w:tcW w:w="380" w:type="dxa"/>
            <w:vAlign w:val="bottom"/>
            <w:tcBorders>
              <w:bottom w:val="single" w:sz="8" w:color="71BF43"/>
            </w:tcBorders>
            <w:shd w:val="clear" w:color="auto" w:fill="F4F4F4"/>
          </w:tcPr>
          <w:p>
            <w:pPr>
              <w:spacing w:after="0"/>
              <w:rPr>
                <w:sz w:val="19"/>
                <w:szCs w:val="19"/>
                <w:color w:val="auto"/>
              </w:rPr>
            </w:pPr>
          </w:p>
        </w:tc>
        <w:tc>
          <w:tcPr>
            <w:tcW w:w="1600" w:type="dxa"/>
            <w:vAlign w:val="bottom"/>
            <w:tcBorders>
              <w:bottom w:val="single" w:sz="8" w:color="71BF43"/>
            </w:tcBorders>
            <w:gridSpan w:val="4"/>
            <w:shd w:val="clear" w:color="auto" w:fill="F4F4F4"/>
          </w:tcPr>
          <w:p>
            <w:pPr>
              <w:ind w:left="60"/>
              <w:spacing w:after="0"/>
              <w:rPr>
                <w:sz w:val="20"/>
                <w:szCs w:val="20"/>
                <w:color w:val="auto"/>
              </w:rPr>
            </w:pPr>
            <w:r>
              <w:rPr>
                <w:rFonts w:ascii="Arial" w:cs="Arial" w:eastAsia="Arial" w:hAnsi="Arial"/>
                <w:sz w:val="18"/>
                <w:szCs w:val="18"/>
                <w:color w:val="auto"/>
              </w:rPr>
              <w:t>Interest expense $</w:t>
            </w:r>
          </w:p>
        </w:tc>
        <w:tc>
          <w:tcPr>
            <w:tcW w:w="860" w:type="dxa"/>
            <w:vAlign w:val="bottom"/>
            <w:tcBorders>
              <w:bottom w:val="single" w:sz="8" w:color="71BF43"/>
            </w:tcBorders>
            <w:shd w:val="clear" w:color="auto" w:fill="F4F4F4"/>
          </w:tcPr>
          <w:p>
            <w:pPr>
              <w:spacing w:after="0"/>
              <w:rPr>
                <w:sz w:val="19"/>
                <w:szCs w:val="19"/>
                <w:color w:val="auto"/>
              </w:rPr>
            </w:pPr>
          </w:p>
        </w:tc>
        <w:tc>
          <w:tcPr>
            <w:tcW w:w="360" w:type="dxa"/>
            <w:vAlign w:val="bottom"/>
            <w:tcBorders>
              <w:bottom w:val="single" w:sz="8" w:color="71BF43"/>
            </w:tcBorders>
            <w:shd w:val="clear" w:color="auto" w:fill="F4F4F4"/>
          </w:tcPr>
          <w:p>
            <w:pPr>
              <w:spacing w:after="0"/>
              <w:rPr>
                <w:sz w:val="19"/>
                <w:szCs w:val="19"/>
                <w:color w:val="auto"/>
              </w:rPr>
            </w:pPr>
          </w:p>
        </w:tc>
        <w:tc>
          <w:tcPr>
            <w:tcW w:w="920" w:type="dxa"/>
            <w:vAlign w:val="bottom"/>
            <w:tcBorders>
              <w:bottom w:val="single" w:sz="8" w:color="71BF43"/>
            </w:tcBorders>
            <w:shd w:val="clear" w:color="auto" w:fill="F4F4F4"/>
          </w:tcPr>
          <w:p>
            <w:pPr>
              <w:spacing w:after="0"/>
              <w:rPr>
                <w:sz w:val="19"/>
                <w:szCs w:val="19"/>
                <w:color w:val="auto"/>
              </w:rPr>
            </w:pPr>
          </w:p>
        </w:tc>
        <w:tc>
          <w:tcPr>
            <w:tcW w:w="180" w:type="dxa"/>
            <w:vAlign w:val="bottom"/>
            <w:tcBorders>
              <w:bottom w:val="single" w:sz="8" w:color="71BF43"/>
            </w:tcBorders>
            <w:shd w:val="clear" w:color="auto" w:fill="F4F4F4"/>
          </w:tcPr>
          <w:p>
            <w:pPr>
              <w:spacing w:after="0"/>
              <w:rPr>
                <w:sz w:val="19"/>
                <w:szCs w:val="19"/>
                <w:color w:val="auto"/>
              </w:rPr>
            </w:pP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-3119755</wp:posOffset>
            </wp:positionV>
            <wp:extent cx="1637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3703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-3119755</wp:posOffset>
            </wp:positionV>
            <wp:extent cx="162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2877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-805180</wp:posOffset>
            </wp:positionV>
            <wp:extent cx="13030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4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loss as of March 31, 2021 that is expected to be reclassified into earnings within the next twelve months is $2.2 million. There were no ineffective portions of our interest rate swap derivatives during the three months ended</w:t>
      </w:r>
    </w:p>
    <w:p>
      <w:pPr>
        <w:spacing w:after="0" w:line="31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14</w:t>
      </w:r>
      <w:r>
        <w:rPr>
          <w:sz w:val="20"/>
          <w:szCs w:val="20"/>
          <w:color w:val="auto"/>
        </w:rPr>
        <w:tab/>
      </w:r>
      <w:r>
        <w:rPr>
          <w:sz w:val="1"/>
          <w:szCs w:val="1"/>
          <w:color w:val="auto"/>
        </w:rPr>
        <w:drawing>
          <wp:inline distT="0" distB="0" distL="0" distR="0">
            <wp:extent cx="651510" cy="1714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 See Note 12 for a summary of the changes in accumulated other comprehensive income (loss) by component.</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As of March 31, 2021, we had operating leases for office space that had not yet commenced with future rent payments of $3.5 million. These operating leases are expected to commence during 2021 with lease terms of 3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114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5"/>
        </w:trPr>
        <w:tc>
          <w:tcPr>
            <w:tcW w:w="7580" w:type="dxa"/>
            <w:vAlign w:val="bottom"/>
            <w:shd w:val="clear" w:color="auto" w:fill="ACACAC"/>
          </w:tcPr>
          <w:p>
            <w:pPr>
              <w:spacing w:after="0"/>
              <w:rPr>
                <w:sz w:val="15"/>
                <w:szCs w:val="15"/>
                <w:color w:val="auto"/>
              </w:rPr>
            </w:pPr>
          </w:p>
        </w:tc>
        <w:tc>
          <w:tcPr>
            <w:tcW w:w="740" w:type="dxa"/>
            <w:vAlign w:val="bottom"/>
            <w:shd w:val="clear" w:color="auto" w:fill="ACACAC"/>
          </w:tcPr>
          <w:p>
            <w:pPr>
              <w:spacing w:after="0"/>
              <w:rPr>
                <w:sz w:val="15"/>
                <w:szCs w:val="15"/>
                <w:color w:val="auto"/>
              </w:rPr>
            </w:pPr>
          </w:p>
        </w:tc>
        <w:tc>
          <w:tcPr>
            <w:tcW w:w="1140" w:type="dxa"/>
            <w:vAlign w:val="bottom"/>
            <w:shd w:val="clear" w:color="auto" w:fill="ACACAC"/>
          </w:tcPr>
          <w:p>
            <w:pPr>
              <w:spacing w:after="0"/>
              <w:rPr>
                <w:sz w:val="15"/>
                <w:szCs w:val="15"/>
                <w:color w:val="auto"/>
              </w:rPr>
            </w:pPr>
          </w:p>
        </w:tc>
        <w:tc>
          <w:tcPr>
            <w:tcW w:w="240" w:type="dxa"/>
            <w:vAlign w:val="bottom"/>
            <w:shd w:val="clear" w:color="auto" w:fill="ACACAC"/>
          </w:tcPr>
          <w:p>
            <w:pPr>
              <w:spacing w:after="0"/>
              <w:rPr>
                <w:sz w:val="15"/>
                <w:szCs w:val="15"/>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75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40" w:type="dxa"/>
            <w:vAlign w:val="bottom"/>
            <w:shd w:val="clear" w:color="auto" w:fill="ACACAC"/>
          </w:tcPr>
          <w:p>
            <w:pPr>
              <w:spacing w:after="0"/>
              <w:rPr>
                <w:sz w:val="18"/>
                <w:szCs w:val="18"/>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ACACAC"/>
          </w:tcPr>
          <w:p>
            <w:pPr>
              <w:spacing w:after="0"/>
              <w:rPr>
                <w:sz w:val="18"/>
                <w:szCs w:val="18"/>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230"/>
        </w:trPr>
        <w:tc>
          <w:tcPr>
            <w:tcW w:w="7580" w:type="dxa"/>
            <w:vAlign w:val="bottom"/>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6,311</w:t>
            </w:r>
          </w:p>
        </w:tc>
        <w:tc>
          <w:tcPr>
            <w:tcW w:w="20" w:type="dxa"/>
            <w:vAlign w:val="bottom"/>
          </w:tcPr>
          <w:p>
            <w:pPr>
              <w:spacing w:after="0"/>
              <w:rPr>
                <w:sz w:val="19"/>
                <w:szCs w:val="19"/>
                <w:color w:val="auto"/>
              </w:rPr>
            </w:pPr>
          </w:p>
        </w:tc>
      </w:tr>
      <w:tr>
        <w:trPr>
          <w:trHeight w:val="229"/>
        </w:trPr>
        <w:tc>
          <w:tcPr>
            <w:tcW w:w="7580" w:type="dxa"/>
            <w:vAlign w:val="bottom"/>
            <w:shd w:val="clear" w:color="auto" w:fill="F4F4F4"/>
          </w:tcPr>
          <w:p>
            <w:pPr>
              <w:ind w:left="20"/>
              <w:spacing w:after="0"/>
              <w:rPr>
                <w:sz w:val="20"/>
                <w:szCs w:val="20"/>
                <w:color w:val="auto"/>
              </w:rPr>
            </w:pPr>
            <w:r>
              <w:rPr>
                <w:rFonts w:ascii="Arial" w:cs="Arial" w:eastAsia="Arial" w:hAnsi="Arial"/>
                <w:sz w:val="18"/>
                <w:szCs w:val="18"/>
                <w:color w:val="auto"/>
              </w:rPr>
              <w:t>Variable lease cost</w:t>
            </w:r>
          </w:p>
        </w:tc>
        <w:tc>
          <w:tcPr>
            <w:tcW w:w="740" w:type="dxa"/>
            <w:vAlign w:val="bottom"/>
            <w:shd w:val="clear" w:color="auto" w:fill="F4F4F4"/>
          </w:tcPr>
          <w:p>
            <w:pPr>
              <w:spacing w:after="0"/>
              <w:rPr>
                <w:sz w:val="19"/>
                <w:szCs w:val="19"/>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F4F4F4"/>
          </w:tcPr>
          <w:p>
            <w:pPr>
              <w:spacing w:after="0"/>
              <w:rPr>
                <w:sz w:val="19"/>
                <w:szCs w:val="19"/>
                <w:color w:val="auto"/>
              </w:rPr>
            </w:pPr>
          </w:p>
        </w:tc>
        <w:tc>
          <w:tcPr>
            <w:tcW w:w="15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1,258</w:t>
            </w:r>
          </w:p>
        </w:tc>
        <w:tc>
          <w:tcPr>
            <w:tcW w:w="20" w:type="dxa"/>
            <w:vAlign w:val="bottom"/>
          </w:tcPr>
          <w:p>
            <w:pPr>
              <w:spacing w:after="0"/>
              <w:rPr>
                <w:sz w:val="19"/>
                <w:szCs w:val="19"/>
                <w:color w:val="auto"/>
              </w:rPr>
            </w:pPr>
          </w:p>
        </w:tc>
      </w:tr>
      <w:tr>
        <w:trPr>
          <w:trHeight w:val="230"/>
        </w:trPr>
        <w:tc>
          <w:tcPr>
            <w:tcW w:w="75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Sublease income</w:t>
            </w:r>
          </w:p>
        </w:tc>
        <w:tc>
          <w:tcPr>
            <w:tcW w:w="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9"/>
                <w:szCs w:val="19"/>
                <w:color w:val="auto"/>
              </w:rPr>
            </w:pPr>
          </w:p>
        </w:tc>
      </w:tr>
      <w:tr>
        <w:trPr>
          <w:trHeight w:val="223"/>
        </w:trPr>
        <w:tc>
          <w:tcPr>
            <w:tcW w:w="758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Net lease cost</w:t>
            </w:r>
          </w:p>
        </w:tc>
        <w:tc>
          <w:tcPr>
            <w:tcW w:w="740" w:type="dxa"/>
            <w:vAlign w:val="bottom"/>
            <w:tcBorders>
              <w:bottom w:val="single" w:sz="8" w:color="71BF43"/>
            </w:tcBorders>
            <w:shd w:val="clear" w:color="auto" w:fill="F4F4F4"/>
          </w:tcPr>
          <w:p>
            <w:pPr>
              <w:jc w:val="right"/>
              <w:ind w:right="5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3,080</w:t>
            </w:r>
          </w:p>
        </w:tc>
        <w:tc>
          <w:tcPr>
            <w:tcW w:w="240" w:type="dxa"/>
            <w:vAlign w:val="bottom"/>
            <w:tcBorders>
              <w:bottom w:val="single" w:sz="8" w:color="71BF43"/>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6,656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-736600</wp:posOffset>
            </wp:positionV>
            <wp:extent cx="23317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March 31, 2021, the remaining aggregate minimum purchase commitment under these arrangements was approximately $79.0 million through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are subject to legal proceedings and claims that arise in the ordinary course of business, as well as certain other non-ordinary course proceedings, claims and inquiries,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220980</wp:posOffset>
            </wp:positionV>
            <wp:extent cx="65976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0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recognize insurance recoveries, if any, when they are probable of receipt. All associated legal costs are expensed as incurred.</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Legal proceedings are inherently unpredictable. However, we believe that we have valid defenses with respect to the legal matters pending or threatened against us and intend to defend ourselves vigorously against all claims asserted. We further believe that the amount or range of reasonably possible losses related to such pending or threatened legal proceedings will not have a material adverse effect on our business, operating results, cash flows, or financial condition should such litigation be resolved unfavorably. It is possible, nevertheless, that our consolidated financial position, results of operations or cash flows could be materially negatively affected in any particular period by an unfavorable resolution of one or more of such legal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have no reason to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result of the Security Incident, we are currently subject to certain legal proceedings, claims, inquiries and investigations, as discussed below, and could be the subject of additional legal proceedings, claims, inquires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financial exposure related to the Security Incident, and we will continue to seek recoveries under these insurance policies. Although it is possible that total losses related to the Security Incident will ultimately exceed the limits of our insurance coverage, we are currently unable to determine if or when that will be the case and, if so, the approximate amount or range of any such excess.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three months ended March 31, 2021, we recorded $12.8 million of expenses related to the Security Incident and offsetting probable insurance recoveries of $12.8 million. As of March 31, 2021, we have recorded cumulative expenses related to the Security Incident of $22.6 million and cumulative probable insurance recoveries of $22.1 million. Due to the time required to submit and process such insurance claims, we have not yet received all of the accrued insurance recoveries. Of the insurance recoveries recorded, $6.4 million had been paid as of March 31, 2021. Recorded expenses consisted primarily of payments to third-party service providers and consultants, including legal fees. We present expenses and insurance recoveries related to the Security Incident in general and administrative expense on our condensed consolidated statements of comprehensive income. We expect to continue to experience significant expenses related to our response to the Security Incident, resolution of legal proceedings, claims, inquiries and investigations discussed below, and our efforts to further enhance our security measures, which expenses may be material.</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on our analysis of the factors described above, we have not recorded a liability related to the Security Incident as of March 31, 2021 because we are unable at this time to reasonably estimate the possible loss or range of loss.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Customer claims. </w:t>
      </w:r>
      <w:r>
        <w:rPr>
          <w:rFonts w:ascii="Arial" w:cs="Arial" w:eastAsia="Arial" w:hAnsi="Arial"/>
          <w:sz w:val="18"/>
          <w:szCs w:val="18"/>
          <w:color w:val="auto"/>
        </w:rPr>
        <w:t>To date, we have received approximately 630 claims for reimbursement of expenses from customers or their attorneys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 U.K. and Canada related to the Security Incident (none of which have as yet been filed in court or in arbitration). Possible exposure could result from our customers’ costs and expenses associated with notifying their own customers of the Security Incident and taking steps to assure that personal information has not been compromised as a result of the Security Incident. We are in the process of analyzing individual customer contracts into which we have entered, the specific claims made and applicable law.</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Customer constituent class actions. </w:t>
      </w:r>
      <w:r>
        <w:rPr>
          <w:rFonts w:ascii="Arial" w:cs="Arial" w:eastAsia="Arial" w:hAnsi="Arial"/>
          <w:sz w:val="18"/>
          <w:szCs w:val="18"/>
          <w:color w:val="auto"/>
        </w:rPr>
        <w:t>Presently, we are a defendant in 30 putative consumer class action cases [27 in U.S. federal courts</w:t>
      </w:r>
      <w:r>
        <w:rPr>
          <w:rFonts w:ascii="Arial" w:cs="Arial" w:eastAsia="Arial" w:hAnsi="Arial"/>
          <w:sz w:val="18"/>
          <w:szCs w:val="18"/>
          <w:i w:val="1"/>
          <w:iCs w:val="1"/>
          <w:color w:val="auto"/>
        </w:rPr>
        <w:t xml:space="preserve"> </w:t>
      </w:r>
      <w:r>
        <w:rPr>
          <w:rFonts w:ascii="Arial" w:cs="Arial" w:eastAsia="Arial" w:hAnsi="Arial"/>
          <w:sz w:val="18"/>
          <w:szCs w:val="18"/>
          <w:color w:val="auto"/>
        </w:rPr>
        <w:t>(some of which have been consolidated under multi district litigation to a single federal court), 1 in a U.S. state court and 2 in Canadian courts] alleging harm from the Security Incident. The plaintiffs in these cases, who purport to represent various classes of individual constituents of our customers, generally claim to have been harmed by</w:t>
      </w:r>
    </w:p>
    <w:p>
      <w:pPr>
        <w:spacing w:after="0" w:line="30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16</w:t>
      </w:r>
      <w:r>
        <w:rPr>
          <w:sz w:val="20"/>
          <w:szCs w:val="20"/>
          <w:color w:val="auto"/>
        </w:rPr>
        <w:tab/>
      </w:r>
      <w:r>
        <w:rPr>
          <w:sz w:val="1"/>
          <w:szCs w:val="1"/>
          <w:color w:val="auto"/>
        </w:rPr>
        <w:drawing>
          <wp:inline distT="0" distB="0" distL="0" distR="0">
            <wp:extent cx="651510" cy="1714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alleged actions and/or omissions by us in connection with the Security Incident and assert a variety of common law and statutory claims seeking monetary damages, injunctive relief, costs and attorneys’ fees, and other related relief.</w:t>
      </w:r>
    </w:p>
    <w:p>
      <w:pPr>
        <w:spacing w:after="0" w:line="144"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Furthermore, for putative class actions, it is often not possible to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3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i w:val="1"/>
          <w:iCs w:val="1"/>
          <w:color w:val="auto"/>
        </w:rPr>
        <w:t xml:space="preserve">Governmental inquiries and investigations. </w:t>
      </w:r>
      <w:r>
        <w:rPr>
          <w:rFonts w:ascii="Arial" w:cs="Arial" w:eastAsia="Arial" w:hAnsi="Arial"/>
          <w:sz w:val="18"/>
          <w:szCs w:val="18"/>
          <w:color w:val="auto"/>
        </w:rPr>
        <w:t>To date, we have received a consolidated, multi-state Civil Investigative Demand issued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47 state Attorneys General and the District of Columbia and a separate Civil Investigative Demand from the office of the Illinois Attorney General’s Office relating to the Security Incident. In addition, we have received communications, inquires and requests from the U.S. Federal Trade Commission, the U.S. Securities and Exchange Commission, the U.S. Department of Health and Human Services, the Information Commissioner’s Office in the United Kingdom (the “ICO”) under the U.K. Data Protection Act 2018, the Office of the Australian Information Commissioner and the Office of the Privacy Commissioner of Canada. We are cooperating with these offices and responding to their inquiries, which include various requests for documents, policies, narratives and communications, as well as requests to interview or depose various Company-related personnel. As noted above, each of these separate governmental inquiries and investigations could result in adverse judgements, settlements, fines, penalties, or other resolution, the amount, scope and timing of which we are currently unable to predict, but could be material.</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effective income tax rates, including the effects of period-specific events,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40" w:type="dxa"/>
            <w:vAlign w:val="bottom"/>
            <w:shd w:val="clear" w:color="auto" w:fill="ACACAC"/>
          </w:tcPr>
          <w:p>
            <w:pPr>
              <w:spacing w:after="0"/>
              <w:rPr>
                <w:sz w:val="14"/>
                <w:szCs w:val="14"/>
                <w:color w:val="auto"/>
              </w:rPr>
            </w:pPr>
          </w:p>
        </w:tc>
        <w:tc>
          <w:tcPr>
            <w:tcW w:w="480" w:type="dxa"/>
            <w:vAlign w:val="bottom"/>
            <w:shd w:val="clear" w:color="auto" w:fill="ACACAC"/>
          </w:tcPr>
          <w:p>
            <w:pPr>
              <w:spacing w:after="0"/>
              <w:rPr>
                <w:sz w:val="14"/>
                <w:szCs w:val="14"/>
                <w:color w:val="auto"/>
              </w:rPr>
            </w:pPr>
          </w:p>
        </w:tc>
        <w:tc>
          <w:tcPr>
            <w:tcW w:w="106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5"/>
        </w:trPr>
        <w:tc>
          <w:tcPr>
            <w:tcW w:w="8140" w:type="dxa"/>
            <w:vAlign w:val="bottom"/>
            <w:shd w:val="clear" w:color="auto" w:fill="ACACAC"/>
          </w:tcPr>
          <w:p>
            <w:pPr>
              <w:spacing w:after="0"/>
              <w:rPr>
                <w:sz w:val="15"/>
                <w:szCs w:val="15"/>
                <w:color w:val="auto"/>
              </w:rPr>
            </w:pPr>
          </w:p>
        </w:tc>
        <w:tc>
          <w:tcPr>
            <w:tcW w:w="480" w:type="dxa"/>
            <w:vAlign w:val="bottom"/>
            <w:shd w:val="clear" w:color="auto" w:fill="ACACAC"/>
          </w:tcPr>
          <w:p>
            <w:pPr>
              <w:spacing w:after="0"/>
              <w:rPr>
                <w:sz w:val="15"/>
                <w:szCs w:val="15"/>
                <w:color w:val="auto"/>
              </w:rPr>
            </w:pPr>
          </w:p>
        </w:tc>
        <w:tc>
          <w:tcPr>
            <w:tcW w:w="1060" w:type="dxa"/>
            <w:vAlign w:val="bottom"/>
            <w:shd w:val="clear" w:color="auto" w:fill="ACACAC"/>
          </w:tcPr>
          <w:p>
            <w:pPr>
              <w:spacing w:after="0"/>
              <w:rPr>
                <w:sz w:val="15"/>
                <w:szCs w:val="15"/>
                <w:color w:val="auto"/>
              </w:rPr>
            </w:pPr>
          </w:p>
        </w:tc>
        <w:tc>
          <w:tcPr>
            <w:tcW w:w="120" w:type="dxa"/>
            <w:vAlign w:val="bottom"/>
            <w:shd w:val="clear" w:color="auto" w:fill="ACACAC"/>
          </w:tcPr>
          <w:p>
            <w:pPr>
              <w:spacing w:after="0"/>
              <w:rPr>
                <w:sz w:val="15"/>
                <w:szCs w:val="15"/>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81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shd w:val="clear" w:color="auto" w:fill="ACACAC"/>
          </w:tcPr>
          <w:p>
            <w:pPr>
              <w:spacing w:after="0"/>
              <w:rPr>
                <w:sz w:val="18"/>
                <w:szCs w:val="18"/>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ACACAC"/>
          </w:tcPr>
          <w:p>
            <w:pPr>
              <w:spacing w:after="0"/>
              <w:rPr>
                <w:sz w:val="18"/>
                <w:szCs w:val="18"/>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229"/>
        </w:trPr>
        <w:tc>
          <w:tcPr>
            <w:tcW w:w="8140" w:type="dxa"/>
            <w:vAlign w:val="bottom"/>
            <w:shd w:val="clear" w:color="auto" w:fill="F4F4F4"/>
          </w:tcPr>
          <w:p>
            <w:pPr>
              <w:ind w:left="20"/>
              <w:spacing w:after="0"/>
              <w:rPr>
                <w:sz w:val="20"/>
                <w:szCs w:val="20"/>
                <w:color w:val="auto"/>
              </w:rPr>
            </w:pPr>
            <w:r>
              <w:rPr>
                <w:rFonts w:ascii="Arial" w:cs="Arial" w:eastAsia="Arial" w:hAnsi="Arial"/>
                <w:sz w:val="18"/>
                <w:szCs w:val="18"/>
                <w:color w:val="auto"/>
              </w:rPr>
              <w:t>Income tax provision</w:t>
            </w:r>
          </w:p>
        </w:tc>
        <w:tc>
          <w:tcPr>
            <w:tcW w:w="480" w:type="dxa"/>
            <w:vAlign w:val="bottom"/>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F4F4F4"/>
          </w:tcPr>
          <w:p>
            <w:pPr>
              <w:jc w:val="right"/>
              <w:ind w:right="156"/>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F4F4F4"/>
          </w:tcPr>
          <w:p>
            <w:pPr>
              <w:jc w:val="right"/>
              <w:ind w:right="161"/>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9"/>
                <w:szCs w:val="19"/>
                <w:color w:val="auto"/>
              </w:rPr>
            </w:pPr>
          </w:p>
        </w:tc>
      </w:tr>
      <w:tr>
        <w:trPr>
          <w:trHeight w:val="230"/>
        </w:trPr>
        <w:tc>
          <w:tcPr>
            <w:tcW w:w="814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Effective income tax rate</w:t>
            </w:r>
          </w:p>
        </w:tc>
        <w:tc>
          <w:tcPr>
            <w:tcW w:w="480" w:type="dxa"/>
            <w:vAlign w:val="bottom"/>
            <w:tcBorders>
              <w:bottom w:val="single" w:sz="8" w:color="71BF43"/>
            </w:tcBorders>
          </w:tcPr>
          <w:p>
            <w:pPr>
              <w:spacing w:after="0"/>
              <w:rPr>
                <w:sz w:val="19"/>
                <w:szCs w:val="19"/>
                <w:color w:val="auto"/>
              </w:rPr>
            </w:pPr>
          </w:p>
        </w:tc>
        <w:tc>
          <w:tcPr>
            <w:tcW w:w="10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131.5 %</w:t>
            </w:r>
          </w:p>
        </w:tc>
        <w:tc>
          <w:tcPr>
            <w:tcW w:w="120" w:type="dxa"/>
            <w:vAlign w:val="bottom"/>
            <w:tcBorders>
              <w:bottom w:val="single" w:sz="8" w:color="71BF43"/>
            </w:tcBorders>
          </w:tcPr>
          <w:p>
            <w:pPr>
              <w:spacing w:after="0"/>
              <w:rPr>
                <w:sz w:val="19"/>
                <w:szCs w:val="19"/>
                <w:color w:val="auto"/>
              </w:rPr>
            </w:pPr>
          </w:p>
        </w:tc>
        <w:tc>
          <w:tcPr>
            <w:tcW w:w="14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13.0 %</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-436880</wp:posOffset>
            </wp:positionV>
            <wp:extent cx="19799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14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increase in our effective income tax rate for the three months ended March 31, 2021, when compared to the same period in 2020, was primarily attributable to higher 2021 discrete tax expense against lower pre-tax income. The 2020 effective income tax rate was positively impacted by benefits attributable to stock-based compensation. The 2021 effective income tax rate was negatively impacted by tax expense attributable to stock-based compensation against lower 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224790</wp:posOffset>
            </wp:positionV>
            <wp:extent cx="6597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8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11.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Stock-based compensation expense is allocated to cost of revenue and operating expenses on the condensed consolidated statements of comprehensive income based on where the associated employee’s compensation is recorded. The following table summarizes stock-based compensation expense: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10" w:type="dxa"/>
            <w:vAlign w:val="bottom"/>
            <w:shd w:val="clear" w:color="auto" w:fill="ACACAC"/>
          </w:tcPr>
          <w:p>
            <w:pPr>
              <w:spacing w:after="0"/>
              <w:rPr>
                <w:sz w:val="14"/>
                <w:szCs w:val="14"/>
                <w:color w:val="auto"/>
              </w:rPr>
            </w:pPr>
          </w:p>
        </w:tc>
        <w:tc>
          <w:tcPr>
            <w:tcW w:w="1390" w:type="dxa"/>
            <w:vAlign w:val="bottom"/>
            <w:shd w:val="clear" w:color="auto" w:fill="ACACAC"/>
          </w:tcPr>
          <w:p>
            <w:pPr>
              <w:spacing w:after="0"/>
              <w:rPr>
                <w:sz w:val="14"/>
                <w:szCs w:val="14"/>
                <w:color w:val="auto"/>
              </w:rPr>
            </w:pPr>
          </w:p>
        </w:tc>
        <w:tc>
          <w:tcPr>
            <w:tcW w:w="14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r>
      <w:tr>
        <w:trPr>
          <w:trHeight w:val="176"/>
        </w:trPr>
        <w:tc>
          <w:tcPr>
            <w:tcW w:w="8410" w:type="dxa"/>
            <w:vAlign w:val="bottom"/>
            <w:shd w:val="clear" w:color="auto" w:fill="ACACAC"/>
          </w:tcPr>
          <w:p>
            <w:pPr>
              <w:spacing w:after="0"/>
              <w:rPr>
                <w:sz w:val="15"/>
                <w:szCs w:val="15"/>
                <w:color w:val="auto"/>
              </w:rPr>
            </w:pPr>
          </w:p>
        </w:tc>
        <w:tc>
          <w:tcPr>
            <w:tcW w:w="1390" w:type="dxa"/>
            <w:vAlign w:val="bottom"/>
            <w:shd w:val="clear" w:color="auto" w:fill="ACACAC"/>
          </w:tcPr>
          <w:p>
            <w:pPr>
              <w:spacing w:after="0"/>
              <w:rPr>
                <w:sz w:val="15"/>
                <w:szCs w:val="15"/>
                <w:color w:val="auto"/>
              </w:rPr>
            </w:pPr>
          </w:p>
        </w:tc>
        <w:tc>
          <w:tcPr>
            <w:tcW w:w="14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16"/>
        </w:trPr>
        <w:tc>
          <w:tcPr>
            <w:tcW w:w="841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39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-136525</wp:posOffset>
            </wp:positionV>
            <wp:extent cx="18084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Included in cost of revenue: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0" w:type="dxa"/>
            <w:vAlign w:val="bottom"/>
          </w:tcPr>
          <w:p>
            <w:pPr>
              <w:ind w:left="260"/>
              <w:spacing w:after="0"/>
              <w:rPr>
                <w:sz w:val="20"/>
                <w:szCs w:val="20"/>
                <w:color w:val="auto"/>
              </w:rPr>
            </w:pPr>
            <w:r>
              <w:rPr>
                <w:rFonts w:ascii="Arial" w:cs="Arial" w:eastAsia="Arial" w:hAnsi="Arial"/>
                <w:sz w:val="18"/>
                <w:szCs w:val="18"/>
                <w:color w:val="auto"/>
              </w:rPr>
              <w:t>Cost of recurring</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2,411</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29"/>
        </w:trPr>
        <w:tc>
          <w:tcPr>
            <w:tcW w:w="8400" w:type="dxa"/>
            <w:vAlign w:val="bottom"/>
            <w:shd w:val="clear" w:color="auto" w:fill="F4F4F4"/>
          </w:tcPr>
          <w:p>
            <w:pPr>
              <w:ind w:left="260"/>
              <w:spacing w:after="0"/>
              <w:rPr>
                <w:sz w:val="20"/>
                <w:szCs w:val="20"/>
                <w:color w:val="auto"/>
              </w:rPr>
            </w:pPr>
            <w:r>
              <w:rPr>
                <w:rFonts w:ascii="Arial" w:cs="Arial" w:eastAsia="Arial" w:hAnsi="Arial"/>
                <w:sz w:val="18"/>
                <w:szCs w:val="18"/>
                <w:color w:val="auto"/>
              </w:rPr>
              <w:t>Cost of one-time services and other</w:t>
            </w:r>
          </w:p>
        </w:tc>
        <w:tc>
          <w:tcPr>
            <w:tcW w:w="46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2,947</w:t>
            </w:r>
          </w:p>
        </w:tc>
        <w:tc>
          <w:tcPr>
            <w:tcW w:w="48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395</w:t>
            </w:r>
          </w:p>
        </w:tc>
      </w:tr>
      <w:tr>
        <w:trPr>
          <w:trHeight w:val="223"/>
        </w:trPr>
        <w:tc>
          <w:tcPr>
            <w:tcW w:w="8400" w:type="dxa"/>
            <w:vAlign w:val="bottom"/>
          </w:tcPr>
          <w:p>
            <w:pPr>
              <w:ind w:left="240"/>
              <w:spacing w:after="0"/>
              <w:rPr>
                <w:sz w:val="20"/>
                <w:szCs w:val="20"/>
                <w:color w:val="auto"/>
              </w:rPr>
            </w:pPr>
            <w:r>
              <w:rPr>
                <w:rFonts w:ascii="Arial" w:cs="Arial" w:eastAsia="Arial" w:hAnsi="Arial"/>
                <w:sz w:val="18"/>
                <w:szCs w:val="18"/>
                <w:b w:val="1"/>
                <w:bCs w:val="1"/>
                <w:color w:val="auto"/>
              </w:rPr>
              <w:t>Total included in cost of revenue</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5,358</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29"/>
        </w:trPr>
        <w:tc>
          <w:tcPr>
            <w:tcW w:w="8400" w:type="dxa"/>
            <w:vAlign w:val="bottom"/>
            <w:shd w:val="clear" w:color="auto" w:fill="F4F4F4"/>
          </w:tcPr>
          <w:p>
            <w:pPr>
              <w:ind w:left="120"/>
              <w:spacing w:after="0"/>
              <w:rPr>
                <w:sz w:val="20"/>
                <w:szCs w:val="20"/>
                <w:color w:val="auto"/>
              </w:rPr>
            </w:pPr>
            <w:r>
              <w:rPr>
                <w:rFonts w:ascii="Arial" w:cs="Arial" w:eastAsia="Arial" w:hAnsi="Arial"/>
                <w:sz w:val="18"/>
                <w:szCs w:val="18"/>
                <w:b w:val="1"/>
                <w:bCs w:val="1"/>
                <w:color w:val="auto"/>
              </w:rPr>
              <w:t>Included in operating expenses:</w:t>
            </w:r>
          </w:p>
        </w:tc>
        <w:tc>
          <w:tcPr>
            <w:tcW w:w="460" w:type="dxa"/>
            <w:vAlign w:val="bottom"/>
            <w:shd w:val="clear" w:color="auto" w:fill="F4F4F4"/>
          </w:tcPr>
          <w:p>
            <w:pPr>
              <w:spacing w:after="0"/>
              <w:rPr>
                <w:sz w:val="19"/>
                <w:szCs w:val="19"/>
                <w:color w:val="auto"/>
              </w:rPr>
            </w:pPr>
          </w:p>
        </w:tc>
        <w:tc>
          <w:tcPr>
            <w:tcW w:w="940" w:type="dxa"/>
            <w:vAlign w:val="bottom"/>
            <w:shd w:val="clear" w:color="auto" w:fill="F4F4F4"/>
          </w:tcPr>
          <w:p>
            <w:pPr>
              <w:spacing w:after="0"/>
              <w:rPr>
                <w:sz w:val="19"/>
                <w:szCs w:val="19"/>
                <w:color w:val="auto"/>
              </w:rPr>
            </w:pPr>
          </w:p>
        </w:tc>
        <w:tc>
          <w:tcPr>
            <w:tcW w:w="48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r>
      <w:tr>
        <w:trPr>
          <w:trHeight w:val="229"/>
        </w:trPr>
        <w:tc>
          <w:tcPr>
            <w:tcW w:w="8400" w:type="dxa"/>
            <w:vAlign w:val="bottom"/>
          </w:tcPr>
          <w:p>
            <w:pPr>
              <w:ind w:left="260"/>
              <w:spacing w:after="0"/>
              <w:rPr>
                <w:sz w:val="20"/>
                <w:szCs w:val="20"/>
                <w:color w:val="auto"/>
              </w:rPr>
            </w:pPr>
            <w:r>
              <w:rPr>
                <w:rFonts w:ascii="Arial" w:cs="Arial" w:eastAsia="Arial" w:hAnsi="Arial"/>
                <w:sz w:val="18"/>
                <w:szCs w:val="18"/>
                <w:color w:val="auto"/>
              </w:rPr>
              <w:t>Sales, marketing and customer success</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5,428</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2,478</w:t>
            </w:r>
          </w:p>
        </w:tc>
      </w:tr>
      <w:tr>
        <w:trPr>
          <w:trHeight w:val="230"/>
        </w:trPr>
        <w:tc>
          <w:tcPr>
            <w:tcW w:w="8400" w:type="dxa"/>
            <w:vAlign w:val="bottom"/>
            <w:shd w:val="clear" w:color="auto" w:fill="F4F4F4"/>
          </w:tcPr>
          <w:p>
            <w:pPr>
              <w:ind w:left="260"/>
              <w:spacing w:after="0"/>
              <w:rPr>
                <w:sz w:val="20"/>
                <w:szCs w:val="20"/>
                <w:color w:val="auto"/>
              </w:rPr>
            </w:pPr>
            <w:r>
              <w:rPr>
                <w:rFonts w:ascii="Arial" w:cs="Arial" w:eastAsia="Arial" w:hAnsi="Arial"/>
                <w:sz w:val="18"/>
                <w:szCs w:val="18"/>
                <w:color w:val="auto"/>
              </w:rPr>
              <w:t>Research and development</w:t>
            </w:r>
          </w:p>
        </w:tc>
        <w:tc>
          <w:tcPr>
            <w:tcW w:w="460" w:type="dxa"/>
            <w:vAlign w:val="bottom"/>
            <w:shd w:val="clear" w:color="auto" w:fill="F4F4F4"/>
          </w:tcPr>
          <w:p>
            <w:pPr>
              <w:spacing w:after="0"/>
              <w:rPr>
                <w:sz w:val="19"/>
                <w:szCs w:val="19"/>
                <w:color w:val="auto"/>
              </w:rPr>
            </w:pPr>
          </w:p>
        </w:tc>
        <w:tc>
          <w:tcPr>
            <w:tcW w:w="9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6,714</w:t>
            </w:r>
          </w:p>
        </w:tc>
        <w:tc>
          <w:tcPr>
            <w:tcW w:w="48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2,799</w:t>
            </w:r>
          </w:p>
        </w:tc>
      </w:tr>
      <w:tr>
        <w:trPr>
          <w:trHeight w:val="229"/>
        </w:trPr>
        <w:tc>
          <w:tcPr>
            <w:tcW w:w="8400" w:type="dxa"/>
            <w:vAlign w:val="bottom"/>
            <w:tcBorders>
              <w:bottom w:val="single" w:sz="8" w:color="F4F4F4"/>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w:t>
            </w:r>
          </w:p>
        </w:tc>
      </w:tr>
      <w:tr>
        <w:trPr>
          <w:trHeight w:val="223"/>
        </w:trPr>
        <w:tc>
          <w:tcPr>
            <w:tcW w:w="8400" w:type="dxa"/>
            <w:vAlign w:val="bottom"/>
            <w:shd w:val="clear" w:color="auto" w:fill="F4F4F4"/>
          </w:tcPr>
          <w:p>
            <w:pPr>
              <w:ind w:left="240"/>
              <w:spacing w:after="0"/>
              <w:rPr>
                <w:sz w:val="20"/>
                <w:szCs w:val="20"/>
                <w:color w:val="auto"/>
              </w:rPr>
            </w:pPr>
            <w:r>
              <w:rPr>
                <w:rFonts w:ascii="Arial" w:cs="Arial" w:eastAsia="Arial" w:hAnsi="Arial"/>
                <w:sz w:val="18"/>
                <w:szCs w:val="18"/>
                <w:b w:val="1"/>
                <w:bCs w:val="1"/>
                <w:color w:val="auto"/>
              </w:rPr>
              <w:t>Total included in operating expenses</w:t>
            </w:r>
          </w:p>
        </w:tc>
        <w:tc>
          <w:tcPr>
            <w:tcW w:w="460" w:type="dxa"/>
            <w:vAlign w:val="bottom"/>
            <w:tcBorders>
              <w:bottom w:val="single" w:sz="8" w:color="auto"/>
            </w:tcBorders>
            <w:shd w:val="clear" w:color="auto" w:fill="F4F4F4"/>
          </w:tcPr>
          <w:p>
            <w:pPr>
              <w:spacing w:after="0"/>
              <w:rPr>
                <w:sz w:val="19"/>
                <w:szCs w:val="19"/>
                <w:color w:val="auto"/>
              </w:rPr>
            </w:pPr>
          </w:p>
        </w:tc>
        <w:tc>
          <w:tcPr>
            <w:tcW w:w="9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24,647</w:t>
            </w:r>
          </w:p>
        </w:tc>
        <w:tc>
          <w:tcPr>
            <w:tcW w:w="48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12,715</w:t>
            </w:r>
          </w:p>
        </w:tc>
      </w:tr>
      <w:tr>
        <w:trPr>
          <w:trHeight w:val="223"/>
        </w:trPr>
        <w:tc>
          <w:tcPr>
            <w:tcW w:w="8400" w:type="dxa"/>
            <w:vAlign w:val="bottom"/>
            <w:tcBorders>
              <w:bottom w:val="single" w:sz="8" w:color="71BF43"/>
            </w:tcBorders>
          </w:tcPr>
          <w:p>
            <w:pPr>
              <w:ind w:left="480"/>
              <w:spacing w:after="0"/>
              <w:rPr>
                <w:sz w:val="20"/>
                <w:szCs w:val="20"/>
                <w:color w:val="auto"/>
              </w:rPr>
            </w:pPr>
            <w:r>
              <w:rPr>
                <w:rFonts w:ascii="Arial" w:cs="Arial" w:eastAsia="Arial" w:hAnsi="Arial"/>
                <w:sz w:val="18"/>
                <w:szCs w:val="18"/>
                <w:b w:val="1"/>
                <w:bCs w:val="1"/>
                <w:color w:val="auto"/>
              </w:rPr>
              <w:t>Total stock-based compensation expense</w:t>
            </w:r>
          </w:p>
        </w:tc>
        <w:tc>
          <w:tcPr>
            <w:tcW w:w="460" w:type="dxa"/>
            <w:vAlign w:val="bottom"/>
            <w:tcBorders>
              <w:bottom w:val="single" w:sz="8" w:color="71BF43"/>
            </w:tcBorders>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30,005</w:t>
            </w:r>
          </w:p>
        </w:tc>
        <w:tc>
          <w:tcPr>
            <w:tcW w:w="480" w:type="dxa"/>
            <w:vAlign w:val="bottom"/>
            <w:tcBorders>
              <w:bottom w:val="single" w:sz="8" w:color="71BF43"/>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13,580</w:t>
            </w:r>
          </w:p>
        </w:tc>
      </w:tr>
    </w:tbl>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12.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November 2020, our Board of Directors reauthorized and expanded a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Under the 2020 Credit Facility, we have restrictions on our ability to repurchase shares of our common stock.</w:t>
      </w:r>
    </w:p>
    <w:p>
      <w:pPr>
        <w:spacing w:after="0" w:line="36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account for purchases of treasury stock under the cost method. During the three months ended March 31, 2021, we purchased 465,821 shares for $28.1 million. The remaining amount available to purchase stock under the stock repurchase program was $180.9 million as of March 31, 2021.</w:t>
      </w: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18</w:t>
      </w:r>
      <w:r>
        <w:rPr>
          <w:sz w:val="20"/>
          <w:szCs w:val="20"/>
          <w:color w:val="auto"/>
        </w:rPr>
        <w:tab/>
      </w:r>
      <w:r>
        <w:rPr>
          <w:sz w:val="1"/>
          <w:szCs w:val="1"/>
          <w:color w:val="auto"/>
        </w:rPr>
        <w:drawing>
          <wp:inline distT="0" distB="0" distL="0" distR="0">
            <wp:extent cx="651510" cy="1714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by component,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4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9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5"/>
        </w:trPr>
        <w:tc>
          <w:tcPr>
            <w:tcW w:w="894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820" w:type="dxa"/>
            <w:vAlign w:val="bottom"/>
            <w:shd w:val="clear" w:color="auto" w:fill="ACACAC"/>
          </w:tcPr>
          <w:p>
            <w:pPr>
              <w:spacing w:after="0"/>
              <w:rPr>
                <w:sz w:val="15"/>
                <w:szCs w:val="15"/>
                <w:color w:val="auto"/>
              </w:rPr>
            </w:pPr>
          </w:p>
        </w:tc>
        <w:tc>
          <w:tcPr>
            <w:tcW w:w="280" w:type="dxa"/>
            <w:vAlign w:val="bottom"/>
            <w:shd w:val="clear" w:color="auto" w:fill="ACACAC"/>
          </w:tcPr>
          <w:p>
            <w:pPr>
              <w:spacing w:after="0"/>
              <w:rPr>
                <w:sz w:val="15"/>
                <w:szCs w:val="15"/>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89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shd w:val="clear" w:color="auto" w:fill="ACACAC"/>
          </w:tcPr>
          <w:p>
            <w:pPr>
              <w:spacing w:after="0"/>
              <w:rPr>
                <w:sz w:val="18"/>
                <w:szCs w:val="18"/>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80" w:type="dxa"/>
            <w:vAlign w:val="bottom"/>
            <w:shd w:val="clear" w:color="auto" w:fill="ACACAC"/>
          </w:tcPr>
          <w:p>
            <w:pPr>
              <w:spacing w:after="0"/>
              <w:rPr>
                <w:sz w:val="18"/>
                <w:szCs w:val="18"/>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229"/>
        </w:trPr>
        <w:tc>
          <w:tcPr>
            <w:tcW w:w="894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loss, beginning of period</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(2,497)</w:t>
            </w:r>
          </w:p>
        </w:tc>
        <w:tc>
          <w:tcPr>
            <w:tcW w:w="280" w:type="dxa"/>
            <w:vAlign w:val="bottom"/>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20" w:type="dxa"/>
            <w:vAlign w:val="bottom"/>
          </w:tcPr>
          <w:p>
            <w:pPr>
              <w:spacing w:after="0"/>
              <w:rPr>
                <w:sz w:val="19"/>
                <w:szCs w:val="19"/>
                <w:color w:val="auto"/>
              </w:rPr>
            </w:pP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By component:</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94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Gains and losses on cash flow hedges:</w:t>
            </w:r>
          </w:p>
        </w:tc>
        <w:tc>
          <w:tcPr>
            <w:tcW w:w="340" w:type="dxa"/>
            <w:vAlign w:val="bottom"/>
            <w:shd w:val="clear" w:color="auto" w:fill="F4F4F4"/>
          </w:tcPr>
          <w:p>
            <w:pPr>
              <w:spacing w:after="0"/>
              <w:rPr>
                <w:sz w:val="19"/>
                <w:szCs w:val="19"/>
                <w:color w:val="auto"/>
              </w:rPr>
            </w:pPr>
          </w:p>
        </w:tc>
        <w:tc>
          <w:tcPr>
            <w:tcW w:w="8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86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940" w:type="dxa"/>
            <w:vAlign w:val="bottom"/>
          </w:tcPr>
          <w:p>
            <w:pPr>
              <w:ind w:left="220"/>
              <w:spacing w:after="0"/>
              <w:rPr>
                <w:sz w:val="20"/>
                <w:szCs w:val="20"/>
                <w:color w:val="auto"/>
              </w:rPr>
            </w:pPr>
            <w:r>
              <w:rPr>
                <w:rFonts w:ascii="Arial" w:cs="Arial" w:eastAsia="Arial" w:hAnsi="Arial"/>
                <w:sz w:val="18"/>
                <w:szCs w:val="18"/>
                <w:color w:val="auto"/>
              </w:rPr>
              <w:t>Accumulated other comprehensive loss 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9"/>
                <w:szCs w:val="19"/>
                <w:color w:val="auto"/>
              </w:rPr>
            </w:pPr>
          </w:p>
        </w:tc>
      </w:tr>
      <w:tr>
        <w:trPr>
          <w:trHeight w:val="229"/>
        </w:trPr>
        <w:tc>
          <w:tcPr>
            <w:tcW w:w="8940" w:type="dxa"/>
            <w:vAlign w:val="bottom"/>
            <w:shd w:val="clear" w:color="auto" w:fill="F4F4F4"/>
          </w:tcPr>
          <w:p>
            <w:pPr>
              <w:ind w:left="480"/>
              <w:spacing w:after="0"/>
              <w:rPr>
                <w:sz w:val="20"/>
                <w:szCs w:val="20"/>
                <w:color w:val="auto"/>
              </w:rPr>
            </w:pPr>
            <w:r>
              <w:rPr>
                <w:rFonts w:ascii="Arial" w:cs="Arial" w:eastAsia="Arial" w:hAnsi="Arial"/>
                <w:sz w:val="18"/>
                <w:szCs w:val="18"/>
                <w:color w:val="auto"/>
              </w:rPr>
              <w:t>Other comprehensive income (loss) before reclassifications, net of tax effects of $(1,100) and $1,154</w:t>
            </w:r>
          </w:p>
        </w:tc>
        <w:tc>
          <w:tcPr>
            <w:tcW w:w="340" w:type="dxa"/>
            <w:vAlign w:val="bottom"/>
            <w:shd w:val="clear" w:color="auto" w:fill="F4F4F4"/>
          </w:tcPr>
          <w:p>
            <w:pPr>
              <w:spacing w:after="0"/>
              <w:rPr>
                <w:sz w:val="19"/>
                <w:szCs w:val="19"/>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3,130</w:t>
            </w:r>
          </w:p>
        </w:tc>
        <w:tc>
          <w:tcPr>
            <w:tcW w:w="280" w:type="dxa"/>
            <w:vAlign w:val="bottom"/>
            <w:shd w:val="clear" w:color="auto" w:fill="F4F4F4"/>
          </w:tcPr>
          <w:p>
            <w:pPr>
              <w:spacing w:after="0"/>
              <w:rPr>
                <w:sz w:val="19"/>
                <w:szCs w:val="19"/>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(3,273)</w:t>
            </w:r>
          </w:p>
        </w:tc>
        <w:tc>
          <w:tcPr>
            <w:tcW w:w="20" w:type="dxa"/>
            <w:vAlign w:val="bottom"/>
          </w:tcPr>
          <w:p>
            <w:pPr>
              <w:spacing w:after="0"/>
              <w:rPr>
                <w:sz w:val="19"/>
                <w:szCs w:val="19"/>
                <w:color w:val="auto"/>
              </w:rPr>
            </w:pPr>
          </w:p>
        </w:tc>
      </w:tr>
      <w:tr>
        <w:trPr>
          <w:trHeight w:val="230"/>
        </w:trPr>
        <w:tc>
          <w:tcPr>
            <w:tcW w:w="8940" w:type="dxa"/>
            <w:vAlign w:val="bottom"/>
          </w:tcPr>
          <w:p>
            <w:pPr>
              <w:ind w:left="680"/>
              <w:spacing w:after="0"/>
              <w:rPr>
                <w:sz w:val="20"/>
                <w:szCs w:val="20"/>
                <w:color w:val="auto"/>
              </w:rPr>
            </w:pPr>
            <w:r>
              <w:rPr>
                <w:rFonts w:ascii="Arial" w:cs="Arial" w:eastAsia="Arial" w:hAnsi="Arial"/>
                <w:sz w:val="18"/>
                <w:szCs w:val="18"/>
                <w:color w:val="auto"/>
              </w:rPr>
              <w:t>Amounts reclassified from accumulated other comprehensive income (loss) to interest expense</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1,376</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9"/>
                <w:szCs w:val="19"/>
                <w:color w:val="auto"/>
              </w:rPr>
            </w:pPr>
          </w:p>
        </w:tc>
      </w:tr>
      <w:tr>
        <w:trPr>
          <w:trHeight w:val="229"/>
        </w:trPr>
        <w:tc>
          <w:tcPr>
            <w:tcW w:w="8940" w:type="dxa"/>
            <w:vAlign w:val="bottom"/>
            <w:shd w:val="clear" w:color="auto" w:fill="F4F4F4"/>
          </w:tcPr>
          <w:p>
            <w:pPr>
              <w:ind w:left="680"/>
              <w:spacing w:after="0"/>
              <w:rPr>
                <w:sz w:val="20"/>
                <w:szCs w:val="20"/>
                <w:color w:val="auto"/>
              </w:rPr>
            </w:pPr>
            <w:r>
              <w:rPr>
                <w:rFonts w:ascii="Arial" w:cs="Arial" w:eastAsia="Arial" w:hAnsi="Arial"/>
                <w:sz w:val="18"/>
                <w:szCs w:val="18"/>
                <w:color w:val="auto"/>
              </w:rPr>
              <w:t>Tax benefit included in provision for income taxes</w:t>
            </w:r>
          </w:p>
        </w:tc>
        <w:tc>
          <w:tcPr>
            <w:tcW w:w="3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r>
      <w:tr>
        <w:trPr>
          <w:trHeight w:val="223"/>
        </w:trPr>
        <w:tc>
          <w:tcPr>
            <w:tcW w:w="8940" w:type="dxa"/>
            <w:vAlign w:val="bottom"/>
            <w:tcBorders>
              <w:bottom w:val="single" w:sz="8" w:color="F4F4F4"/>
            </w:tcBorders>
          </w:tcPr>
          <w:p>
            <w:pPr>
              <w:ind w:left="480"/>
              <w:spacing w:after="0"/>
              <w:rPr>
                <w:sz w:val="20"/>
                <w:szCs w:val="20"/>
                <w:color w:val="auto"/>
              </w:rPr>
            </w:pPr>
            <w:r>
              <w:rPr>
                <w:rFonts w:ascii="Arial" w:cs="Arial" w:eastAsia="Arial" w:hAnsi="Arial"/>
                <w:sz w:val="18"/>
                <w:szCs w:val="18"/>
                <w:color w:val="auto"/>
              </w:rPr>
              <w:t>Total amounts reclassified from accumulated other comprehensive income (loss)</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r>
      <w:tr>
        <w:trPr>
          <w:trHeight w:val="223"/>
        </w:trPr>
        <w:tc>
          <w:tcPr>
            <w:tcW w:w="8940" w:type="dxa"/>
            <w:vAlign w:val="bottom"/>
            <w:shd w:val="clear" w:color="auto" w:fill="F4F4F4"/>
          </w:tcPr>
          <w:p>
            <w:pPr>
              <w:ind w:left="220"/>
              <w:spacing w:after="0"/>
              <w:rPr>
                <w:sz w:val="20"/>
                <w:szCs w:val="20"/>
                <w:color w:val="auto"/>
              </w:rPr>
            </w:pPr>
            <w:r>
              <w:rPr>
                <w:rFonts w:ascii="Arial" w:cs="Arial" w:eastAsia="Arial" w:hAnsi="Arial"/>
                <w:sz w:val="18"/>
                <w:szCs w:val="18"/>
                <w:color w:val="auto"/>
              </w:rPr>
              <w:t>Net current-period other comprehensive income (loss)</w:t>
            </w:r>
          </w:p>
        </w:tc>
        <w:tc>
          <w:tcPr>
            <w:tcW w:w="3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4,149</w:t>
            </w:r>
          </w:p>
        </w:tc>
        <w:tc>
          <w:tcPr>
            <w:tcW w:w="28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(3,122)</w:t>
            </w:r>
          </w:p>
        </w:tc>
        <w:tc>
          <w:tcPr>
            <w:tcW w:w="20" w:type="dxa"/>
            <w:vAlign w:val="bottom"/>
          </w:tcPr>
          <w:p>
            <w:pPr>
              <w:spacing w:after="0"/>
              <w:rPr>
                <w:sz w:val="19"/>
                <w:szCs w:val="19"/>
                <w:color w:val="auto"/>
              </w:rPr>
            </w:pPr>
          </w:p>
        </w:tc>
      </w:tr>
      <w:tr>
        <w:trPr>
          <w:trHeight w:val="223"/>
        </w:trPr>
        <w:tc>
          <w:tcPr>
            <w:tcW w:w="8940" w:type="dxa"/>
            <w:vAlign w:val="bottom"/>
            <w:tcBorders>
              <w:bottom w:val="single" w:sz="8" w:color="F4F4F4"/>
            </w:tcBorders>
          </w:tcPr>
          <w:p>
            <w:pPr>
              <w:ind w:left="22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Pr>
          <w:p>
            <w:pPr>
              <w:spacing w:after="0"/>
              <w:rPr>
                <w:sz w:val="19"/>
                <w:szCs w:val="19"/>
                <w:color w:val="auto"/>
              </w:rPr>
            </w:pPr>
          </w:p>
        </w:tc>
      </w:tr>
      <w:tr>
        <w:trPr>
          <w:trHeight w:val="209"/>
        </w:trPr>
        <w:tc>
          <w:tcPr>
            <w:tcW w:w="8940" w:type="dxa"/>
            <w:vAlign w:val="bottom"/>
            <w:shd w:val="clear" w:color="auto" w:fill="F4F4F4"/>
          </w:tcPr>
          <w:p>
            <w:pPr>
              <w:ind w:left="140"/>
              <w:spacing w:after="0"/>
              <w:rPr>
                <w:sz w:val="20"/>
                <w:szCs w:val="20"/>
                <w:color w:val="auto"/>
              </w:rPr>
            </w:pPr>
            <w:r>
              <w:rPr>
                <w:rFonts w:ascii="Arial" w:cs="Arial" w:eastAsia="Arial" w:hAnsi="Arial"/>
                <w:sz w:val="18"/>
                <w:szCs w:val="18"/>
                <w:b w:val="1"/>
                <w:bCs w:val="1"/>
                <w:color w:val="auto"/>
              </w:rPr>
              <w:t>Foreign currency translation adjustment:</w:t>
            </w:r>
          </w:p>
        </w:tc>
        <w:tc>
          <w:tcPr>
            <w:tcW w:w="340" w:type="dxa"/>
            <w:vAlign w:val="bottom"/>
            <w:shd w:val="clear" w:color="auto" w:fill="F4F4F4"/>
          </w:tcPr>
          <w:p>
            <w:pPr>
              <w:spacing w:after="0"/>
              <w:rPr>
                <w:sz w:val="18"/>
                <w:szCs w:val="18"/>
                <w:color w:val="auto"/>
              </w:rPr>
            </w:pPr>
          </w:p>
        </w:tc>
        <w:tc>
          <w:tcPr>
            <w:tcW w:w="820" w:type="dxa"/>
            <w:vAlign w:val="bottom"/>
            <w:shd w:val="clear" w:color="auto" w:fill="F4F4F4"/>
          </w:tcPr>
          <w:p>
            <w:pPr>
              <w:spacing w:after="0"/>
              <w:rPr>
                <w:sz w:val="18"/>
                <w:szCs w:val="18"/>
                <w:color w:val="auto"/>
              </w:rPr>
            </w:pPr>
          </w:p>
        </w:tc>
        <w:tc>
          <w:tcPr>
            <w:tcW w:w="280" w:type="dxa"/>
            <w:vAlign w:val="bottom"/>
            <w:shd w:val="clear" w:color="auto" w:fill="F4F4F4"/>
          </w:tcPr>
          <w:p>
            <w:pPr>
              <w:spacing w:after="0"/>
              <w:rPr>
                <w:sz w:val="18"/>
                <w:szCs w:val="18"/>
                <w:color w:val="auto"/>
              </w:rPr>
            </w:pPr>
          </w:p>
        </w:tc>
        <w:tc>
          <w:tcPr>
            <w:tcW w:w="86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9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 balance,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(3,967)</w:t>
            </w:r>
          </w:p>
        </w:tc>
        <w:tc>
          <w:tcPr>
            <w:tcW w:w="20" w:type="dxa"/>
            <w:vAlign w:val="bottom"/>
          </w:tcPr>
          <w:p>
            <w:pPr>
              <w:spacing w:after="0"/>
              <w:rPr>
                <w:sz w:val="19"/>
                <w:szCs w:val="19"/>
                <w:color w:val="auto"/>
              </w:rPr>
            </w:pPr>
          </w:p>
        </w:tc>
      </w:tr>
      <w:tr>
        <w:trPr>
          <w:trHeight w:val="229"/>
        </w:trPr>
        <w:tc>
          <w:tcPr>
            <w:tcW w:w="8940" w:type="dxa"/>
            <w:vAlign w:val="bottom"/>
            <w:shd w:val="clear" w:color="auto" w:fill="F4F4F4"/>
          </w:tcPr>
          <w:p>
            <w:pPr>
              <w:ind w:left="220"/>
              <w:spacing w:after="0"/>
              <w:rPr>
                <w:sz w:val="20"/>
                <w:szCs w:val="20"/>
                <w:color w:val="auto"/>
              </w:rPr>
            </w:pPr>
            <w:r>
              <w:rPr>
                <w:rFonts w:ascii="Arial" w:cs="Arial" w:eastAsia="Arial" w:hAnsi="Arial"/>
                <w:sz w:val="18"/>
                <w:szCs w:val="18"/>
                <w:color w:val="auto"/>
              </w:rPr>
              <w:t>Translation adjustments</w:t>
            </w:r>
          </w:p>
        </w:tc>
        <w:tc>
          <w:tcPr>
            <w:tcW w:w="3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2,511</w:t>
            </w:r>
          </w:p>
        </w:tc>
        <w:tc>
          <w:tcPr>
            <w:tcW w:w="28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(5,728)</w:t>
            </w:r>
          </w:p>
        </w:tc>
        <w:tc>
          <w:tcPr>
            <w:tcW w:w="20" w:type="dxa"/>
            <w:vAlign w:val="bottom"/>
          </w:tcPr>
          <w:p>
            <w:pPr>
              <w:spacing w:after="0"/>
              <w:rPr>
                <w:sz w:val="19"/>
                <w:szCs w:val="19"/>
                <w:color w:val="auto"/>
              </w:rPr>
            </w:pPr>
          </w:p>
        </w:tc>
      </w:tr>
      <w:tr>
        <w:trPr>
          <w:trHeight w:val="223"/>
        </w:trPr>
        <w:tc>
          <w:tcPr>
            <w:tcW w:w="8940" w:type="dxa"/>
            <w:vAlign w:val="bottom"/>
            <w:tcBorders>
              <w:bottom w:val="single" w:sz="8" w:color="F4F4F4"/>
            </w:tcBorders>
          </w:tcPr>
          <w:p>
            <w:pPr>
              <w:ind w:left="220"/>
              <w:spacing w:after="0"/>
              <w:rPr>
                <w:sz w:val="20"/>
                <w:szCs w:val="20"/>
                <w:color w:val="auto"/>
              </w:rPr>
            </w:pPr>
            <w:r>
              <w:rPr>
                <w:rFonts w:ascii="Arial" w:cs="Arial" w:eastAsia="Arial" w:hAnsi="Arial"/>
                <w:sz w:val="18"/>
                <w:szCs w:val="18"/>
                <w:color w:val="auto"/>
              </w:rPr>
              <w:t>Accumulated other comprehensive income (loss) balance, end of period</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20" w:type="dxa"/>
            <w:vAlign w:val="bottom"/>
          </w:tcPr>
          <w:p>
            <w:pPr>
              <w:spacing w:after="0"/>
              <w:rPr>
                <w:sz w:val="19"/>
                <w:szCs w:val="19"/>
                <w:color w:val="auto"/>
              </w:rPr>
            </w:pPr>
          </w:p>
        </w:tc>
      </w:tr>
      <w:tr>
        <w:trPr>
          <w:trHeight w:val="223"/>
        </w:trPr>
        <w:tc>
          <w:tcPr>
            <w:tcW w:w="89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(loss), end of period</w:t>
            </w:r>
          </w:p>
        </w:tc>
        <w:tc>
          <w:tcPr>
            <w:tcW w:w="340" w:type="dxa"/>
            <w:vAlign w:val="bottom"/>
            <w:tcBorders>
              <w:bottom w:val="single" w:sz="8" w:color="71BF43"/>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4,163</w:t>
            </w:r>
          </w:p>
        </w:tc>
        <w:tc>
          <w:tcPr>
            <w:tcW w:w="280" w:type="dxa"/>
            <w:vAlign w:val="bottom"/>
            <w:tcBorders>
              <w:bottom w:val="single" w:sz="8" w:color="71BF43"/>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(14,140)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-2374265</wp:posOffset>
            </wp:positionV>
            <wp:extent cx="1465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32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13.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March 31, 2021, approximately $776 million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Our contract assets as of March 31, 2021 and December 31, 2020 were insignificant. Our opening and closing balances of deferred revenue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52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4"/>
                <w:szCs w:val="14"/>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940" w:type="dxa"/>
            <w:vAlign w:val="bottom"/>
            <w:vMerge w:val="continue"/>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Total deferred revenue</w:t>
            </w:r>
          </w:p>
        </w:tc>
        <w:tc>
          <w:tcPr>
            <w:tcW w:w="520" w:type="dxa"/>
            <w:vAlign w:val="bottom"/>
            <w:tcBorders>
              <w:bottom w:val="single" w:sz="8" w:color="71BF43"/>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294,520</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316,914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decrease in deferred revenue during the three months ended March 31, 2021 was primarily due to a seasonal decrease in customer contract renewals. Historically, due to the timing of customer budget cycles, we have an increase in customer contract renewals at or near the beginning of our third quarter generally resulting in our lowest balance of deferred revenue at the end of our first quarter. The amount of revenue recognized during the three months ended March 31, 2021 that was included in the deferred revenue balance at the beginning of the period was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216535</wp:posOffset>
            </wp:positionV>
            <wp:extent cx="65976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0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$134 million. The amount of revenue recognized during the three months ended March 31, 2021 from performance obligations satisfied in prior periods was insignificant.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22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6"/>
        </w:trPr>
        <w:tc>
          <w:tcPr>
            <w:tcW w:w="8620" w:type="dxa"/>
            <w:vAlign w:val="bottom"/>
            <w:shd w:val="clear" w:color="auto" w:fill="ACACAC"/>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96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86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60" w:type="dxa"/>
            <w:vAlign w:val="bottom"/>
            <w:shd w:val="clear" w:color="auto" w:fill="ACACAC"/>
          </w:tcPr>
          <w:p>
            <w:pPr>
              <w:spacing w:after="0"/>
              <w:rPr>
                <w:sz w:val="18"/>
                <w:szCs w:val="18"/>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shd w:val="clear" w:color="auto" w:fill="ACACAC"/>
          </w:tcPr>
          <w:p>
            <w:pPr>
              <w:spacing w:after="0"/>
              <w:rPr>
                <w:sz w:val="18"/>
                <w:szCs w:val="18"/>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230"/>
        </w:trPr>
        <w:tc>
          <w:tcPr>
            <w:tcW w:w="8620" w:type="dxa"/>
            <w:vAlign w:val="bottom"/>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185,327</w:t>
            </w:r>
          </w:p>
        </w:tc>
        <w:tc>
          <w:tcPr>
            <w:tcW w:w="34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193,959</w:t>
            </w:r>
          </w:p>
        </w:tc>
        <w:tc>
          <w:tcPr>
            <w:tcW w:w="20" w:type="dxa"/>
            <w:vAlign w:val="bottom"/>
          </w:tcPr>
          <w:p>
            <w:pPr>
              <w:spacing w:after="0"/>
              <w:rPr>
                <w:sz w:val="19"/>
                <w:szCs w:val="19"/>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22,305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15,825</w:t>
            </w:r>
          </w:p>
        </w:tc>
        <w:tc>
          <w:tcPr>
            <w:tcW w:w="20" w:type="dxa"/>
            <w:vAlign w:val="bottom"/>
          </w:tcPr>
          <w:p>
            <w:pPr>
              <w:spacing w:after="0"/>
              <w:rPr>
                <w:sz w:val="19"/>
                <w:szCs w:val="19"/>
                <w:color w:val="auto"/>
              </w:rPr>
            </w:pPr>
          </w:p>
        </w:tc>
      </w:tr>
      <w:tr>
        <w:trPr>
          <w:trHeight w:val="229"/>
        </w:trPr>
        <w:tc>
          <w:tcPr>
            <w:tcW w:w="8620" w:type="dxa"/>
            <w:vAlign w:val="bottom"/>
            <w:shd w:val="clear" w:color="auto" w:fill="F4F4F4"/>
          </w:tcPr>
          <w:p>
            <w:pPr>
              <w:ind w:left="20"/>
              <w:spacing w:after="0"/>
              <w:rPr>
                <w:sz w:val="20"/>
                <w:szCs w:val="20"/>
                <w:color w:val="auto"/>
              </w:rPr>
            </w:pPr>
            <w:r>
              <w:rPr>
                <w:rFonts w:ascii="Arial" w:cs="Arial" w:eastAsia="Arial" w:hAnsi="Arial"/>
                <w:sz w:val="18"/>
                <w:szCs w:val="18"/>
                <w:color w:val="auto"/>
              </w:rPr>
              <w:t>Other countries</w:t>
            </w:r>
          </w:p>
        </w:tc>
        <w:tc>
          <w:tcPr>
            <w:tcW w:w="36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11,559</w:t>
            </w:r>
          </w:p>
        </w:tc>
        <w:tc>
          <w:tcPr>
            <w:tcW w:w="340" w:type="dxa"/>
            <w:vAlign w:val="bottom"/>
            <w:tcBorders>
              <w:bottom w:val="single" w:sz="8" w:color="auto"/>
            </w:tcBorders>
            <w:shd w:val="clear" w:color="auto" w:fill="F4F4F4"/>
          </w:tcPr>
          <w:p>
            <w:pPr>
              <w:spacing w:after="0"/>
              <w:rPr>
                <w:sz w:val="19"/>
                <w:szCs w:val="19"/>
                <w:color w:val="auto"/>
              </w:rPr>
            </w:pPr>
          </w:p>
        </w:tc>
        <w:tc>
          <w:tcPr>
            <w:tcW w:w="9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13,837</w:t>
            </w:r>
          </w:p>
        </w:tc>
        <w:tc>
          <w:tcPr>
            <w:tcW w:w="20" w:type="dxa"/>
            <w:vAlign w:val="bottom"/>
          </w:tcPr>
          <w:p>
            <w:pPr>
              <w:spacing w:after="0"/>
              <w:rPr>
                <w:sz w:val="19"/>
                <w:szCs w:val="19"/>
                <w:color w:val="auto"/>
              </w:rPr>
            </w:pPr>
          </w:p>
        </w:tc>
      </w:tr>
      <w:tr>
        <w:trPr>
          <w:trHeight w:val="223"/>
        </w:trPr>
        <w:tc>
          <w:tcPr>
            <w:tcW w:w="8620" w:type="dxa"/>
            <w:vAlign w:val="bottom"/>
            <w:tcBorders>
              <w:bottom w:val="single" w:sz="8" w:color="71BF43"/>
            </w:tcBorders>
          </w:tcPr>
          <w:p>
            <w:pPr>
              <w:ind w:left="1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71BF43"/>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219,191</w:t>
            </w:r>
          </w:p>
        </w:tc>
        <w:tc>
          <w:tcPr>
            <w:tcW w:w="340" w:type="dxa"/>
            <w:vAlign w:val="bottom"/>
            <w:tcBorders>
              <w:bottom w:val="single" w:sz="8" w:color="71BF43"/>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223,621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-736600</wp:posOffset>
            </wp:positionV>
            <wp:extent cx="1671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14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General Markets Group ("GMG"), the Enterprise Markets Group ("EMG"), and the International Markets Group ("IMG") comprised our go-to-market organizations as of March 31, 2021. The following is a description of each market group as of that date:</w:t>
      </w:r>
    </w:p>
    <w:p>
      <w:pPr>
        <w:spacing w:after="0" w:line="90" w:lineRule="exact"/>
        <w:rPr>
          <w:sz w:val="20"/>
          <w:szCs w:val="20"/>
          <w:color w:val="auto"/>
        </w:rPr>
      </w:pPr>
    </w:p>
    <w:p>
      <w:pPr>
        <w:ind w:left="660" w:right="20" w:hanging="328"/>
        <w:spacing w:after="0" w:line="261"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GMG focuses on sales primarily to all K-12 private schools, faith communities and arts and cultural organizations, as well as emerging and mid-sized prospects in the U.S.;</w:t>
      </w:r>
    </w:p>
    <w:p>
      <w:pPr>
        <w:spacing w:after="0" w:line="35" w:lineRule="exact"/>
        <w:rPr>
          <w:rFonts w:ascii="Arial" w:cs="Arial" w:eastAsia="Arial" w:hAnsi="Arial"/>
          <w:sz w:val="18"/>
          <w:szCs w:val="18"/>
          <w:color w:val="auto"/>
        </w:rPr>
      </w:pPr>
    </w:p>
    <w:p>
      <w:pPr>
        <w:ind w:left="660" w:right="20" w:hanging="328"/>
        <w:spacing w:after="0" w:line="261" w:lineRule="auto"/>
        <w:tabs>
          <w:tab w:leader="none" w:pos="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EMG focuses on sales primarily to all healthcare and higher education institutions, corporations and foundations, as well as large and/or strategic prospects in the U.S.; and</w:t>
      </w:r>
    </w:p>
    <w:p>
      <w:pPr>
        <w:spacing w:after="0" w:line="35"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market group: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shd w:val="clear" w:color="auto" w:fill="ACACAC"/>
          </w:tcPr>
          <w:p>
            <w:pPr>
              <w:spacing w:after="0"/>
              <w:rPr>
                <w:sz w:val="14"/>
                <w:szCs w:val="14"/>
                <w:color w:val="auto"/>
              </w:rPr>
            </w:pPr>
          </w:p>
        </w:tc>
        <w:tc>
          <w:tcPr>
            <w:tcW w:w="702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22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5"/>
        </w:trPr>
        <w:tc>
          <w:tcPr>
            <w:tcW w:w="1600" w:type="dxa"/>
            <w:vAlign w:val="bottom"/>
            <w:shd w:val="clear" w:color="auto" w:fill="ACACAC"/>
          </w:tcPr>
          <w:p>
            <w:pPr>
              <w:spacing w:after="0"/>
              <w:rPr>
                <w:sz w:val="15"/>
                <w:szCs w:val="15"/>
                <w:color w:val="auto"/>
              </w:rPr>
            </w:pPr>
          </w:p>
        </w:tc>
        <w:tc>
          <w:tcPr>
            <w:tcW w:w="7020" w:type="dxa"/>
            <w:vAlign w:val="bottom"/>
            <w:shd w:val="clear" w:color="auto" w:fill="ACACAC"/>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96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16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020" w:type="dxa"/>
            <w:vAlign w:val="bottom"/>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shd w:val="clear" w:color="auto" w:fill="ACACAC"/>
          </w:tcPr>
          <w:p>
            <w:pPr>
              <w:spacing w:after="0"/>
              <w:rPr>
                <w:sz w:val="18"/>
                <w:szCs w:val="18"/>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18"/>
                <w:szCs w:val="18"/>
                <w:color w:val="auto"/>
              </w:rPr>
            </w:pPr>
          </w:p>
        </w:tc>
      </w:tr>
      <w:tr>
        <w:trPr>
          <w:trHeight w:val="229"/>
        </w:trPr>
        <w:tc>
          <w:tcPr>
            <w:tcW w:w="1600" w:type="dxa"/>
            <w:vAlign w:val="bottom"/>
            <w:shd w:val="clear" w:color="auto" w:fill="F4F4F4"/>
          </w:tcPr>
          <w:p>
            <w:pPr>
              <w:ind w:left="20"/>
              <w:spacing w:after="0"/>
              <w:rPr>
                <w:sz w:val="20"/>
                <w:szCs w:val="20"/>
                <w:color w:val="auto"/>
              </w:rPr>
            </w:pPr>
            <w:r>
              <w:rPr>
                <w:rFonts w:ascii="Arial" w:cs="Arial" w:eastAsia="Arial" w:hAnsi="Arial"/>
                <w:sz w:val="18"/>
                <w:szCs w:val="18"/>
                <w:color w:val="auto"/>
              </w:rPr>
              <w:t>GMG</w:t>
            </w:r>
          </w:p>
        </w:tc>
        <w:tc>
          <w:tcPr>
            <w:tcW w:w="7020" w:type="dxa"/>
            <w:vAlign w:val="bottom"/>
            <w:shd w:val="clear" w:color="auto" w:fill="F4F4F4"/>
          </w:tcPr>
          <w:p>
            <w:pPr>
              <w:spacing w:after="0"/>
              <w:rPr>
                <w:sz w:val="19"/>
                <w:szCs w:val="19"/>
                <w:color w:val="auto"/>
              </w:rPr>
            </w:pP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93,339</w:t>
            </w:r>
          </w:p>
        </w:tc>
        <w:tc>
          <w:tcPr>
            <w:tcW w:w="34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95,453</w:t>
            </w:r>
          </w:p>
        </w:tc>
        <w:tc>
          <w:tcPr>
            <w:tcW w:w="20" w:type="dxa"/>
            <w:vAlign w:val="bottom"/>
          </w:tcPr>
          <w:p>
            <w:pPr>
              <w:spacing w:after="0"/>
              <w:rPr>
                <w:sz w:val="19"/>
                <w:szCs w:val="19"/>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EMG</w:t>
            </w:r>
          </w:p>
        </w:tc>
        <w:tc>
          <w:tcPr>
            <w:tcW w:w="7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89,527</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98,123</w:t>
            </w:r>
          </w:p>
        </w:tc>
        <w:tc>
          <w:tcPr>
            <w:tcW w:w="20" w:type="dxa"/>
            <w:vAlign w:val="bottom"/>
          </w:tcPr>
          <w:p>
            <w:pPr>
              <w:spacing w:after="0"/>
              <w:rPr>
                <w:sz w:val="19"/>
                <w:szCs w:val="19"/>
                <w:color w:val="auto"/>
              </w:rPr>
            </w:pPr>
          </w:p>
        </w:tc>
      </w:tr>
      <w:tr>
        <w:trPr>
          <w:trHeight w:val="230"/>
        </w:trPr>
        <w:tc>
          <w:tcPr>
            <w:tcW w:w="1600" w:type="dxa"/>
            <w:vAlign w:val="bottom"/>
            <w:shd w:val="clear" w:color="auto" w:fill="F4F4F4"/>
          </w:tcPr>
          <w:p>
            <w:pPr>
              <w:ind w:left="20"/>
              <w:spacing w:after="0"/>
              <w:rPr>
                <w:sz w:val="20"/>
                <w:szCs w:val="20"/>
                <w:color w:val="auto"/>
              </w:rPr>
            </w:pPr>
            <w:r>
              <w:rPr>
                <w:rFonts w:ascii="Arial" w:cs="Arial" w:eastAsia="Arial" w:hAnsi="Arial"/>
                <w:sz w:val="18"/>
                <w:szCs w:val="18"/>
                <w:color w:val="auto"/>
              </w:rPr>
              <w:t>IMG</w:t>
            </w:r>
          </w:p>
        </w:tc>
        <w:tc>
          <w:tcPr>
            <w:tcW w:w="7020" w:type="dxa"/>
            <w:vAlign w:val="bottom"/>
            <w:shd w:val="clear" w:color="auto" w:fill="F4F4F4"/>
          </w:tcPr>
          <w:p>
            <w:pPr>
              <w:spacing w:after="0"/>
              <w:rPr>
                <w:sz w:val="19"/>
                <w:szCs w:val="19"/>
                <w:color w:val="auto"/>
              </w:rPr>
            </w:pPr>
          </w:p>
        </w:tc>
        <w:tc>
          <w:tcPr>
            <w:tcW w:w="3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36,370</w:t>
            </w:r>
          </w:p>
        </w:tc>
        <w:tc>
          <w:tcPr>
            <w:tcW w:w="34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30,081</w:t>
            </w:r>
          </w:p>
        </w:tc>
        <w:tc>
          <w:tcPr>
            <w:tcW w:w="20" w:type="dxa"/>
            <w:vAlign w:val="bottom"/>
          </w:tcPr>
          <w:p>
            <w:pPr>
              <w:spacing w:after="0"/>
              <w:rPr>
                <w:sz w:val="19"/>
                <w:szCs w:val="19"/>
                <w:color w:val="auto"/>
              </w:rPr>
            </w:pPr>
          </w:p>
        </w:tc>
      </w:tr>
      <w:tr>
        <w:trPr>
          <w:trHeight w:val="230"/>
        </w:trPr>
        <w:tc>
          <w:tcPr>
            <w:tcW w:w="160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Other</w:t>
            </w:r>
          </w:p>
        </w:tc>
        <w:tc>
          <w:tcPr>
            <w:tcW w:w="7020" w:type="dxa"/>
            <w:vAlign w:val="bottom"/>
            <w:tcBorders>
              <w:bottom w:val="single" w:sz="8" w:color="F4F4F4"/>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23"/>
        </w:trPr>
        <w:tc>
          <w:tcPr>
            <w:tcW w:w="160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Total revenue</w:t>
            </w:r>
          </w:p>
        </w:tc>
        <w:tc>
          <w:tcPr>
            <w:tcW w:w="7020" w:type="dxa"/>
            <w:vAlign w:val="bottom"/>
            <w:tcBorders>
              <w:bottom w:val="single" w:sz="8" w:color="71BF43"/>
            </w:tcBorders>
            <w:shd w:val="clear" w:color="auto" w:fill="F4F4F4"/>
          </w:tcPr>
          <w:p>
            <w:pPr>
              <w:spacing w:after="0"/>
              <w:rPr>
                <w:sz w:val="19"/>
                <w:szCs w:val="19"/>
                <w:color w:val="auto"/>
              </w:rPr>
            </w:pPr>
          </w:p>
        </w:tc>
        <w:tc>
          <w:tcPr>
            <w:tcW w:w="360" w:type="dxa"/>
            <w:vAlign w:val="bottom"/>
            <w:tcBorders>
              <w:bottom w:val="single" w:sz="8" w:color="71BF43"/>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219,191</w:t>
            </w:r>
          </w:p>
        </w:tc>
        <w:tc>
          <w:tcPr>
            <w:tcW w:w="340" w:type="dxa"/>
            <w:vAlign w:val="bottom"/>
            <w:tcBorders>
              <w:bottom w:val="single" w:sz="8" w:color="71BF43"/>
            </w:tcBorders>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223,621</w:t>
            </w:r>
          </w:p>
        </w:tc>
        <w:tc>
          <w:tcPr>
            <w:tcW w:w="20" w:type="dxa"/>
            <w:vAlign w:val="bottom"/>
          </w:tcPr>
          <w:p>
            <w:pPr>
              <w:spacing w:after="0"/>
              <w:rPr>
                <w:sz w:val="19"/>
                <w:szCs w:val="19"/>
                <w:color w:val="auto"/>
              </w:rPr>
            </w:pPr>
          </w:p>
        </w:tc>
      </w:tr>
      <w:tr>
        <w:trPr>
          <w:trHeight w:val="372"/>
        </w:trPr>
        <w:tc>
          <w:tcPr>
            <w:tcW w:w="8620" w:type="dxa"/>
            <w:vAlign w:val="bottom"/>
            <w:gridSpan w:val="2"/>
          </w:tcPr>
          <w:p>
            <w:pPr>
              <w:spacing w:after="0"/>
              <w:rPr>
                <w:sz w:val="20"/>
                <w:szCs w:val="20"/>
                <w:color w:val="auto"/>
              </w:rPr>
            </w:pPr>
            <w:r>
              <w:rPr>
                <w:rFonts w:ascii="Arial" w:cs="Arial" w:eastAsia="Arial" w:hAnsi="Arial"/>
                <w:sz w:val="18"/>
                <w:szCs w:val="18"/>
                <w:color w:val="auto"/>
              </w:rPr>
              <w:t>The following table presents our recurring revenue by type: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600" w:type="dxa"/>
            <w:vAlign w:val="bottom"/>
          </w:tcPr>
          <w:p>
            <w:pPr>
              <w:spacing w:after="0"/>
              <w:rPr>
                <w:sz w:val="7"/>
                <w:szCs w:val="7"/>
                <w:color w:val="auto"/>
              </w:rPr>
            </w:pPr>
          </w:p>
        </w:tc>
        <w:tc>
          <w:tcPr>
            <w:tcW w:w="7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60" w:type="dxa"/>
            <w:vAlign w:val="bottom"/>
            <w:gridSpan w:val="3"/>
          </w:tcPr>
          <w:p>
            <w:pPr>
              <w:spacing w:after="0"/>
              <w:rPr>
                <w:sz w:val="7"/>
                <w:szCs w:val="7"/>
                <w:color w:val="auto"/>
              </w:rPr>
            </w:pPr>
          </w:p>
        </w:tc>
        <w:tc>
          <w:tcPr>
            <w:tcW w:w="20" w:type="dxa"/>
            <w:vAlign w:val="bottom"/>
          </w:tcPr>
          <w:p>
            <w:pPr>
              <w:spacing w:after="0"/>
              <w:rPr>
                <w:sz w:val="7"/>
                <w:szCs w:val="7"/>
                <w:color w:val="auto"/>
              </w:rPr>
            </w:pPr>
          </w:p>
        </w:tc>
      </w:tr>
      <w:tr>
        <w:trPr>
          <w:trHeight w:val="162"/>
        </w:trPr>
        <w:tc>
          <w:tcPr>
            <w:tcW w:w="1600" w:type="dxa"/>
            <w:vAlign w:val="bottom"/>
            <w:shd w:val="clear" w:color="auto" w:fill="ACACAC"/>
          </w:tcPr>
          <w:p>
            <w:pPr>
              <w:spacing w:after="0"/>
              <w:rPr>
                <w:sz w:val="14"/>
                <w:szCs w:val="14"/>
                <w:color w:val="auto"/>
              </w:rPr>
            </w:pPr>
          </w:p>
        </w:tc>
        <w:tc>
          <w:tcPr>
            <w:tcW w:w="702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22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6"/>
        </w:trPr>
        <w:tc>
          <w:tcPr>
            <w:tcW w:w="1600" w:type="dxa"/>
            <w:vAlign w:val="bottom"/>
            <w:shd w:val="clear" w:color="auto" w:fill="ACACAC"/>
          </w:tcPr>
          <w:p>
            <w:pPr>
              <w:spacing w:after="0"/>
              <w:rPr>
                <w:sz w:val="15"/>
                <w:szCs w:val="15"/>
                <w:color w:val="auto"/>
              </w:rPr>
            </w:pPr>
          </w:p>
        </w:tc>
        <w:tc>
          <w:tcPr>
            <w:tcW w:w="7020" w:type="dxa"/>
            <w:vAlign w:val="bottom"/>
            <w:shd w:val="clear" w:color="auto" w:fill="ACACAC"/>
          </w:tcPr>
          <w:p>
            <w:pPr>
              <w:spacing w:after="0"/>
              <w:rPr>
                <w:sz w:val="15"/>
                <w:szCs w:val="15"/>
                <w:color w:val="auto"/>
              </w:rPr>
            </w:pPr>
          </w:p>
        </w:tc>
        <w:tc>
          <w:tcPr>
            <w:tcW w:w="360" w:type="dxa"/>
            <w:vAlign w:val="bottom"/>
            <w:shd w:val="clear" w:color="auto" w:fill="ACACAC"/>
          </w:tcPr>
          <w:p>
            <w:pPr>
              <w:spacing w:after="0"/>
              <w:rPr>
                <w:sz w:val="15"/>
                <w:szCs w:val="15"/>
                <w:color w:val="auto"/>
              </w:rPr>
            </w:pPr>
          </w:p>
        </w:tc>
        <w:tc>
          <w:tcPr>
            <w:tcW w:w="96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03"/>
        </w:trPr>
        <w:tc>
          <w:tcPr>
            <w:tcW w:w="1600" w:type="dxa"/>
            <w:vAlign w:val="bottom"/>
            <w:tcBorders>
              <w:bottom w:val="single" w:sz="8" w:color="F4F4F4"/>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020" w:type="dxa"/>
            <w:vAlign w:val="bottom"/>
            <w:tcBorders>
              <w:bottom w:val="single" w:sz="8" w:color="F4F4F4"/>
            </w:tcBorders>
            <w:shd w:val="clear" w:color="auto" w:fill="ACACAC"/>
          </w:tcPr>
          <w:p>
            <w:pPr>
              <w:spacing w:after="0"/>
              <w:rPr>
                <w:sz w:val="17"/>
                <w:szCs w:val="17"/>
                <w:color w:val="auto"/>
              </w:rPr>
            </w:pPr>
          </w:p>
        </w:tc>
        <w:tc>
          <w:tcPr>
            <w:tcW w:w="360" w:type="dxa"/>
            <w:vAlign w:val="bottom"/>
            <w:tcBorders>
              <w:bottom w:val="single" w:sz="8" w:color="ACACAC"/>
            </w:tcBorders>
            <w:shd w:val="clear" w:color="auto" w:fill="ACACAC"/>
          </w:tcPr>
          <w:p>
            <w:pPr>
              <w:spacing w:after="0"/>
              <w:rPr>
                <w:sz w:val="17"/>
                <w:szCs w:val="17"/>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tcBorders>
              <w:bottom w:val="single" w:sz="8" w:color="ACACAC"/>
            </w:tcBorders>
            <w:shd w:val="clear" w:color="auto" w:fill="ACACAC"/>
          </w:tcPr>
          <w:p>
            <w:pPr>
              <w:spacing w:after="0"/>
              <w:rPr>
                <w:sz w:val="17"/>
                <w:szCs w:val="17"/>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23"/>
        </w:trPr>
        <w:tc>
          <w:tcPr>
            <w:tcW w:w="8620" w:type="dxa"/>
            <w:vAlign w:val="bottom"/>
            <w:gridSpan w:val="2"/>
            <w:shd w:val="clear" w:color="auto" w:fill="F4F4F4"/>
          </w:tcPr>
          <w:p>
            <w:pPr>
              <w:ind w:left="20"/>
              <w:spacing w:after="0"/>
              <w:rPr>
                <w:sz w:val="20"/>
                <w:szCs w:val="20"/>
                <w:color w:val="auto"/>
              </w:rPr>
            </w:pPr>
            <w:r>
              <w:rPr>
                <w:rFonts w:ascii="Arial" w:cs="Arial" w:eastAsia="Arial" w:hAnsi="Arial"/>
                <w:sz w:val="18"/>
                <w:szCs w:val="18"/>
                <w:color w:val="auto"/>
              </w:rPr>
              <w:t>Contractual recurring</w:t>
            </w:r>
          </w:p>
        </w:tc>
        <w:tc>
          <w:tcPr>
            <w:tcW w:w="36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146,821</w:t>
            </w:r>
          </w:p>
        </w:tc>
        <w:tc>
          <w:tcPr>
            <w:tcW w:w="340" w:type="dxa"/>
            <w:vAlign w:val="bottom"/>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147,744</w:t>
            </w:r>
          </w:p>
        </w:tc>
        <w:tc>
          <w:tcPr>
            <w:tcW w:w="20" w:type="dxa"/>
            <w:vAlign w:val="bottom"/>
          </w:tcPr>
          <w:p>
            <w:pPr>
              <w:spacing w:after="0"/>
              <w:rPr>
                <w:sz w:val="19"/>
                <w:szCs w:val="19"/>
                <w:color w:val="auto"/>
              </w:rPr>
            </w:pPr>
          </w:p>
        </w:tc>
      </w:tr>
      <w:tr>
        <w:trPr>
          <w:trHeight w:val="229"/>
        </w:trPr>
        <w:tc>
          <w:tcPr>
            <w:tcW w:w="8620" w:type="dxa"/>
            <w:vAlign w:val="bottom"/>
            <w:tcBorders>
              <w:bottom w:val="single" w:sz="8" w:color="F4F4F4"/>
            </w:tcBorders>
            <w:gridSpan w:val="2"/>
          </w:tcPr>
          <w:p>
            <w:pPr>
              <w:ind w:left="20"/>
              <w:spacing w:after="0"/>
              <w:rPr>
                <w:sz w:val="20"/>
                <w:szCs w:val="20"/>
                <w:color w:val="auto"/>
              </w:rPr>
            </w:pPr>
            <w:r>
              <w:rPr>
                <w:rFonts w:ascii="Arial" w:cs="Arial" w:eastAsia="Arial" w:hAnsi="Arial"/>
                <w:sz w:val="18"/>
                <w:szCs w:val="18"/>
                <w:color w:val="auto"/>
              </w:rPr>
              <w:t>Transactional recurring</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57,123</w:t>
            </w:r>
          </w:p>
        </w:tc>
        <w:tc>
          <w:tcPr>
            <w:tcW w:w="20" w:type="dxa"/>
            <w:vAlign w:val="bottom"/>
          </w:tcPr>
          <w:p>
            <w:pPr>
              <w:spacing w:after="0"/>
              <w:rPr>
                <w:sz w:val="19"/>
                <w:szCs w:val="19"/>
                <w:color w:val="auto"/>
              </w:rPr>
            </w:pPr>
          </w:p>
        </w:tc>
      </w:tr>
      <w:tr>
        <w:trPr>
          <w:trHeight w:val="223"/>
        </w:trPr>
        <w:tc>
          <w:tcPr>
            <w:tcW w:w="8620" w:type="dxa"/>
            <w:vAlign w:val="bottom"/>
            <w:tcBorders>
              <w:bottom w:val="single" w:sz="8" w:color="8CBE4F"/>
            </w:tcBorders>
            <w:gridSpan w:val="2"/>
            <w:shd w:val="clear" w:color="auto" w:fill="F4F4F4"/>
          </w:tcPr>
          <w:p>
            <w:pPr>
              <w:ind w:left="140"/>
              <w:spacing w:after="0"/>
              <w:rPr>
                <w:sz w:val="20"/>
                <w:szCs w:val="20"/>
                <w:color w:val="auto"/>
              </w:rPr>
            </w:pPr>
            <w:r>
              <w:rPr>
                <w:rFonts w:ascii="Arial" w:cs="Arial" w:eastAsia="Arial" w:hAnsi="Arial"/>
                <w:sz w:val="18"/>
                <w:szCs w:val="18"/>
                <w:color w:val="auto"/>
              </w:rPr>
              <w:t>Total recurring revenue</w:t>
            </w:r>
          </w:p>
        </w:tc>
        <w:tc>
          <w:tcPr>
            <w:tcW w:w="360" w:type="dxa"/>
            <w:vAlign w:val="bottom"/>
            <w:tcBorders>
              <w:bottom w:val="single" w:sz="8" w:color="8CBE4F"/>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206,750</w:t>
            </w:r>
          </w:p>
        </w:tc>
        <w:tc>
          <w:tcPr>
            <w:tcW w:w="340" w:type="dxa"/>
            <w:vAlign w:val="bottom"/>
            <w:tcBorders>
              <w:bottom w:val="single" w:sz="8" w:color="8CBE4F"/>
            </w:tcBorders>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8CBE4F"/>
            </w:tcBorders>
            <w:shd w:val="clear" w:color="auto" w:fill="F4F4F4"/>
          </w:tcPr>
          <w:p>
            <w:pPr>
              <w:jc w:val="right"/>
              <w:spacing w:after="0"/>
              <w:rPr>
                <w:sz w:val="20"/>
                <w:szCs w:val="20"/>
                <w:color w:val="auto"/>
              </w:rPr>
            </w:pPr>
            <w:r>
              <w:rPr>
                <w:rFonts w:ascii="Arial" w:cs="Arial" w:eastAsia="Arial" w:hAnsi="Arial"/>
                <w:sz w:val="18"/>
                <w:szCs w:val="18"/>
                <w:color w:val="auto"/>
              </w:rPr>
              <w:t>204,867</w:t>
            </w:r>
          </w:p>
        </w:tc>
        <w:tc>
          <w:tcPr>
            <w:tcW w:w="20" w:type="dxa"/>
            <w:vAlign w:val="bottom"/>
          </w:tcPr>
          <w:p>
            <w:pPr>
              <w:spacing w:after="0"/>
              <w:rPr>
                <w:sz w:val="19"/>
                <w:szCs w:val="19"/>
                <w:color w:val="auto"/>
              </w:rPr>
            </w:pPr>
          </w:p>
        </w:tc>
      </w:tr>
      <w:tr>
        <w:trPr>
          <w:trHeight w:val="616"/>
        </w:trPr>
        <w:tc>
          <w:tcPr>
            <w:tcW w:w="1600" w:type="dxa"/>
            <w:vAlign w:val="bottom"/>
          </w:tcPr>
          <w:p>
            <w:pPr>
              <w:ind w:left="20"/>
              <w:spacing w:after="0"/>
              <w:rPr>
                <w:sz w:val="20"/>
                <w:szCs w:val="20"/>
                <w:color w:val="auto"/>
              </w:rPr>
            </w:pPr>
            <w:r>
              <w:rPr>
                <w:rFonts w:ascii="Arial" w:cs="Arial" w:eastAsia="Arial" w:hAnsi="Arial"/>
                <w:sz w:val="14"/>
                <w:szCs w:val="14"/>
                <w:color w:val="auto"/>
              </w:rPr>
              <w:t>20</w:t>
            </w:r>
          </w:p>
        </w:tc>
        <w:tc>
          <w:tcPr>
            <w:tcW w:w="7020" w:type="dxa"/>
            <w:vAlign w:val="bottom"/>
          </w:tcPr>
          <w:p>
            <w:pPr>
              <w:ind w:left="40"/>
              <w:spacing w:after="0"/>
              <w:rPr>
                <w:sz w:val="20"/>
                <w:szCs w:val="20"/>
                <w:color w:val="auto"/>
              </w:rPr>
            </w:pPr>
            <w:r>
              <w:rPr>
                <w:rFonts w:ascii="Arial" w:cs="Arial" w:eastAsia="Arial" w:hAnsi="Arial"/>
                <w:sz w:val="14"/>
                <w:szCs w:val="14"/>
                <w:color w:val="auto"/>
              </w:rPr>
              <w:t>First Quarter 2021 Form 10-Q</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3"/>
        </w:trPr>
        <w:tc>
          <w:tcPr>
            <w:tcW w:w="160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-2580005</wp:posOffset>
            </wp:positionV>
            <wp:extent cx="1671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-1190625</wp:posOffset>
            </wp:positionV>
            <wp:extent cx="1671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1" w:lineRule="exact"/>
        <w:rPr>
          <w:sz w:val="20"/>
          <w:szCs w:val="20"/>
          <w:color w:val="auto"/>
        </w:rPr>
      </w:pPr>
    </w:p>
    <w:p>
      <w:pPr>
        <w:ind w:right="1600"/>
        <w:spacing w:after="0" w:line="278" w:lineRule="auto"/>
        <w:rPr>
          <w:sz w:val="20"/>
          <w:szCs w:val="20"/>
          <w:color w:val="auto"/>
        </w:rPr>
      </w:pPr>
      <w:r>
        <w:rPr>
          <w:rFonts w:ascii="Arial" w:cs="Arial" w:eastAsia="Arial" w:hAnsi="Arial"/>
          <w:sz w:val="29"/>
          <w:szCs w:val="29"/>
          <w:b w:val="1"/>
          <w:bCs w:val="1"/>
          <w:color w:val="71BF43"/>
        </w:rPr>
        <w:t>ITEM 2. MANAGEMENT'S DISCUSSION AND ANALYSIS OF FINANCIAL CONDITION AND RESULTS OF OPERATIONS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condensed consolidated financial statements and related notes which are primarily denominated in thousands of dollars.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nearly four decades, we are headquartered in Charleston, South Carolina, and have operations in the United States, Australia, Canada, Costa Rica and the United Kingdom.</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other transactional-type services; (iii) providing software maintenance and support services; and (iv) providing professional services, including implementation, consulting, training, analytic and other services.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economic impact of COVID-19 on the social good industry remains uncertain. If our existing and prospective customers remain cautious in their purchase decisions, our operating environment may continue to be challenging for the remainder of 2021 and potentially beyond. Notwithstanding these conditions, we remain focused on continuing to execute our four-point strategy and strengthening our leadership position.</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expected and previously disclosed, our bookings shortfalls that began at the start of the pandemic in March 2020 are putting pressure on our contractual recurring revenue growth in the near-term. However, we are optimistic this pressure will abate as we progress through 2021. We had a solid bookings performance in the first quarter of 2021, which was favorable to our plan and our first quarter 2020 bookings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165735</wp:posOffset>
            </wp:positionV>
            <wp:extent cx="26543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73" w:lineRule="exact"/>
        <w:rPr>
          <w:sz w:val="20"/>
          <w:szCs w:val="20"/>
          <w:color w:val="auto"/>
        </w:rPr>
      </w:pPr>
    </w:p>
    <w:p>
      <w:pPr>
        <w:ind w:left="1300" w:hanging="471"/>
        <w:spacing w:after="0"/>
        <w:tabs>
          <w:tab w:leader="none" w:pos="1300" w:val="left"/>
        </w:tabs>
        <w:numPr>
          <w:ilvl w:val="0"/>
          <w:numId w:val="9"/>
        </w:numPr>
        <w:rPr>
          <w:rFonts w:ascii="Arial" w:cs="Arial" w:eastAsia="Arial" w:hAnsi="Arial"/>
          <w:sz w:val="18"/>
          <w:szCs w:val="18"/>
          <w:b w:val="1"/>
          <w:bCs w:val="1"/>
          <w:color w:val="FFFFFF"/>
        </w:rPr>
      </w:pPr>
      <w:r>
        <w:rPr>
          <w:rFonts w:ascii="Arial" w:cs="Arial" w:eastAsia="Arial" w:hAnsi="Arial"/>
          <w:sz w:val="18"/>
          <w:szCs w:val="18"/>
          <w:b w:val="1"/>
          <w:bCs w:val="1"/>
          <w:color w:val="auto"/>
        </w:rPr>
        <w:t>Expand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114300</wp:posOffset>
            </wp:positionV>
            <wp:extent cx="265430" cy="196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0"/>
        </w:numPr>
        <w:rPr>
          <w:rFonts w:ascii="Arial" w:cs="Arial" w:eastAsia="Arial" w:hAnsi="Arial"/>
          <w:sz w:val="18"/>
          <w:szCs w:val="18"/>
          <w:b w:val="1"/>
          <w:bCs w:val="1"/>
          <w:color w:val="FFFFFF"/>
        </w:rPr>
      </w:pPr>
      <w:r>
        <w:rPr>
          <w:rFonts w:ascii="Arial" w:cs="Arial" w:eastAsia="Arial" w:hAnsi="Arial"/>
          <w:sz w:val="18"/>
          <w:szCs w:val="18"/>
          <w:b w:val="1"/>
          <w:bCs w:val="1"/>
          <w:color w:val="auto"/>
        </w:rPr>
        <w:t>Lead with World Class Teams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114300</wp:posOffset>
            </wp:positionV>
            <wp:extent cx="26543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1"/>
          <w:numId w:val="11"/>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auto"/>
        </w:rPr>
        <w:t>Focus on Employees, Culture and ESG Initiatives</w:t>
      </w:r>
    </w:p>
    <w:p>
      <w:pPr>
        <w:spacing w:after="0" w:line="215" w:lineRule="exact"/>
        <w:rPr>
          <w:rFonts w:ascii="Arial" w:cs="Arial" w:eastAsia="Arial" w:hAnsi="Arial"/>
          <w:sz w:val="18"/>
          <w:szCs w:val="18"/>
          <w:b w:val="1"/>
          <w:bCs w:val="1"/>
          <w:color w:val="FFFFFF"/>
        </w:rPr>
      </w:pPr>
    </w:p>
    <w:p>
      <w:pPr>
        <w:ind w:left="320" w:hanging="312"/>
        <w:spacing w:after="0"/>
        <w:tabs>
          <w:tab w:leader="none" w:pos="3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Expand Total Addressable Market ("TAM")</w:t>
      </w:r>
    </w:p>
    <w:p>
      <w:pPr>
        <w:spacing w:after="0" w:line="189" w:lineRule="exact"/>
        <w:rPr>
          <w:rFonts w:ascii="Arial" w:cs="Arial" w:eastAsia="Arial" w:hAnsi="Arial"/>
          <w:sz w:val="18"/>
          <w:szCs w:val="18"/>
          <w:i w:val="1"/>
          <w:iCs w:val="1"/>
          <w:color w:val="auto"/>
        </w:rPr>
      </w:pPr>
    </w:p>
    <w:p>
      <w:pPr>
        <w:ind w:left="340"/>
        <w:spacing w:after="0" w:line="261" w:lineRule="auto"/>
        <w:rPr>
          <w:rFonts w:ascii="Arial" w:cs="Arial" w:eastAsia="Arial" w:hAnsi="Arial"/>
          <w:sz w:val="18"/>
          <w:szCs w:val="18"/>
          <w:i w:val="1"/>
          <w:iCs w:val="1"/>
          <w:color w:val="auto"/>
        </w:rPr>
      </w:pPr>
      <w:r>
        <w:rPr>
          <w:rFonts w:ascii="Arial" w:cs="Arial" w:eastAsia="Arial" w:hAnsi="Arial"/>
          <w:sz w:val="18"/>
          <w:szCs w:val="18"/>
          <w:color w:val="auto"/>
        </w:rPr>
        <w:t>We remain active in the evaluation of opportunities to further expand our addressable market through acquisitions and internal product development. We have significant opportunities in front of us as we are less than 10% penetrated into a TAM of over $10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-824865</wp:posOffset>
            </wp:positionV>
            <wp:extent cx="26543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5430" cy="1968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302"/>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Lead with World Class Teams and Operations</w:t>
      </w:r>
    </w:p>
    <w:p>
      <w:pPr>
        <w:spacing w:after="0" w:line="189" w:lineRule="exact"/>
        <w:rPr>
          <w:rFonts w:ascii="Arial" w:cs="Arial" w:eastAsia="Arial" w:hAnsi="Arial"/>
          <w:sz w:val="18"/>
          <w:szCs w:val="18"/>
          <w:i w:val="1"/>
          <w:iCs w:val="1"/>
          <w:color w:val="auto"/>
        </w:rPr>
      </w:pPr>
    </w:p>
    <w:p>
      <w:pPr>
        <w:jc w:val="both"/>
        <w:ind w:left="3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This strategy expands upon our previous strategies to drive sales effectiveness and improve operating efficiency to include improving overall company performance as measured by the Rule of 40 (see discussion of Non-GAAP Financial Measures below). We have a strong executive team that is delivering on our mission and executing on our strategy. We have talent across our company, at every level, who are aligned with these goals as well.</w:t>
      </w:r>
    </w:p>
    <w:p>
      <w:pPr>
        <w:spacing w:after="0" w:line="131" w:lineRule="exact"/>
        <w:rPr>
          <w:rFonts w:ascii="Arial" w:cs="Arial" w:eastAsia="Arial" w:hAnsi="Arial"/>
          <w:sz w:val="18"/>
          <w:szCs w:val="18"/>
          <w:i w:val="1"/>
          <w:iCs w:val="1"/>
          <w:color w:val="auto"/>
        </w:rPr>
      </w:pPr>
    </w:p>
    <w:p>
      <w:pPr>
        <w:ind w:left="320" w:hanging="312"/>
        <w:spacing w:after="0"/>
        <w:tabs>
          <w:tab w:leader="none" w:pos="3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2020 required unprecedented speed and scale to support our customers, and we were quick to reprioritize and expedite product enhancements to support our customers' changing needs as they needed to operate more digitally. We have carried that momentum into 2021. For example, we upgraded virtually all of our Blackbaud Grantmaking customers to a new SKY UX version in just one month's time. This helps alleviate our customers' IT burden, improves data security with multi-factor authentication and provides freedom and flexibility to access advanced grant management technology anywhere via any browser on any device. With more veteran grantmakers using mobile technology and a younger generation of grantmakers emerging in the philanthropic community, providing convenient access to grant data and grant management tools will continue to be critical for success. Blackbaud plays a critical role in accelerating our customers' move to the cloud. In higher education, with the COVID-19 pandemic accelerating the need for powerful cloud-based systems that allow for easier collaboration, Blackbaud CRM has been the trusted CRM solution for a growing number of institutions to support their overall advancement needs.</w:t>
      </w:r>
    </w:p>
    <w:p>
      <w:pPr>
        <w:spacing w:after="0" w:line="139" w:lineRule="exact"/>
        <w:rPr>
          <w:rFonts w:ascii="Arial" w:cs="Arial" w:eastAsia="Arial" w:hAnsi="Arial"/>
          <w:sz w:val="18"/>
          <w:szCs w:val="18"/>
          <w:i w:val="1"/>
          <w:iCs w:val="1"/>
          <w:color w:val="auto"/>
        </w:rPr>
      </w:pPr>
    </w:p>
    <w:p>
      <w:pPr>
        <w:ind w:left="320" w:hanging="312"/>
        <w:spacing w:after="0"/>
        <w:tabs>
          <w:tab w:leader="none" w:pos="3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Focus on Employees, Culture and ESG Initiatives</w:t>
      </w:r>
    </w:p>
    <w:p>
      <w:pPr>
        <w:spacing w:after="0" w:line="189" w:lineRule="exact"/>
        <w:rPr>
          <w:rFonts w:ascii="Arial" w:cs="Arial" w:eastAsia="Arial" w:hAnsi="Arial"/>
          <w:sz w:val="18"/>
          <w:szCs w:val="18"/>
          <w:i w:val="1"/>
          <w:iCs w:val="1"/>
          <w:color w:val="auto"/>
        </w:rPr>
      </w:pPr>
    </w:p>
    <w:p>
      <w:pPr>
        <w:jc w:val="both"/>
        <w:ind w:left="3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During the first quarter of 2021, we elevated a specific strategy focused on employees, culture and ESG initiatives. This is not new for us. It is something that has been in our DNA for a long time and is a big advantage as we look to attract and retain top talent. This is evident in our 2020 social responsibility report, which was released in April 2021, and demonstrates how we responded to the unique challenges the pandemic created for our employees, customers, and communities. We also expanded this year's report to include voluntary ESG reporting disclosures that align with the Sustainability Accounting Standards Board and Global Reporting Initiative. One highlight from the report is that the Company is comprised of 46% female employees and 54% male employees, which is an industry-leading ratio. We are fully committed to continuing to create a diverse and inclusive environment at all levels of the organization.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8"/>
              </w:rPr>
              <w:t>Total revenue ($M)</w:t>
            </w:r>
          </w:p>
        </w:tc>
        <w:tc>
          <w:tcPr>
            <w:tcW w:w="66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Income from operations ($M)</w:t>
            </w:r>
          </w:p>
        </w:tc>
      </w:tr>
      <w:tr>
        <w:trPr>
          <w:trHeight w:val="251"/>
        </w:trPr>
        <w:tc>
          <w:tcPr>
            <w:tcW w:w="4940" w:type="dxa"/>
            <w:vAlign w:val="bottom"/>
            <w:gridSpan w:val="2"/>
          </w:tcPr>
          <w:p>
            <w:pPr>
              <w:jc w:val="center"/>
              <w:ind w:right="640"/>
              <w:spacing w:after="0"/>
              <w:rPr>
                <w:sz w:val="20"/>
                <w:szCs w:val="20"/>
                <w:color w:val="auto"/>
              </w:rPr>
            </w:pPr>
            <w:r>
              <w:rPr>
                <w:rFonts w:ascii="Arial" w:cs="Arial" w:eastAsia="Arial" w:hAnsi="Arial"/>
                <w:sz w:val="14"/>
                <w:szCs w:val="14"/>
                <w:color w:val="auto"/>
              </w:rPr>
              <w:t>YoY Growth (%)</w:t>
            </w:r>
          </w:p>
        </w:tc>
        <w:tc>
          <w:tcPr>
            <w:tcW w:w="4300" w:type="dxa"/>
            <w:vAlign w:val="bottom"/>
          </w:tcPr>
          <w:p>
            <w:pPr>
              <w:jc w:val="center"/>
              <w:spacing w:after="0"/>
              <w:rPr>
                <w:sz w:val="20"/>
                <w:szCs w:val="20"/>
                <w:color w:val="auto"/>
              </w:rPr>
            </w:pPr>
            <w:r>
              <w:rPr>
                <w:rFonts w:ascii="Arial" w:cs="Arial" w:eastAsia="Arial" w:hAnsi="Arial"/>
                <w:sz w:val="14"/>
                <w:szCs w:val="14"/>
                <w:color w:val="auto"/>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187325</wp:posOffset>
            </wp:positionV>
            <wp:extent cx="5417820" cy="1423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1782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22</w:t>
      </w:r>
      <w:r>
        <w:rPr>
          <w:sz w:val="20"/>
          <w:szCs w:val="20"/>
          <w:color w:val="auto"/>
        </w:rPr>
        <w:tab/>
      </w:r>
      <w:r>
        <w:rPr>
          <w:sz w:val="1"/>
          <w:szCs w:val="1"/>
          <w:color w:val="auto"/>
        </w:rPr>
        <w:drawing>
          <wp:inline distT="0" distB="0" distL="0" distR="0">
            <wp:extent cx="651510" cy="1714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decreased by $4.4 million during the three months ended March 31, 2021, when compared to the same period in 2020, driven largely by the following:</w:t>
      </w:r>
    </w:p>
    <w:p>
      <w:pPr>
        <w:spacing w:after="0" w:line="117" w:lineRule="exact"/>
        <w:rPr>
          <w:sz w:val="20"/>
          <w:szCs w:val="20"/>
          <w:color w:val="auto"/>
        </w:rPr>
      </w:pPr>
    </w:p>
    <w:p>
      <w:pPr>
        <w:jc w:val="both"/>
        <w:ind w:left="700" w:right="20" w:hanging="351"/>
        <w:spacing w:after="0" w:line="215"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in one-time consulting revenue due primarily to less implementation and customization services. We changed our commission plans during the first quarter of 2020 to intentionally shift our sales teams' focus towards selling our cloud solutions. Additionally, the bookings shortfalls during 2020 caused by the COVID-19 pandemic contributed to the decrease in one-time consulting revenue.</w:t>
      </w:r>
    </w:p>
    <w:p>
      <w:pPr>
        <w:spacing w:after="0" w:line="14" w:lineRule="exact"/>
        <w:rPr>
          <w:rFonts w:ascii="Arial" w:cs="Arial" w:eastAsia="Arial" w:hAnsi="Arial"/>
          <w:sz w:val="18"/>
          <w:szCs w:val="18"/>
          <w:color w:val="auto"/>
        </w:rPr>
      </w:pPr>
    </w:p>
    <w:p>
      <w:pPr>
        <w:ind w:left="700" w:hanging="35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 in one-time analytics revenue as analytics are generally integrated in our cloud solutions</w:t>
      </w:r>
    </w:p>
    <w:p>
      <w:pPr>
        <w:spacing w:after="0" w:line="23" w:lineRule="exact"/>
        <w:rPr>
          <w:sz w:val="20"/>
          <w:szCs w:val="20"/>
          <w:color w:val="auto"/>
        </w:rPr>
      </w:pPr>
    </w:p>
    <w:p>
      <w:pPr>
        <w:ind w:left="700" w:hanging="37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in recurring revenue related to an increase in transactional revenue related to charitable giving</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from operations decreased by $1.8 million during the three months ended March 31, 2021, when compared to the same period in 2020, driven largely by the following:</w:t>
      </w:r>
    </w:p>
    <w:p>
      <w:pPr>
        <w:spacing w:after="0" w:line="72" w:lineRule="exact"/>
        <w:rPr>
          <w:sz w:val="20"/>
          <w:szCs w:val="20"/>
          <w:color w:val="auto"/>
        </w:rPr>
      </w:pPr>
    </w:p>
    <w:p>
      <w:pPr>
        <w:ind w:left="700" w:hanging="35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in stock-based compensation costs of $16.4 million due to:</w:t>
      </w:r>
    </w:p>
    <w:p>
      <w:pPr>
        <w:ind w:left="1320" w:hanging="295"/>
        <w:spacing w:after="0" w:line="203" w:lineRule="auto"/>
        <w:tabs>
          <w:tab w:leader="none" w:pos="1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replacement of our annual cash bonus plans with a short-term performance-based equity award plan;</w:t>
      </w:r>
    </w:p>
    <w:p>
      <w:pPr>
        <w:ind w:left="1320" w:hanging="295"/>
        <w:spacing w:after="0" w:line="203" w:lineRule="auto"/>
        <w:tabs>
          <w:tab w:leader="none" w:pos="1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increases in the grant date fair values of our annual equity awards granted to employees;</w:t>
      </w:r>
    </w:p>
    <w:p>
      <w:pPr>
        <w:ind w:left="1320" w:hanging="295"/>
        <w:spacing w:after="0" w:line="203" w:lineRule="auto"/>
        <w:tabs>
          <w:tab w:leader="none" w:pos="1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response to COVID-19, replacement of our 2020 base salary merit increases with one-year time-based equity awards;</w:t>
      </w:r>
    </w:p>
    <w:p>
      <w:pPr>
        <w:ind w:left="1320" w:hanging="295"/>
        <w:spacing w:after="0" w:line="203" w:lineRule="auto"/>
        <w:tabs>
          <w:tab w:leader="none" w:pos="1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overall Company performance against 2020 goals; and</w:t>
      </w:r>
    </w:p>
    <w:p>
      <w:pPr>
        <w:ind w:left="1340" w:right="20" w:hanging="315"/>
        <w:spacing w:after="0" w:line="227" w:lineRule="auto"/>
        <w:tabs>
          <w:tab w:leader="none" w:pos="13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decrease in the vesting period for our annual long-term incentive time-based equity awards from 4 years (1/4 per year) to 3 years (1/3 per year), beginning in February 2021.</w:t>
      </w:r>
    </w:p>
    <w:p>
      <w:pPr>
        <w:spacing w:after="0" w:line="13" w:lineRule="exact"/>
        <w:rPr>
          <w:rFonts w:ascii="Arial" w:cs="Arial" w:eastAsia="Arial" w:hAnsi="Arial"/>
          <w:sz w:val="18"/>
          <w:szCs w:val="18"/>
          <w:color w:val="auto"/>
        </w:rPr>
      </w:pPr>
    </w:p>
    <w:p>
      <w:pPr>
        <w:ind w:left="700" w:hanging="35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 in total revenue, as described above</w:t>
      </w:r>
    </w:p>
    <w:p>
      <w:pPr>
        <w:spacing w:after="0" w:line="23" w:lineRule="exact"/>
        <w:rPr>
          <w:sz w:val="20"/>
          <w:szCs w:val="20"/>
          <w:color w:val="auto"/>
        </w:rPr>
      </w:pPr>
    </w:p>
    <w:p>
      <w:pPr>
        <w:ind w:left="700" w:hanging="373"/>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compensation costs other than stock-based compensation of $12.7 million primarily due to a decrease in headcount</w:t>
      </w:r>
    </w:p>
    <w:p>
      <w:pPr>
        <w:spacing w:after="0" w:line="22" w:lineRule="exact"/>
        <w:rPr>
          <w:rFonts w:ascii="Arial" w:cs="Arial" w:eastAsia="Arial" w:hAnsi="Arial"/>
          <w:sz w:val="18"/>
          <w:szCs w:val="18"/>
          <w:color w:val="auto"/>
        </w:rPr>
      </w:pPr>
    </w:p>
    <w:p>
      <w:pPr>
        <w:ind w:left="700" w:right="20" w:hanging="373"/>
        <w:spacing w:after="0" w:line="22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travel costs of $3.6 million due to our restriction on non-essential employee travel in response to the COVID-19 pandemic</w:t>
      </w:r>
    </w:p>
    <w:p>
      <w:pPr>
        <w:spacing w:after="0" w:line="13" w:lineRule="exact"/>
        <w:rPr>
          <w:rFonts w:ascii="Arial" w:cs="Arial" w:eastAsia="Arial" w:hAnsi="Arial"/>
          <w:sz w:val="18"/>
          <w:szCs w:val="18"/>
          <w:color w:val="auto"/>
        </w:rPr>
      </w:pPr>
    </w:p>
    <w:p>
      <w:pPr>
        <w:ind w:left="700" w:hanging="373"/>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$2.0 million</w:t>
      </w:r>
    </w:p>
    <w:p>
      <w:pPr>
        <w:spacing w:after="0" w:line="200" w:lineRule="exact"/>
        <w:rPr>
          <w:sz w:val="20"/>
          <w:szCs w:val="20"/>
          <w:color w:val="auto"/>
        </w:rPr>
      </w:pPr>
    </w:p>
    <w:p>
      <w:pPr>
        <w:spacing w:after="0" w:line="237"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26055" cy="13798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2605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For the twelve months ended March 31, 2021, approximately 93% of our customers with recurring revenue contracts were retained. This customer retention rate is unchanged from our rate for the full year ended December 31,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and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March 31, 2021, our cash and cash equivalents were $27.8 million and the carrying amount of our debt under the 2020 Credit Facility was $488.8 million. Our net leverage ratio was 1.79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8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2021, we generated $30.1 million in cash from operations, had a net increase in borrowings of $21.0 million, returned $28.1 million to stockholders by way of share repurchases and had aggregate cash outlays of $12.8 million for purchases of property and equipment and capitalized software development costs.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Recurring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Revenue ($M)</w:t>
            </w:r>
          </w:p>
        </w:tc>
        <w:tc>
          <w:tcPr>
            <w:tcW w:w="420" w:type="dxa"/>
            <w:vAlign w:val="bottom"/>
            <w:vMerge w:val="restart"/>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Cost of revenue ($M)</w:t>
            </w:r>
          </w:p>
        </w:tc>
        <w:tc>
          <w:tcPr>
            <w:tcW w:w="420" w:type="dxa"/>
            <w:vAlign w:val="bottom"/>
            <w:vMerge w:val="restart"/>
          </w:tcPr>
          <w:p>
            <w:pPr>
              <w:spacing w:after="0"/>
              <w:rPr>
                <w:sz w:val="17"/>
                <w:szCs w:val="17"/>
                <w:color w:val="auto"/>
              </w:rPr>
            </w:pP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Gross profit ($M)</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auto"/>
            </w:tcBorders>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2720" w:type="dxa"/>
            <w:vAlign w:val="bottom"/>
            <w:tcBorders>
              <w:bottom w:val="single" w:sz="8" w:color="auto"/>
            </w:tcBorders>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and gross margin (%)</w:t>
            </w:r>
          </w:p>
        </w:tc>
        <w:tc>
          <w:tcPr>
            <w:tcW w:w="0" w:type="dxa"/>
            <w:vAlign w:val="bottom"/>
          </w:tcPr>
          <w:p>
            <w:pPr>
              <w:spacing w:after="0"/>
              <w:rPr>
                <w:sz w:val="1"/>
                <w:szCs w:val="1"/>
                <w:color w:val="auto"/>
              </w:rPr>
            </w:pPr>
          </w:p>
        </w:tc>
      </w:tr>
      <w:tr>
        <w:trPr>
          <w:trHeight w:val="251"/>
        </w:trPr>
        <w:tc>
          <w:tcPr>
            <w:tcW w:w="320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YoY Growth (%)</w:t>
            </w:r>
          </w:p>
        </w:tc>
        <w:tc>
          <w:tcPr>
            <w:tcW w:w="3140" w:type="dxa"/>
            <w:vAlign w:val="bottom"/>
            <w:gridSpan w:val="2"/>
          </w:tcPr>
          <w:p>
            <w:pPr>
              <w:jc w:val="center"/>
              <w:ind w:right="420"/>
              <w:spacing w:after="0"/>
              <w:rPr>
                <w:sz w:val="20"/>
                <w:szCs w:val="20"/>
                <w:color w:val="auto"/>
              </w:rPr>
            </w:pPr>
            <w:r>
              <w:rPr>
                <w:rFonts w:ascii="Arial" w:cs="Arial" w:eastAsia="Arial" w:hAnsi="Arial"/>
                <w:sz w:val="14"/>
                <w:szCs w:val="14"/>
                <w:i w:val="1"/>
                <w:iCs w:val="1"/>
                <w:color w:val="auto"/>
              </w:rPr>
              <w:t>YoY Growth (%)</w:t>
            </w: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5812155" cy="1423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online training programs, subscription-based analytic services, such as donor acquisitions and data enrichment, and payment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Recurring revenue increased by $1.9 million or 0.9%, during the three months ended March 31, 2021, when compared to the same period in 2020, driven primarily by the following:</w:t>
      </w:r>
    </w:p>
    <w:p>
      <w:pPr>
        <w:spacing w:after="0" w:line="117" w:lineRule="exact"/>
        <w:rPr>
          <w:sz w:val="20"/>
          <w:szCs w:val="20"/>
          <w:color w:val="auto"/>
        </w:rPr>
      </w:pPr>
    </w:p>
    <w:p>
      <w:pPr>
        <w:ind w:left="720" w:right="40" w:hanging="373"/>
        <w:spacing w:after="0" w:line="22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transactional revenue of $2.8 million, primarily due to the continued shift toward virtual and online fundraising and charitable giving</w:t>
      </w:r>
    </w:p>
    <w:p>
      <w:pPr>
        <w:spacing w:after="0" w:line="13" w:lineRule="exact"/>
        <w:rPr>
          <w:sz w:val="20"/>
          <w:szCs w:val="20"/>
          <w:color w:val="auto"/>
        </w:rPr>
      </w:pPr>
    </w:p>
    <w:p>
      <w:pPr>
        <w:jc w:val="both"/>
        <w:ind w:left="720" w:right="40" w:hanging="350"/>
        <w:spacing w:after="0" w:line="21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contractual recurring revenue of $0.9 million largely due to a decrease in maintenance revenue related to our continuing efforts to migrate customers from legacy on-premises solutions onto our cloud solutions as well as the bookings shortfalls during 2020 resulting from COVID-19</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24</w:t>
      </w:r>
      <w:r>
        <w:rPr>
          <w:sz w:val="20"/>
          <w:szCs w:val="20"/>
          <w:color w:val="auto"/>
        </w:rPr>
        <w:tab/>
      </w:r>
      <w:r>
        <w:rPr>
          <w:sz w:val="1"/>
          <w:szCs w:val="1"/>
          <w:color w:val="auto"/>
        </w:rPr>
        <w:drawing>
          <wp:inline distT="0" distB="0" distL="0" distR="0">
            <wp:extent cx="651510" cy="1714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recurring revenue decreased by $0.7 million or 0.8%, during the three months ended March 31, 2021, when compared to the same period in 2020, driven primarily by the following:</w:t>
      </w:r>
    </w:p>
    <w:p>
      <w:pPr>
        <w:spacing w:after="0" w:line="117" w:lineRule="exact"/>
        <w:rPr>
          <w:sz w:val="20"/>
          <w:szCs w:val="20"/>
          <w:color w:val="auto"/>
        </w:rPr>
      </w:pPr>
    </w:p>
    <w:p>
      <w:pPr>
        <w:ind w:left="720" w:hanging="35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$1.7 million</w:t>
      </w:r>
    </w:p>
    <w:p>
      <w:pPr>
        <w:spacing w:after="0" w:line="22" w:lineRule="exact"/>
        <w:rPr>
          <w:rFonts w:ascii="Arial" w:cs="Arial" w:eastAsia="Arial" w:hAnsi="Arial"/>
          <w:sz w:val="18"/>
          <w:szCs w:val="18"/>
          <w:color w:val="auto"/>
        </w:rPr>
      </w:pPr>
    </w:p>
    <w:p>
      <w:pPr>
        <w:ind w:left="720" w:hanging="350"/>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Decreases in allocated facilities costs related to efficiencies in our real estate footprint, and third-party contractor costs</w:t>
      </w:r>
    </w:p>
    <w:p>
      <w:pPr>
        <w:spacing w:after="0" w:line="23" w:lineRule="exact"/>
        <w:rPr>
          <w:sz w:val="20"/>
          <w:szCs w:val="20"/>
          <w:color w:val="auto"/>
        </w:rPr>
      </w:pPr>
    </w:p>
    <w:p>
      <w:pPr>
        <w:ind w:left="720" w:right="40" w:hanging="373"/>
        <w:spacing w:after="0" w:line="22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compensation costs of $1.3 million primarily related to stock-based compensation due to the factors discussed above on page 23</w:t>
      </w:r>
    </w:p>
    <w:p>
      <w:pPr>
        <w:spacing w:after="0" w:line="13" w:lineRule="exact"/>
        <w:rPr>
          <w:rFonts w:ascii="Arial" w:cs="Arial" w:eastAsia="Arial" w:hAnsi="Arial"/>
          <w:sz w:val="18"/>
          <w:szCs w:val="18"/>
          <w:color w:val="auto"/>
        </w:rPr>
      </w:pPr>
    </w:p>
    <w:p>
      <w:pPr>
        <w:ind w:left="720" w:right="40" w:hanging="373"/>
        <w:spacing w:after="0" w:line="22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in amortization of software development costs of $1.0 million due to investments made on innovation, quality and the integration of our cloud solutions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Recurring gross margin increased by 0.7% for the three months ended March 31, 2021, when compared to the same period in 2020, primarily due to the increase in recurring revenue slightly outpacing the decrease in related costs.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Revenue ($M)</w:t>
            </w:r>
          </w:p>
        </w:tc>
        <w:tc>
          <w:tcPr>
            <w:tcW w:w="500" w:type="dxa"/>
            <w:vAlign w:val="bottom"/>
            <w:vMerge w:val="restart"/>
          </w:tcPr>
          <w:p>
            <w:pPr>
              <w:spacing w:after="0"/>
              <w:rPr>
                <w:sz w:val="24"/>
                <w:szCs w:val="24"/>
                <w:color w:val="auto"/>
              </w:rPr>
            </w:pPr>
          </w:p>
        </w:tc>
        <w:tc>
          <w:tcPr>
            <w:tcW w:w="2700" w:type="dxa"/>
            <w:vAlign w:val="bottom"/>
            <w:vMerge w:val="restart"/>
          </w:tcPr>
          <w:p>
            <w:pPr>
              <w:jc w:val="center"/>
              <w:spacing w:after="0"/>
              <w:rPr>
                <w:sz w:val="20"/>
                <w:szCs w:val="20"/>
                <w:color w:val="auto"/>
              </w:rPr>
            </w:pPr>
            <w:r>
              <w:rPr>
                <w:rFonts w:ascii="Arial" w:cs="Arial" w:eastAsia="Arial" w:hAnsi="Arial"/>
                <w:sz w:val="18"/>
                <w:szCs w:val="18"/>
                <w:i w:val="1"/>
                <w:iCs w:val="1"/>
                <w:color w:val="auto"/>
              </w:rPr>
              <w:t>Cost of revenue ($M)</w:t>
            </w:r>
          </w:p>
        </w:tc>
        <w:tc>
          <w:tcPr>
            <w:tcW w:w="500" w:type="dxa"/>
            <w:vAlign w:val="bottom"/>
            <w:vMerge w:val="restart"/>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700" w:type="dxa"/>
            <w:vAlign w:val="bottom"/>
            <w:tcBorders>
              <w:bottom w:val="single" w:sz="8" w:color="auto"/>
            </w:tcBorders>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and gross margin (%)</w:t>
            </w:r>
          </w:p>
        </w:tc>
        <w:tc>
          <w:tcPr>
            <w:tcW w:w="0" w:type="dxa"/>
            <w:vAlign w:val="bottom"/>
          </w:tcPr>
          <w:p>
            <w:pPr>
              <w:spacing w:after="0"/>
              <w:rPr>
                <w:sz w:val="1"/>
                <w:szCs w:val="1"/>
                <w:color w:val="auto"/>
              </w:rPr>
            </w:pPr>
          </w:p>
        </w:tc>
      </w:tr>
      <w:tr>
        <w:trPr>
          <w:trHeight w:val="252"/>
        </w:trPr>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4"/>
                <w:szCs w:val="14"/>
                <w:i w:val="1"/>
                <w:iCs w:val="1"/>
                <w:color w:val="auto"/>
              </w:rPr>
              <w:t>YoY Growth (%)</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5812155" cy="1423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fees from user conferences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costs of user conferences, allocated depreciation, facilities and IT support costs and amortization of intangible assets from business combinations.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One-time services and other revenue decreased by $6.3 million, or 33.7%, during the three months ended March 31, 2021, when compared to the same period in 2020, driven primarily by the following:</w:t>
      </w:r>
    </w:p>
    <w:p>
      <w:pPr>
        <w:spacing w:after="0" w:line="103" w:lineRule="exact"/>
        <w:rPr>
          <w:sz w:val="20"/>
          <w:szCs w:val="20"/>
          <w:color w:val="auto"/>
        </w:rPr>
      </w:pPr>
    </w:p>
    <w:p>
      <w:pPr>
        <w:jc w:val="both"/>
        <w:ind w:left="720" w:right="40" w:hanging="350"/>
        <w:spacing w:after="0" w:line="215"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one-time consulting revenue of $4.7 million due primarily to less implementation and customization services. We changed our commission plans during the first quarter of 2020 to intentionally shift our sales teams' focus towards selling our cloud solutions. Additionally, the bookings shortfalls during 2020 caused by the COVID-19 pandemic contributed to the decrease in one-time consulting revenue.</w:t>
      </w:r>
    </w:p>
    <w:p>
      <w:pPr>
        <w:spacing w:after="0" w:line="14" w:lineRule="exact"/>
        <w:rPr>
          <w:rFonts w:ascii="Arial" w:cs="Arial" w:eastAsia="Arial" w:hAnsi="Arial"/>
          <w:sz w:val="18"/>
          <w:szCs w:val="18"/>
          <w:color w:val="auto"/>
        </w:rPr>
      </w:pPr>
    </w:p>
    <w:p>
      <w:pPr>
        <w:ind w:left="720" w:hanging="350"/>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one-time analytics revenue of $1.0 million as analytics are generally integrated in our cloud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288925</wp:posOffset>
            </wp:positionV>
            <wp:extent cx="65976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0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one-time services and other decreased by $0.8 million, or 5.2%, during the three months ended March 31, 2021, when compared to the same periods in 2020, driven primarily by the following:</w:t>
      </w:r>
    </w:p>
    <w:p>
      <w:pPr>
        <w:spacing w:after="0" w:line="117" w:lineRule="exact"/>
        <w:rPr>
          <w:sz w:val="20"/>
          <w:szCs w:val="20"/>
          <w:color w:val="auto"/>
        </w:rPr>
      </w:pPr>
    </w:p>
    <w:p>
      <w:pPr>
        <w:ind w:left="720" w:hanging="35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compensation costs other than stock-based compensation of $1.3 million largely due to a decrease in headcount</w:t>
      </w:r>
    </w:p>
    <w:p>
      <w:pPr>
        <w:spacing w:after="0" w:line="22" w:lineRule="exact"/>
        <w:rPr>
          <w:rFonts w:ascii="Arial" w:cs="Arial" w:eastAsia="Arial" w:hAnsi="Arial"/>
          <w:sz w:val="18"/>
          <w:szCs w:val="18"/>
          <w:color w:val="auto"/>
        </w:rPr>
      </w:pPr>
    </w:p>
    <w:p>
      <w:pPr>
        <w:ind w:left="720" w:hanging="35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in third-party contractor costs of $0.7 million primarily due to the timing of our spending</w:t>
      </w:r>
    </w:p>
    <w:p>
      <w:pPr>
        <w:spacing w:after="0" w:line="23" w:lineRule="exact"/>
        <w:rPr>
          <w:sz w:val="20"/>
          <w:szCs w:val="20"/>
          <w:color w:val="auto"/>
        </w:rPr>
      </w:pPr>
    </w:p>
    <w:p>
      <w:pPr>
        <w:ind w:left="720" w:hanging="373"/>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in stock-based compensation costs of $2.6 million due to the factors discussed above on page 23</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gross margin decreased by 35.1% during the three months ended March 31, 2021, respectively, when compared to the same period in 2020, primarily due to the significant reductions in one-time consulting and analytics revenue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auto"/>
                <w:w w:val="99"/>
              </w:rPr>
              <w:t>Sales, marketing and</w:t>
            </w:r>
          </w:p>
        </w:tc>
        <w:tc>
          <w:tcPr>
            <w:tcW w:w="4040" w:type="dxa"/>
            <w:vAlign w:val="bottom"/>
            <w:vMerge w:val="restart"/>
          </w:tcPr>
          <w:p>
            <w:pPr>
              <w:ind w:left="680"/>
              <w:spacing w:after="0"/>
              <w:rPr>
                <w:sz w:val="20"/>
                <w:szCs w:val="20"/>
                <w:color w:val="auto"/>
              </w:rPr>
            </w:pPr>
            <w:r>
              <w:rPr>
                <w:rFonts w:ascii="Arial" w:cs="Arial" w:eastAsia="Arial" w:hAnsi="Arial"/>
                <w:sz w:val="18"/>
                <w:szCs w:val="18"/>
                <w:i w:val="1"/>
                <w:iCs w:val="1"/>
                <w:color w:val="auto"/>
              </w:rPr>
              <w:t>Research and development ($M)</w:t>
            </w:r>
          </w:p>
        </w:tc>
        <w:tc>
          <w:tcPr>
            <w:tcW w:w="2640" w:type="dxa"/>
            <w:vAlign w:val="bottom"/>
          </w:tcPr>
          <w:p>
            <w:pPr>
              <w:jc w:val="center"/>
              <w:ind w:right="90"/>
              <w:spacing w:after="0"/>
              <w:rPr>
                <w:sz w:val="20"/>
                <w:szCs w:val="20"/>
                <w:color w:val="auto"/>
              </w:rPr>
            </w:pPr>
            <w:r>
              <w:rPr>
                <w:rFonts w:ascii="Arial" w:cs="Arial" w:eastAsia="Arial" w:hAnsi="Arial"/>
                <w:sz w:val="18"/>
                <w:szCs w:val="18"/>
                <w:i w:val="1"/>
                <w:iCs w:val="1"/>
                <w:color w:val="auto"/>
                <w:w w:val="99"/>
              </w:rPr>
              <w:t>General and administrative</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i w:val="1"/>
                <w:iCs w:val="1"/>
                <w:color w:val="auto"/>
                <w:w w:val="99"/>
              </w:rPr>
              <w:t>customer success ($M)</w:t>
            </w:r>
          </w:p>
        </w:tc>
        <w:tc>
          <w:tcPr>
            <w:tcW w:w="4040" w:type="dxa"/>
            <w:vAlign w:val="bottom"/>
            <w:tcBorders>
              <w:bottom w:val="single" w:sz="8" w:color="auto"/>
            </w:tcBorders>
            <w:vMerge w:val="continue"/>
          </w:tcPr>
          <w:p>
            <w:pPr>
              <w:spacing w:after="0"/>
              <w:rPr>
                <w:sz w:val="19"/>
                <w:szCs w:val="19"/>
                <w:color w:val="auto"/>
              </w:rPr>
            </w:pPr>
          </w:p>
        </w:tc>
        <w:tc>
          <w:tcPr>
            <w:tcW w:w="26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i w:val="1"/>
                <w:iCs w:val="1"/>
                <w:color w:val="auto"/>
              </w:rPr>
              <w:t>($M)</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4040" w:type="dxa"/>
            <w:vAlign w:val="bottom"/>
          </w:tcPr>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5812155" cy="1423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We have also implemented software tools to enhance our digital footprint and drive lead generation. In response to the COVID-19 pandemic, we implemented a modest and targeted headcount reduction during the second quarter of 2020, including a reduction in our sales headcount with a focus on retaining our most highly productive sales executives. The enhancements we are making in our go-to-market approach are expected to significantly reduce the payback period for our customer acquisition costs while increasing sales velocity. As a result, we do not expect our sales, marketing and customer success expense to return to pre-pandemic levels.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marketing and customer success expense decreased by $9.9 million or 16.9%, during the three months ended March 31, 2021, respectively, when compared to the same period in 2020, primarily driven by the following:</w:t>
      </w:r>
    </w:p>
    <w:p>
      <w:pPr>
        <w:spacing w:after="0" w:line="103" w:lineRule="exact"/>
        <w:rPr>
          <w:sz w:val="20"/>
          <w:szCs w:val="20"/>
          <w:color w:val="auto"/>
        </w:rPr>
      </w:pPr>
    </w:p>
    <w:p>
      <w:pPr>
        <w:ind w:left="720" w:right="40" w:hanging="350"/>
        <w:spacing w:after="0" w:line="22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 in compensation costs other than stock-based compensation of $8.6 million due to the targeted reduction in sales headcount during the second quarter of 2020, discussed above</w:t>
      </w:r>
    </w:p>
    <w:p>
      <w:pPr>
        <w:spacing w:after="0" w:line="13" w:lineRule="exact"/>
        <w:rPr>
          <w:rFonts w:ascii="Arial" w:cs="Arial" w:eastAsia="Arial" w:hAnsi="Arial"/>
          <w:sz w:val="18"/>
          <w:szCs w:val="18"/>
          <w:color w:val="auto"/>
        </w:rPr>
      </w:pPr>
    </w:p>
    <w:p>
      <w:pPr>
        <w:ind w:left="720" w:right="40" w:hanging="350"/>
        <w:spacing w:after="0" w:line="22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 in allocated costs of $2.5 million primarily related to a decrease in rent expense and the impact of the targeted reduction in sales headcount during the second quarter of 2020, as discussed above</w:t>
      </w:r>
    </w:p>
    <w:p>
      <w:pPr>
        <w:spacing w:after="0" w:line="13" w:lineRule="exact"/>
        <w:rPr>
          <w:rFonts w:ascii="Arial" w:cs="Arial" w:eastAsia="Arial" w:hAnsi="Arial"/>
          <w:sz w:val="18"/>
          <w:szCs w:val="18"/>
          <w:color w:val="auto"/>
        </w:rPr>
      </w:pPr>
    </w:p>
    <w:p>
      <w:pPr>
        <w:ind w:left="720" w:right="40" w:hanging="350"/>
        <w:spacing w:after="0" w:line="22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 in travel costs of $2.2 million due to our restriction on non-essential employee travel in response to the COVID-19 pandemic</w:t>
      </w:r>
    </w:p>
    <w:p>
      <w:pPr>
        <w:spacing w:after="0" w:line="13" w:lineRule="exact"/>
        <w:rPr>
          <w:sz w:val="20"/>
          <w:szCs w:val="20"/>
          <w:color w:val="auto"/>
        </w:rPr>
      </w:pPr>
    </w:p>
    <w:p>
      <w:pPr>
        <w:ind w:left="720" w:hanging="373"/>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stock-based compensation costs of $2.9 million due to the factors discussed above on page 23</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26</w:t>
      </w:r>
      <w:r>
        <w:rPr>
          <w:sz w:val="20"/>
          <w:szCs w:val="20"/>
          <w:color w:val="auto"/>
        </w:rPr>
        <w:tab/>
      </w:r>
      <w:r>
        <w:rPr>
          <w:sz w:val="1"/>
          <w:szCs w:val="1"/>
          <w:color w:val="auto"/>
        </w:rPr>
        <w:drawing>
          <wp:inline distT="0" distB="0" distL="0" distR="0">
            <wp:extent cx="651510" cy="1714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make investments to delight our customers with innovative cloud solutions, which is a component of our four-point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increased engineering hiring beginning in the fourth quarter of 2020.</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increased by $4.2 million or 16.8%, during the three months ended March 31, 2021, when compared to the same period in 2020, primarily driven by the following:</w:t>
      </w:r>
    </w:p>
    <w:p>
      <w:pPr>
        <w:spacing w:after="0" w:line="117" w:lineRule="exact"/>
        <w:rPr>
          <w:sz w:val="20"/>
          <w:szCs w:val="20"/>
          <w:color w:val="auto"/>
        </w:rPr>
      </w:pPr>
    </w:p>
    <w:p>
      <w:pPr>
        <w:ind w:left="720" w:right="40" w:hanging="373"/>
        <w:spacing w:after="0" w:line="22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compensation costs of $3.3 million primarily related to stock-based compensation due to the factors discussed above on page 23</w:t>
      </w:r>
    </w:p>
    <w:p>
      <w:pPr>
        <w:spacing w:after="0" w:line="13" w:lineRule="exact"/>
        <w:rPr>
          <w:rFonts w:ascii="Arial" w:cs="Arial" w:eastAsia="Arial" w:hAnsi="Arial"/>
          <w:sz w:val="18"/>
          <w:szCs w:val="18"/>
          <w:color w:val="auto"/>
        </w:rPr>
      </w:pPr>
    </w:p>
    <w:p>
      <w:pPr>
        <w:ind w:left="720" w:right="40" w:hanging="373"/>
        <w:spacing w:after="0" w:line="22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software development costs of $1.7 million that were required to be capitalized under the internal-use software guidance, primarily due to lower engineering headcount</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Not included in research and development expense for the three months ended March 31, 2021 and 2020 were $9.1 million and $10.8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 We expect that the amount of software development costs capitalized will be relatively consistent in the near-term as we continue making investments in innovation, quality and the integration of our solutions, which we believe will drive long-term revenue growth.</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2020, we adjusted our workforce strategy to provide more flexibility to our employees after our offices reopen and we expect to have more employees working remotely either part-time or full-time, even within our hub locations. This change is expected to create efficiencies within our real estate footprint as we shift toward more collaborative workspaces within our offices.</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General and administrative expense increased by $4.7 million or 18.3%, during the three months ended March 31, 2021, when compared to the same period in 2020, primarily driven by the following:</w:t>
      </w:r>
    </w:p>
    <w:p>
      <w:pPr>
        <w:spacing w:after="0" w:line="103" w:lineRule="exact"/>
        <w:rPr>
          <w:sz w:val="20"/>
          <w:szCs w:val="20"/>
          <w:color w:val="auto"/>
        </w:rPr>
      </w:pPr>
    </w:p>
    <w:p>
      <w:pPr>
        <w:ind w:left="720" w:hanging="373"/>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in stock-based compensation costs of $5.1 million due to the factors discussed above on page 23</w:t>
      </w:r>
    </w:p>
    <w:p>
      <w:pPr>
        <w:spacing w:after="0" w:line="22" w:lineRule="exact"/>
        <w:rPr>
          <w:rFonts w:ascii="Arial" w:cs="Arial" w:eastAsia="Arial" w:hAnsi="Arial"/>
          <w:sz w:val="18"/>
          <w:szCs w:val="18"/>
          <w:color w:val="auto"/>
        </w:rPr>
      </w:pPr>
    </w:p>
    <w:p>
      <w:pPr>
        <w:ind w:left="720" w:hanging="368"/>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8"/>
          <w:szCs w:val="18"/>
          <w:color w:val="auto"/>
        </w:rPr>
        <w:t>Increase in corporate costs of $2.2 million primarily related to increases in third-party consulting fees and insurance costs</w:t>
      </w:r>
    </w:p>
    <w:p>
      <w:pPr>
        <w:spacing w:after="0" w:line="23" w:lineRule="exact"/>
        <w:rPr>
          <w:sz w:val="20"/>
          <w:szCs w:val="20"/>
          <w:color w:val="auto"/>
        </w:rPr>
      </w:pPr>
    </w:p>
    <w:p>
      <w:pPr>
        <w:jc w:val="both"/>
        <w:ind w:left="720" w:right="40" w:hanging="350"/>
        <w:spacing w:after="0" w:line="219"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rent expense of $3.0 million primarily related to the purchase of our global headquarters facility during the third quarter of 2020 and our exit of certain other office leases globally during the second half of 2020 in-line with our new workforce strategy, discussed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283845</wp:posOffset>
            </wp:positionV>
            <wp:extent cx="65976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0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00" w:lineRule="exact"/>
        <w:rPr>
          <w:sz w:val="20"/>
          <w:szCs w:val="20"/>
          <w:color w:val="auto"/>
        </w:rPr>
      </w:pPr>
    </w:p>
    <w:p>
      <w:pPr>
        <w:spacing w:after="0" w:line="272" w:lineRule="exact"/>
        <w:rPr>
          <w:sz w:val="20"/>
          <w:szCs w:val="20"/>
          <w:color w:val="auto"/>
        </w:rPr>
      </w:pPr>
    </w:p>
    <w:p>
      <w:pPr>
        <w:jc w:val="center"/>
        <w:ind w:right="7120"/>
        <w:spacing w:after="0"/>
        <w:rPr>
          <w:sz w:val="20"/>
          <w:szCs w:val="20"/>
          <w:color w:val="auto"/>
        </w:rPr>
      </w:pPr>
      <w:r>
        <w:rPr>
          <w:rFonts w:ascii="Arial" w:cs="Arial" w:eastAsia="Arial" w:hAnsi="Arial"/>
          <w:sz w:val="18"/>
          <w:szCs w:val="18"/>
          <w:i w:val="1"/>
          <w:iCs w:val="1"/>
          <w:color w:val="auto"/>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wp:posOffset>
            </wp:positionV>
            <wp:extent cx="1937385" cy="1423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increase in interest expense in dollars and as a percentage of total revenue during the three months ended March 31, 2021, when compared to the same period in 2020, was primarily due to the Real Estate Loans assumed for the purchase of our global headquarters facility in August 2020 and the deferred financing costs and debt discount associated with the 2020 Credit Facility, which was entered into in October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4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Timing of recognition</w:t>
            </w:r>
          </w:p>
        </w:tc>
        <w:tc>
          <w:tcPr>
            <w:tcW w:w="400" w:type="dxa"/>
            <w:vAlign w:val="bottom"/>
            <w:shd w:val="clear" w:color="auto" w:fill="ACACAC"/>
          </w:tcPr>
          <w:p>
            <w:pPr>
              <w:spacing w:after="0"/>
              <w:rPr>
                <w:sz w:val="14"/>
                <w:szCs w:val="14"/>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60" w:type="dxa"/>
            <w:vAlign w:val="bottom"/>
            <w:shd w:val="clear" w:color="auto" w:fill="ACACAC"/>
          </w:tcPr>
          <w:p>
            <w:pPr>
              <w:spacing w:after="0"/>
              <w:rPr>
                <w:sz w:val="14"/>
                <w:szCs w:val="14"/>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80" w:type="dxa"/>
            <w:vAlign w:val="bottom"/>
            <w:vMerge w:val="continue"/>
            <w:shd w:val="clear" w:color="auto" w:fill="ACACAC"/>
          </w:tcPr>
          <w:p>
            <w:pPr>
              <w:spacing w:after="0"/>
              <w:rPr>
                <w:sz w:val="16"/>
                <w:szCs w:val="16"/>
                <w:color w:val="auto"/>
              </w:rPr>
            </w:pPr>
          </w:p>
        </w:tc>
        <w:tc>
          <w:tcPr>
            <w:tcW w:w="3400" w:type="dxa"/>
            <w:vAlign w:val="bottom"/>
            <w:vMerge w:val="continue"/>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shd w:val="clear" w:color="auto" w:fill="ACACAC"/>
          </w:tcPr>
          <w:p>
            <w:pPr>
              <w:spacing w:after="0"/>
              <w:rPr>
                <w:sz w:val="16"/>
                <w:szCs w:val="16"/>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40" w:type="dxa"/>
            <w:vAlign w:val="bottom"/>
            <w:vMerge w:val="continue"/>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80" w:type="dxa"/>
            <w:vAlign w:val="bottom"/>
            <w:shd w:val="clear" w:color="auto" w:fill="F4F4F4"/>
          </w:tcPr>
          <w:p>
            <w:pPr>
              <w:ind w:left="20"/>
              <w:spacing w:after="0" w:line="189" w:lineRule="exact"/>
              <w:rPr>
                <w:sz w:val="20"/>
                <w:szCs w:val="20"/>
                <w:color w:val="auto"/>
              </w:rPr>
            </w:pPr>
            <w:r>
              <w:rPr>
                <w:rFonts w:ascii="Arial" w:cs="Arial" w:eastAsia="Arial" w:hAnsi="Arial"/>
                <w:sz w:val="18"/>
                <w:szCs w:val="18"/>
                <w:color w:val="auto"/>
              </w:rPr>
              <w:t>Recurring</w:t>
            </w:r>
          </w:p>
        </w:tc>
        <w:tc>
          <w:tcPr>
            <w:tcW w:w="3800" w:type="dxa"/>
            <w:vAlign w:val="bottom"/>
            <w:gridSpan w:val="2"/>
            <w:shd w:val="clear" w:color="auto" w:fill="F4F4F4"/>
          </w:tcPr>
          <w:p>
            <w:pPr>
              <w:jc w:val="right"/>
              <w:ind w:right="420"/>
              <w:spacing w:after="0" w:line="189" w:lineRule="exact"/>
              <w:rPr>
                <w:sz w:val="20"/>
                <w:szCs w:val="20"/>
                <w:color w:val="auto"/>
              </w:rPr>
            </w:pPr>
            <w:r>
              <w:rPr>
                <w:rFonts w:ascii="Arial" w:cs="Arial" w:eastAsia="Arial" w:hAnsi="Arial"/>
                <w:sz w:val="18"/>
                <w:szCs w:val="18"/>
                <w:color w:val="auto"/>
              </w:rPr>
              <w:t>Over the period billed in advance,</w:t>
            </w:r>
          </w:p>
        </w:tc>
        <w:tc>
          <w:tcPr>
            <w:tcW w:w="960" w:type="dxa"/>
            <w:vAlign w:val="bottom"/>
            <w:shd w:val="clear" w:color="auto" w:fill="F4F4F4"/>
          </w:tcPr>
          <w:p>
            <w:pPr>
              <w:spacing w:after="0"/>
              <w:rPr>
                <w:sz w:val="16"/>
                <w:szCs w:val="16"/>
                <w:color w:val="auto"/>
              </w:rPr>
            </w:pPr>
          </w:p>
        </w:tc>
        <w:tc>
          <w:tcPr>
            <w:tcW w:w="260" w:type="dxa"/>
            <w:vAlign w:val="bottom"/>
            <w:shd w:val="clear" w:color="auto" w:fill="F4F4F4"/>
          </w:tcPr>
          <w:p>
            <w:pPr>
              <w:spacing w:after="0"/>
              <w:rPr>
                <w:sz w:val="16"/>
                <w:szCs w:val="16"/>
                <w:color w:val="auto"/>
              </w:rPr>
            </w:pPr>
          </w:p>
        </w:tc>
        <w:tc>
          <w:tcPr>
            <w:tcW w:w="1100" w:type="dxa"/>
            <w:vAlign w:val="bottom"/>
            <w:shd w:val="clear" w:color="auto" w:fill="F4F4F4"/>
          </w:tcPr>
          <w:p>
            <w:pPr>
              <w:spacing w:after="0"/>
              <w:rPr>
                <w:sz w:val="16"/>
                <w:szCs w:val="16"/>
                <w:color w:val="auto"/>
              </w:rPr>
            </w:pPr>
          </w:p>
        </w:tc>
        <w:tc>
          <w:tcPr>
            <w:tcW w:w="114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F4F4F4"/>
          </w:tcPr>
          <w:p>
            <w:pPr>
              <w:spacing w:after="0"/>
              <w:rPr>
                <w:sz w:val="18"/>
                <w:szCs w:val="18"/>
                <w:color w:val="auto"/>
              </w:rPr>
            </w:pPr>
          </w:p>
        </w:tc>
        <w:tc>
          <w:tcPr>
            <w:tcW w:w="3800" w:type="dxa"/>
            <w:vAlign w:val="bottom"/>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generally one year $</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278.0</w:t>
            </w:r>
          </w:p>
        </w:tc>
        <w:tc>
          <w:tcPr>
            <w:tcW w:w="2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303.8</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One-time services and other</w:t>
            </w:r>
          </w:p>
        </w:tc>
        <w:tc>
          <w:tcPr>
            <w:tcW w:w="3800" w:type="dxa"/>
            <w:vAlign w:val="bottom"/>
            <w:gridSpan w:val="2"/>
          </w:tcPr>
          <w:p>
            <w:pPr>
              <w:jc w:val="right"/>
              <w:ind w:right="420"/>
              <w:spacing w:after="0"/>
              <w:rPr>
                <w:sz w:val="20"/>
                <w:szCs w:val="20"/>
                <w:color w:val="auto"/>
              </w:rPr>
            </w:pPr>
            <w:r>
              <w:rPr>
                <w:rFonts w:ascii="Arial" w:cs="Arial" w:eastAsia="Arial" w:hAnsi="Arial"/>
                <w:sz w:val="18"/>
                <w:szCs w:val="18"/>
                <w:color w:val="auto"/>
              </w:rPr>
              <w:t>As services are delivered</w:t>
            </w: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140" w:type="dxa"/>
            <w:vAlign w:val="bottom"/>
          </w:tcPr>
          <w:p>
            <w:pPr>
              <w:jc w:val="right"/>
              <w:spacing w:after="0"/>
              <w:rPr>
                <w:sz w:val="20"/>
                <w:szCs w:val="20"/>
                <w:color w:val="auto"/>
              </w:rPr>
            </w:pPr>
            <w:r>
              <w:rPr>
                <w:rFonts w:ascii="Arial" w:cs="Arial" w:eastAsia="Arial" w:hAnsi="Arial"/>
                <w:sz w:val="18"/>
                <w:szCs w:val="18"/>
                <w:color w:val="auto"/>
              </w:rPr>
              <w:t>26.4 %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F4F4F4"/>
            </w:tcBorders>
            <w:shd w:val="clear" w:color="auto" w:fill="F4F4F4"/>
          </w:tcPr>
          <w:p>
            <w:pPr>
              <w:ind w:left="140"/>
              <w:spacing w:after="0" w:line="223" w:lineRule="exact"/>
              <w:rPr>
                <w:sz w:val="20"/>
                <w:szCs w:val="20"/>
                <w:color w:val="auto"/>
              </w:rPr>
            </w:pPr>
            <w:r>
              <w:rPr>
                <w:rFonts w:ascii="Arial" w:cs="Arial" w:eastAsia="Arial" w:hAnsi="Arial"/>
                <w:sz w:val="18"/>
                <w:szCs w:val="18"/>
                <w:color w:val="auto"/>
              </w:rPr>
              <w:t>Total deferred revenue</w:t>
            </w:r>
            <w:r>
              <w:rPr>
                <w:rFonts w:ascii="Arial" w:cs="Arial" w:eastAsia="Arial" w:hAnsi="Arial"/>
                <w:sz w:val="23"/>
                <w:szCs w:val="23"/>
                <w:color w:val="auto"/>
                <w:vertAlign w:val="superscript"/>
              </w:rPr>
              <w:t>(1)</w:t>
            </w:r>
          </w:p>
        </w:tc>
        <w:tc>
          <w:tcPr>
            <w:tcW w:w="3400" w:type="dxa"/>
            <w:vAlign w:val="bottom"/>
            <w:tcBorders>
              <w:top w:val="single" w:sz="8" w:color="F4F4F4"/>
            </w:tcBorders>
            <w:shd w:val="clear" w:color="auto" w:fill="F4F4F4"/>
          </w:tcPr>
          <w:p>
            <w:pPr>
              <w:spacing w:after="0"/>
              <w:rPr>
                <w:sz w:val="19"/>
                <w:szCs w:val="19"/>
                <w:color w:val="auto"/>
              </w:rPr>
            </w:pPr>
          </w:p>
        </w:tc>
        <w:tc>
          <w:tcPr>
            <w:tcW w:w="400" w:type="dxa"/>
            <w:vAlign w:val="bottom"/>
            <w:tcBorders>
              <w:top w:val="single" w:sz="8" w:color="auto"/>
            </w:tcBorders>
            <w:shd w:val="clear" w:color="auto" w:fill="F4F4F4"/>
          </w:tcPr>
          <w:p>
            <w:pPr>
              <w:spacing w:after="0"/>
              <w:rPr>
                <w:sz w:val="19"/>
                <w:szCs w:val="19"/>
                <w:color w:val="auto"/>
              </w:rPr>
            </w:pPr>
          </w:p>
        </w:tc>
        <w:tc>
          <w:tcPr>
            <w:tcW w:w="96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294.5</w:t>
            </w:r>
          </w:p>
        </w:tc>
        <w:tc>
          <w:tcPr>
            <w:tcW w:w="260" w:type="dxa"/>
            <w:vAlign w:val="bottom"/>
            <w:tcBorders>
              <w:top w:val="single" w:sz="8" w:color="auto"/>
            </w:tcBorders>
            <w:shd w:val="clear" w:color="auto" w:fill="F4F4F4"/>
          </w:tcPr>
          <w:p>
            <w:pPr>
              <w:spacing w:after="0"/>
              <w:rPr>
                <w:sz w:val="19"/>
                <w:szCs w:val="19"/>
                <w:color w:val="auto"/>
              </w:rPr>
            </w:pPr>
          </w:p>
        </w:tc>
        <w:tc>
          <w:tcPr>
            <w:tcW w:w="1100" w:type="dxa"/>
            <w:vAlign w:val="bottom"/>
            <w:tcBorders>
              <w:top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316.9</w:t>
            </w:r>
          </w:p>
        </w:tc>
        <w:tc>
          <w:tcPr>
            <w:tcW w:w="1140" w:type="dxa"/>
            <w:vAlign w:val="bottom"/>
            <w:tcBorders>
              <w:top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F4F4F4"/>
            </w:tcBorders>
          </w:tcPr>
          <w:p>
            <w:pPr>
              <w:ind w:left="20"/>
              <w:spacing w:after="0"/>
              <w:rPr>
                <w:sz w:val="20"/>
                <w:szCs w:val="20"/>
                <w:color w:val="auto"/>
              </w:rPr>
            </w:pPr>
            <w:r>
              <w:rPr>
                <w:rFonts w:ascii="Arial" w:cs="Arial" w:eastAsia="Arial" w:hAnsi="Arial"/>
                <w:sz w:val="18"/>
                <w:szCs w:val="18"/>
                <w:color w:val="auto"/>
              </w:rPr>
              <w:t>Less: Long-term portion</w:t>
            </w:r>
          </w:p>
        </w:tc>
        <w:tc>
          <w:tcPr>
            <w:tcW w:w="3400" w:type="dxa"/>
            <w:vAlign w:val="bottom"/>
            <w:tcBorders>
              <w:bottom w:val="single" w:sz="8" w:color="F4F4F4"/>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140" w:type="dxa"/>
            <w:vAlign w:val="bottom"/>
            <w:tcBorders>
              <w:bottom w:val="single" w:sz="8" w:color="F4F4F4"/>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71BF43"/>
            </w:tcBorders>
            <w:shd w:val="clear" w:color="auto" w:fill="F4F4F4"/>
          </w:tcPr>
          <w:p>
            <w:pPr>
              <w:ind w:left="20"/>
              <w:spacing w:after="0" w:line="223" w:lineRule="exact"/>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3800" w:type="dxa"/>
            <w:vAlign w:val="bottom"/>
            <w:tcBorders>
              <w:bottom w:val="single" w:sz="8" w:color="71BF43"/>
            </w:tcBorders>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290.0</w:t>
            </w:r>
          </w:p>
        </w:tc>
        <w:tc>
          <w:tcPr>
            <w:tcW w:w="2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312.2</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total deferred revenue or current portion of deferred revenue due to rounding.</w:t>
      </w:r>
    </w:p>
    <w:p>
      <w:pPr>
        <w:spacing w:after="0" w:line="15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have been for several years successfully shifting our legacy customer base away from annual renewals and moving them onto multi-year renewal contracts. We generally invoice our customers with recurring revenue contracts in annual cycles 30 days prior to the end each one-year period.</w:t>
      </w:r>
    </w:p>
    <w:p>
      <w:pPr>
        <w:spacing w:after="0" w:line="15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Deferred revenue from recurring revenue contracts decreased during the three months ended March 31, 2021, primarily due a seasonal decrease in customer contract renewals. Historically, due to the timing of customer budget cycles, we have an increase in customer contract renewals at or near the beginning of our third quarter, which generally results in our lowest balance of deferred revenue at the end of our first quarter. Deferred revenue from one-time services and other increased during the three months ended March 31, 2021, primarily due to increased bookings during the fourth quarter of 2020 and the first quarter of 2021.</w:t>
      </w:r>
    </w:p>
    <w:p>
      <w:pPr>
        <w:spacing w:after="0" w:line="31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28</w:t>
      </w:r>
      <w:r>
        <w:rPr>
          <w:sz w:val="20"/>
          <w:szCs w:val="20"/>
          <w:color w:val="auto"/>
        </w:rPr>
        <w:tab/>
      </w:r>
      <w:r>
        <w:rPr>
          <w:sz w:val="1"/>
          <w:szCs w:val="1"/>
          <w:color w:val="auto"/>
        </w:rPr>
        <w:drawing>
          <wp:inline distT="0" distB="0" distL="0" distR="0">
            <wp:extent cx="651510" cy="1714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00" w:lineRule="exact"/>
        <w:rPr>
          <w:sz w:val="20"/>
          <w:szCs w:val="20"/>
          <w:color w:val="auto"/>
        </w:rPr>
      </w:pPr>
    </w:p>
    <w:p>
      <w:pPr>
        <w:spacing w:after="0" w:line="272" w:lineRule="exact"/>
        <w:rPr>
          <w:sz w:val="20"/>
          <w:szCs w:val="20"/>
          <w:color w:val="auto"/>
        </w:rPr>
      </w:pPr>
    </w:p>
    <w:p>
      <w:pPr>
        <w:jc w:val="center"/>
        <w:ind w:right="7100"/>
        <w:spacing w:after="0"/>
        <w:rPr>
          <w:sz w:val="20"/>
          <w:szCs w:val="20"/>
          <w:color w:val="auto"/>
        </w:rPr>
      </w:pPr>
      <w:r>
        <w:rPr>
          <w:rFonts w:ascii="Arial" w:cs="Arial" w:eastAsia="Arial" w:hAnsi="Arial"/>
          <w:sz w:val="18"/>
          <w:szCs w:val="18"/>
          <w:i w:val="1"/>
          <w:iCs w:val="1"/>
          <w:color w:val="auto"/>
        </w:rPr>
        <w:t>Income tax provision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231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wp:posOffset>
            </wp:positionV>
            <wp:extent cx="1937385" cy="1423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our effective income tax rate for the three months ended March 31, 2021, when compared to the same period in 2020, was primarily attributable to higher 2021 discrete tax expense against lower pre-tax income. The 2020 effective income tax rate was positively impacted by benefits attributable to stock-based compensation. The 2021 effective income tax rate was negatively impacted by tax expense attributable to stock-based compensation against lower pre-tax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40575" cy="351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0575" cy="351155"/>
                    </a:xfrm>
                    <a:prstGeom prst="rect">
                      <a:avLst/>
                    </a:prstGeom>
                    <a:noFill/>
                  </pic:spPr>
                </pic:pic>
              </a:graphicData>
            </a:graphic>
          </wp:anchor>
        </w:drawing>
      </w:r>
    </w:p>
    <w:p>
      <w:pPr>
        <w:spacing w:after="0" w:line="82"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FFFFFF"/>
        </w:rPr>
        <w:t>Three months ended</w:t>
      </w:r>
    </w:p>
    <w:p>
      <w:pPr>
        <w:jc w:val="right"/>
        <w:ind w:right="20"/>
        <w:spacing w:after="0"/>
        <w:rPr>
          <w:sz w:val="20"/>
          <w:szCs w:val="20"/>
          <w:color w:val="auto"/>
        </w:rPr>
      </w:pPr>
      <w:r>
        <w:rPr>
          <w:rFonts w:ascii="Arial" w:cs="Arial" w:eastAsia="Arial" w:hAnsi="Arial"/>
          <w:sz w:val="14"/>
          <w:szCs w:val="14"/>
          <w:b w:val="1"/>
          <w:bCs w:val="1"/>
          <w:color w:val="FFFFFF"/>
        </w:rPr>
        <w:t>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Borders>
              <w:bottom w:val="single" w:sz="8" w:color="F4F4F4"/>
            </w:tcBorders>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tcBorders>
              <w:bottom w:val="single" w:sz="8" w:color="ACACAC"/>
            </w:tcBorders>
            <w:shd w:val="clear" w:color="auto" w:fill="ACACAC"/>
          </w:tcPr>
          <w:p>
            <w:pPr>
              <w:spacing w:after="0"/>
              <w:rPr>
                <w:sz w:val="15"/>
                <w:szCs w:val="15"/>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tcBorders>
              <w:bottom w:val="single" w:sz="8" w:color="ACACAC"/>
            </w:tcBorders>
            <w:shd w:val="clear" w:color="auto" w:fill="ACACAC"/>
          </w:tcPr>
          <w:p>
            <w:pPr>
              <w:spacing w:after="0"/>
              <w:rPr>
                <w:sz w:val="15"/>
                <w:szCs w:val="15"/>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r>
      <w:tr>
        <w:trPr>
          <w:trHeight w:val="183"/>
        </w:trPr>
        <w:tc>
          <w:tcPr>
            <w:tcW w:w="7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gross profit</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115.8</w:t>
            </w:r>
          </w:p>
        </w:tc>
        <w:tc>
          <w:tcPr>
            <w:tcW w:w="400" w:type="dxa"/>
            <w:vAlign w:val="bottom"/>
            <w:shd w:val="clear" w:color="auto" w:fill="F4F4F4"/>
          </w:tcPr>
          <w:p>
            <w:pPr>
              <w:jc w:val="right"/>
              <w:ind w:right="2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118.8</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7520" w:type="dxa"/>
            <w:vAlign w:val="bottom"/>
          </w:tcPr>
          <w:p>
            <w:pPr>
              <w:ind w:left="140"/>
              <w:spacing w:after="0"/>
              <w:rPr>
                <w:sz w:val="20"/>
                <w:szCs w:val="20"/>
                <w:color w:val="auto"/>
              </w:rPr>
            </w:pPr>
            <w:r>
              <w:rPr>
                <w:rFonts w:ascii="Arial" w:cs="Arial" w:eastAsia="Arial" w:hAnsi="Arial"/>
                <w:sz w:val="14"/>
                <w:szCs w:val="14"/>
                <w:b w:val="1"/>
                <w:bCs w:val="1"/>
                <w:color w:val="auto"/>
              </w:rPr>
              <w:t>GAAP gross margin</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52.8 %</w:t>
            </w:r>
          </w:p>
        </w:tc>
        <w:tc>
          <w:tcPr>
            <w:tcW w:w="4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53.1 %</w:t>
            </w:r>
          </w:p>
        </w:tc>
        <w:tc>
          <w:tcPr>
            <w:tcW w:w="1120" w:type="dxa"/>
            <w:vAlign w:val="bottom"/>
          </w:tcPr>
          <w:p>
            <w:pPr>
              <w:spacing w:after="0"/>
              <w:rPr>
                <w:sz w:val="16"/>
                <w:szCs w:val="16"/>
                <w:color w:val="auto"/>
              </w:rPr>
            </w:pPr>
          </w:p>
        </w:tc>
      </w:tr>
      <w:tr>
        <w:trPr>
          <w:trHeight w:val="189"/>
        </w:trPr>
        <w:tc>
          <w:tcPr>
            <w:tcW w:w="7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440" w:type="dxa"/>
            <w:vAlign w:val="bottom"/>
            <w:shd w:val="clear" w:color="auto" w:fill="F4F4F4"/>
          </w:tcPr>
          <w:p>
            <w:pPr>
              <w:spacing w:after="0"/>
              <w:rPr>
                <w:sz w:val="16"/>
                <w:szCs w:val="16"/>
                <w:color w:val="auto"/>
              </w:rPr>
            </w:pPr>
          </w:p>
        </w:tc>
        <w:tc>
          <w:tcPr>
            <w:tcW w:w="880" w:type="dxa"/>
            <w:vAlign w:val="bottom"/>
            <w:shd w:val="clear" w:color="auto" w:fill="F4F4F4"/>
          </w:tcPr>
          <w:p>
            <w:pPr>
              <w:spacing w:after="0"/>
              <w:rPr>
                <w:sz w:val="16"/>
                <w:szCs w:val="16"/>
                <w:color w:val="auto"/>
              </w:rPr>
            </w:pPr>
          </w:p>
        </w:tc>
        <w:tc>
          <w:tcPr>
            <w:tcW w:w="400" w:type="dxa"/>
            <w:vAlign w:val="bottom"/>
            <w:shd w:val="clear" w:color="auto" w:fill="F4F4F4"/>
          </w:tcPr>
          <w:p>
            <w:pPr>
              <w:spacing w:after="0"/>
              <w:rPr>
                <w:sz w:val="16"/>
                <w:szCs w:val="16"/>
                <w:color w:val="auto"/>
              </w:rPr>
            </w:pPr>
          </w:p>
        </w:tc>
        <w:tc>
          <w:tcPr>
            <w:tcW w:w="880" w:type="dxa"/>
            <w:vAlign w:val="bottom"/>
            <w:shd w:val="clear" w:color="auto" w:fill="F4F4F4"/>
          </w:tcPr>
          <w:p>
            <w:pPr>
              <w:spacing w:after="0"/>
              <w:rPr>
                <w:sz w:val="16"/>
                <w:szCs w:val="16"/>
                <w:color w:val="auto"/>
              </w:rPr>
            </w:pPr>
          </w:p>
        </w:tc>
        <w:tc>
          <w:tcPr>
            <w:tcW w:w="1120" w:type="dxa"/>
            <w:vAlign w:val="bottom"/>
            <w:shd w:val="clear" w:color="auto" w:fill="F4F4F4"/>
          </w:tcPr>
          <w:p>
            <w:pPr>
              <w:spacing w:after="0"/>
              <w:rPr>
                <w:sz w:val="16"/>
                <w:szCs w:val="16"/>
                <w:color w:val="auto"/>
              </w:rPr>
            </w:pPr>
          </w:p>
        </w:tc>
      </w:tr>
      <w:tr>
        <w:trPr>
          <w:trHeight w:val="189"/>
        </w:trPr>
        <w:tc>
          <w:tcPr>
            <w:tcW w:w="752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440" w:type="dxa"/>
            <w:vAlign w:val="bottom"/>
          </w:tcPr>
          <w:p>
            <w:pPr>
              <w:spacing w:after="0"/>
              <w:rPr>
                <w:sz w:val="16"/>
                <w:szCs w:val="16"/>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4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0.9</w:t>
            </w:r>
          </w:p>
        </w:tc>
        <w:tc>
          <w:tcPr>
            <w:tcW w:w="1120" w:type="dxa"/>
            <w:vAlign w:val="bottom"/>
          </w:tcPr>
          <w:p>
            <w:pPr>
              <w:jc w:val="right"/>
              <w:spacing w:after="0"/>
              <w:rPr>
                <w:sz w:val="20"/>
                <w:szCs w:val="20"/>
                <w:color w:val="auto"/>
              </w:rPr>
            </w:pPr>
            <w:r>
              <w:rPr>
                <w:rFonts w:ascii="Arial" w:cs="Arial" w:eastAsia="Arial" w:hAnsi="Arial"/>
                <w:sz w:val="14"/>
                <w:szCs w:val="14"/>
                <w:color w:val="auto"/>
              </w:rPr>
              <w:t>519.4 %</w:t>
            </w:r>
          </w:p>
        </w:tc>
      </w:tr>
      <w:tr>
        <w:trPr>
          <w:trHeight w:val="189"/>
        </w:trPr>
        <w:tc>
          <w:tcPr>
            <w:tcW w:w="7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440" w:type="dxa"/>
            <w:vAlign w:val="bottom"/>
            <w:tcBorders>
              <w:bottom w:val="single" w:sz="8" w:color="auto"/>
            </w:tcBorders>
            <w:shd w:val="clear" w:color="auto" w:fill="F4F4F4"/>
          </w:tcPr>
          <w:p>
            <w:pPr>
              <w:spacing w:after="0"/>
              <w:rPr>
                <w:sz w:val="16"/>
                <w:szCs w:val="16"/>
                <w:color w:val="auto"/>
              </w:rPr>
            </w:pPr>
          </w:p>
        </w:tc>
        <w:tc>
          <w:tcPr>
            <w:tcW w:w="88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9.1</w:t>
            </w:r>
          </w:p>
        </w:tc>
        <w:tc>
          <w:tcPr>
            <w:tcW w:w="400" w:type="dxa"/>
            <w:vAlign w:val="bottom"/>
            <w:tcBorders>
              <w:bottom w:val="single" w:sz="8" w:color="auto"/>
            </w:tcBorders>
            <w:shd w:val="clear" w:color="auto" w:fill="F4F4F4"/>
          </w:tcPr>
          <w:p>
            <w:pPr>
              <w:spacing w:after="0"/>
              <w:rPr>
                <w:sz w:val="16"/>
                <w:szCs w:val="16"/>
                <w:color w:val="auto"/>
              </w:rPr>
            </w:pPr>
          </w:p>
        </w:tc>
        <w:tc>
          <w:tcPr>
            <w:tcW w:w="8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10.9</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(16.5)%</w:t>
            </w:r>
          </w:p>
        </w:tc>
      </w:tr>
      <w:tr>
        <w:trPr>
          <w:trHeight w:val="183"/>
        </w:trPr>
        <w:tc>
          <w:tcPr>
            <w:tcW w:w="7520" w:type="dxa"/>
            <w:vAlign w:val="bottom"/>
            <w:tcBorders>
              <w:bottom w:val="single" w:sz="8" w:color="F4F4F4"/>
            </w:tcBorders>
          </w:tcPr>
          <w:p>
            <w:pPr>
              <w:ind w:left="360"/>
              <w:spacing w:after="0"/>
              <w:rPr>
                <w:sz w:val="20"/>
                <w:szCs w:val="20"/>
                <w:color w:val="auto"/>
              </w:rPr>
            </w:pPr>
            <w:r>
              <w:rPr>
                <w:rFonts w:ascii="Arial" w:cs="Arial" w:eastAsia="Arial" w:hAnsi="Arial"/>
                <w:sz w:val="14"/>
                <w:szCs w:val="14"/>
                <w:color w:val="auto"/>
              </w:rPr>
              <w:t>Subtotal</w:t>
            </w:r>
            <w:r>
              <w:rPr>
                <w:rFonts w:ascii="Arial" w:cs="Arial" w:eastAsia="Arial" w:hAnsi="Arial"/>
                <w:sz w:val="9"/>
                <w:szCs w:val="9"/>
                <w:color w:val="auto"/>
              </w:rPr>
              <w:t>(1)</w:t>
            </w: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14.5</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11.8</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22.5 %</w:t>
            </w:r>
          </w:p>
        </w:tc>
      </w:tr>
      <w:tr>
        <w:trPr>
          <w:trHeight w:val="183"/>
        </w:trPr>
        <w:tc>
          <w:tcPr>
            <w:tcW w:w="752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9"/>
                <w:szCs w:val="9"/>
                <w:b w:val="1"/>
                <w:bCs w:val="1"/>
                <w:color w:val="auto"/>
              </w:rPr>
              <w:t>(1)</w:t>
            </w:r>
          </w:p>
        </w:tc>
        <w:tc>
          <w:tcPr>
            <w:tcW w:w="440" w:type="dxa"/>
            <w:vAlign w:val="bottom"/>
            <w:tcBorders>
              <w:bottom w:val="single" w:sz="8" w:color="auto"/>
            </w:tcBorders>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130.3</w:t>
            </w:r>
          </w:p>
        </w:tc>
        <w:tc>
          <w:tcPr>
            <w:tcW w:w="400" w:type="dxa"/>
            <w:vAlign w:val="bottom"/>
            <w:tcBorders>
              <w:bottom w:val="single" w:sz="8" w:color="auto"/>
            </w:tcBorders>
            <w:shd w:val="clear" w:color="auto" w:fill="F4F4F4"/>
          </w:tcPr>
          <w:p>
            <w:pPr>
              <w:jc w:val="right"/>
              <w:ind w:right="2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130.6</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(0.2)%</w:t>
            </w:r>
          </w:p>
        </w:tc>
      </w:tr>
      <w:tr>
        <w:trPr>
          <w:trHeight w:val="183"/>
        </w:trPr>
        <w:tc>
          <w:tcPr>
            <w:tcW w:w="7520" w:type="dxa"/>
            <w:vAlign w:val="bottom"/>
            <w:tcBorders>
              <w:bottom w:val="single" w:sz="8" w:color="71BF43"/>
            </w:tcBorders>
          </w:tcPr>
          <w:p>
            <w:pPr>
              <w:ind w:left="140"/>
              <w:spacing w:after="0"/>
              <w:rPr>
                <w:sz w:val="20"/>
                <w:szCs w:val="20"/>
                <w:color w:val="auto"/>
              </w:rPr>
            </w:pPr>
            <w:r>
              <w:rPr>
                <w:rFonts w:ascii="Arial" w:cs="Arial" w:eastAsia="Arial" w:hAnsi="Arial"/>
                <w:sz w:val="14"/>
                <w:szCs w:val="14"/>
                <w:b w:val="1"/>
                <w:bCs w:val="1"/>
                <w:color w:val="auto"/>
              </w:rPr>
              <w:t>Non-GAAP gross margin</w:t>
            </w:r>
          </w:p>
        </w:tc>
        <w:tc>
          <w:tcPr>
            <w:tcW w:w="440" w:type="dxa"/>
            <w:vAlign w:val="bottom"/>
            <w:tcBorders>
              <w:bottom w:val="single" w:sz="8" w:color="71BF43"/>
            </w:tcBorders>
          </w:tcPr>
          <w:p>
            <w:pPr>
              <w:spacing w:after="0"/>
              <w:rPr>
                <w:sz w:val="15"/>
                <w:szCs w:val="15"/>
                <w:color w:val="auto"/>
              </w:rPr>
            </w:pPr>
          </w:p>
        </w:tc>
        <w:tc>
          <w:tcPr>
            <w:tcW w:w="88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59.4 %</w:t>
            </w:r>
          </w:p>
        </w:tc>
        <w:tc>
          <w:tcPr>
            <w:tcW w:w="400" w:type="dxa"/>
            <w:vAlign w:val="bottom"/>
            <w:tcBorders>
              <w:bottom w:val="single" w:sz="8" w:color="71BF43"/>
            </w:tcBorders>
          </w:tcPr>
          <w:p>
            <w:pPr>
              <w:spacing w:after="0"/>
              <w:rPr>
                <w:sz w:val="15"/>
                <w:szCs w:val="15"/>
                <w:color w:val="auto"/>
              </w:rPr>
            </w:pPr>
          </w:p>
        </w:tc>
        <w:tc>
          <w:tcPr>
            <w:tcW w:w="88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58.4 %</w:t>
            </w:r>
          </w:p>
        </w:tc>
        <w:tc>
          <w:tcPr>
            <w:tcW w:w="1120" w:type="dxa"/>
            <w:vAlign w:val="bottom"/>
            <w:tcBorders>
              <w:bottom w:val="single" w:sz="8" w:color="71BF43"/>
            </w:tcBorders>
          </w:tcPr>
          <w:p>
            <w:pPr>
              <w:spacing w:after="0"/>
              <w:rPr>
                <w:sz w:val="15"/>
                <w:szCs w:val="15"/>
                <w:color w:val="auto"/>
              </w:rPr>
            </w:pPr>
          </w:p>
        </w:tc>
      </w:tr>
    </w:tbl>
    <w:p>
      <w:pPr>
        <w:spacing w:after="0" w:line="86"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revenue, subtotal or non-GAAP gross profit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0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04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212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6"/>
        </w:trPr>
        <w:tc>
          <w:tcPr>
            <w:tcW w:w="7600" w:type="dxa"/>
            <w:vAlign w:val="bottom"/>
            <w:shd w:val="clear" w:color="auto" w:fill="ACACAC"/>
          </w:tcPr>
          <w:p>
            <w:pPr>
              <w:spacing w:after="0"/>
              <w:rPr>
                <w:sz w:val="15"/>
                <w:szCs w:val="15"/>
                <w:color w:val="auto"/>
              </w:rPr>
            </w:pPr>
          </w:p>
        </w:tc>
        <w:tc>
          <w:tcPr>
            <w:tcW w:w="240" w:type="dxa"/>
            <w:vAlign w:val="bottom"/>
            <w:shd w:val="clear" w:color="auto" w:fill="ACACAC"/>
          </w:tcPr>
          <w:p>
            <w:pPr>
              <w:spacing w:after="0"/>
              <w:rPr>
                <w:sz w:val="15"/>
                <w:szCs w:val="15"/>
                <w:color w:val="auto"/>
              </w:rPr>
            </w:pPr>
          </w:p>
        </w:tc>
        <w:tc>
          <w:tcPr>
            <w:tcW w:w="1040" w:type="dxa"/>
            <w:vAlign w:val="bottom"/>
            <w:shd w:val="clear" w:color="auto" w:fill="ACACAC"/>
          </w:tcPr>
          <w:p>
            <w:pPr>
              <w:spacing w:after="0"/>
              <w:rPr>
                <w:sz w:val="15"/>
                <w:szCs w:val="15"/>
                <w:color w:val="auto"/>
              </w:rPr>
            </w:pPr>
          </w:p>
        </w:tc>
        <w:tc>
          <w:tcPr>
            <w:tcW w:w="240" w:type="dxa"/>
            <w:vAlign w:val="bottom"/>
            <w:shd w:val="clear" w:color="auto" w:fill="ACACAC"/>
          </w:tcPr>
          <w:p>
            <w:pPr>
              <w:spacing w:after="0"/>
              <w:rPr>
                <w:sz w:val="15"/>
                <w:szCs w:val="15"/>
                <w:color w:val="auto"/>
              </w:rPr>
            </w:pPr>
          </w:p>
        </w:tc>
        <w:tc>
          <w:tcPr>
            <w:tcW w:w="1040" w:type="dxa"/>
            <w:vAlign w:val="bottom"/>
            <w:shd w:val="clear" w:color="auto" w:fill="ACACAC"/>
          </w:tcPr>
          <w:p>
            <w:pPr>
              <w:spacing w:after="0"/>
              <w:rPr>
                <w:sz w:val="15"/>
                <w:szCs w:val="15"/>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76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40" w:type="dxa"/>
            <w:vAlign w:val="bottom"/>
            <w:shd w:val="clear" w:color="auto" w:fill="ACACAC"/>
          </w:tcPr>
          <w:p>
            <w:pPr>
              <w:spacing w:after="0"/>
              <w:rPr>
                <w:sz w:val="18"/>
                <w:szCs w:val="18"/>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ACACAC"/>
          </w:tcPr>
          <w:p>
            <w:pPr>
              <w:spacing w:after="0"/>
              <w:rPr>
                <w:sz w:val="18"/>
                <w:szCs w:val="18"/>
                <w:color w:val="auto"/>
              </w:rPr>
            </w:pPr>
          </w:p>
        </w:tc>
        <w:tc>
          <w:tcPr>
            <w:tcW w:w="10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8"/>
                <w:szCs w:val="18"/>
                <w:color w:val="auto"/>
              </w:rPr>
            </w:pPr>
          </w:p>
        </w:tc>
      </w:tr>
      <w:tr>
        <w:trPr>
          <w:trHeight w:val="189"/>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income from operations</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6.6</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8.4</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(21.1)%</w:t>
            </w:r>
          </w:p>
        </w:tc>
        <w:tc>
          <w:tcPr>
            <w:tcW w:w="20" w:type="dxa"/>
            <w:vAlign w:val="bottom"/>
          </w:tcPr>
          <w:p>
            <w:pPr>
              <w:spacing w:after="0"/>
              <w:rPr>
                <w:sz w:val="16"/>
                <w:szCs w:val="16"/>
                <w:color w:val="auto"/>
              </w:rPr>
            </w:pPr>
          </w:p>
        </w:tc>
      </w:tr>
      <w:tr>
        <w:trPr>
          <w:trHeight w:val="189"/>
        </w:trPr>
        <w:tc>
          <w:tcPr>
            <w:tcW w:w="7600" w:type="dxa"/>
            <w:vAlign w:val="bottom"/>
          </w:tcPr>
          <w:p>
            <w:pPr>
              <w:ind w:left="140"/>
              <w:spacing w:after="0"/>
              <w:rPr>
                <w:sz w:val="20"/>
                <w:szCs w:val="20"/>
                <w:color w:val="auto"/>
              </w:rPr>
            </w:pPr>
            <w:r>
              <w:rPr>
                <w:rFonts w:ascii="Arial" w:cs="Arial" w:eastAsia="Arial" w:hAnsi="Arial"/>
                <w:sz w:val="14"/>
                <w:szCs w:val="14"/>
                <w:b w:val="1"/>
                <w:bCs w:val="1"/>
                <w:color w:val="auto"/>
              </w:rPr>
              <w:t>GAAP operating margin</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3.0 %</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3.8 %</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spacing w:after="0"/>
              <w:rPr>
                <w:sz w:val="16"/>
                <w:szCs w:val="16"/>
                <w:color w:val="auto"/>
              </w:rPr>
            </w:pP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spacing w:after="0"/>
              <w:rPr>
                <w:sz w:val="16"/>
                <w:szCs w:val="16"/>
                <w:color w:val="auto"/>
              </w:rPr>
            </w:pPr>
          </w:p>
        </w:tc>
        <w:tc>
          <w:tcPr>
            <w:tcW w:w="108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760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4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30.0</w:t>
            </w:r>
          </w:p>
        </w:tc>
        <w:tc>
          <w:tcPr>
            <w:tcW w:w="2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13.6</w:t>
            </w:r>
          </w:p>
        </w:tc>
        <w:tc>
          <w:tcPr>
            <w:tcW w:w="1080" w:type="dxa"/>
            <w:vAlign w:val="bottom"/>
          </w:tcPr>
          <w:p>
            <w:pPr>
              <w:jc w:val="right"/>
              <w:spacing w:after="0"/>
              <w:rPr>
                <w:sz w:val="20"/>
                <w:szCs w:val="20"/>
                <w:color w:val="auto"/>
              </w:rPr>
            </w:pPr>
            <w:r>
              <w:rPr>
                <w:rFonts w:ascii="Arial" w:cs="Arial" w:eastAsia="Arial" w:hAnsi="Arial"/>
                <w:sz w:val="14"/>
                <w:szCs w:val="14"/>
                <w:color w:val="auto"/>
              </w:rPr>
              <w:t>120.9 %</w:t>
            </w:r>
          </w:p>
        </w:tc>
        <w:tc>
          <w:tcPr>
            <w:tcW w:w="20" w:type="dxa"/>
            <w:vAlign w:val="bottom"/>
          </w:tcPr>
          <w:p>
            <w:pPr>
              <w:spacing w:after="0"/>
              <w:rPr>
                <w:sz w:val="16"/>
                <w:szCs w:val="16"/>
                <w:color w:val="auto"/>
              </w:rPr>
            </w:pPr>
          </w:p>
        </w:tc>
      </w:tr>
      <w:tr>
        <w:trPr>
          <w:trHeight w:val="189"/>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9.7</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11.7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(17.1)%</w:t>
            </w:r>
          </w:p>
        </w:tc>
        <w:tc>
          <w:tcPr>
            <w:tcW w:w="20" w:type="dxa"/>
            <w:vAlign w:val="bottom"/>
          </w:tcPr>
          <w:p>
            <w:pPr>
              <w:spacing w:after="0"/>
              <w:rPr>
                <w:sz w:val="16"/>
                <w:szCs w:val="16"/>
                <w:color w:val="auto"/>
              </w:rPr>
            </w:pPr>
          </w:p>
        </w:tc>
      </w:tr>
      <w:tr>
        <w:trPr>
          <w:trHeight w:val="189"/>
        </w:trPr>
        <w:tc>
          <w:tcPr>
            <w:tcW w:w="760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24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080" w:type="dxa"/>
            <w:vAlign w:val="bottom"/>
          </w:tcPr>
          <w:p>
            <w:pPr>
              <w:jc w:val="right"/>
              <w:spacing w:after="0"/>
              <w:rPr>
                <w:sz w:val="20"/>
                <w:szCs w:val="20"/>
                <w:color w:val="auto"/>
              </w:rPr>
            </w:pPr>
            <w:r>
              <w:rPr>
                <w:rFonts w:ascii="Arial" w:cs="Arial" w:eastAsia="Arial" w:hAnsi="Arial"/>
                <w:sz w:val="14"/>
                <w:szCs w:val="14"/>
                <w:color w:val="auto"/>
              </w:rPr>
              <w:t>921.6 %</w:t>
            </w:r>
          </w:p>
        </w:tc>
        <w:tc>
          <w:tcPr>
            <w:tcW w:w="20" w:type="dxa"/>
            <w:vAlign w:val="bottom"/>
          </w:tcPr>
          <w:p>
            <w:pPr>
              <w:spacing w:after="0"/>
              <w:rPr>
                <w:sz w:val="16"/>
                <w:szCs w:val="16"/>
                <w:color w:val="auto"/>
              </w:rPr>
            </w:pPr>
          </w:p>
        </w:tc>
      </w:tr>
      <w:tr>
        <w:trPr>
          <w:trHeight w:val="189"/>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(0.1)</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206.3 %</w:t>
            </w:r>
          </w:p>
        </w:tc>
        <w:tc>
          <w:tcPr>
            <w:tcW w:w="20" w:type="dxa"/>
            <w:vAlign w:val="bottom"/>
          </w:tcPr>
          <w:p>
            <w:pPr>
              <w:spacing w:after="0"/>
              <w:rPr>
                <w:sz w:val="16"/>
                <w:szCs w:val="16"/>
                <w:color w:val="auto"/>
              </w:rPr>
            </w:pPr>
          </w:p>
        </w:tc>
      </w:tr>
      <w:tr>
        <w:trPr>
          <w:trHeight w:val="189"/>
        </w:trPr>
        <w:tc>
          <w:tcPr>
            <w:tcW w:w="7600" w:type="dxa"/>
            <w:vAlign w:val="bottom"/>
          </w:tcPr>
          <w:p>
            <w:pPr>
              <w:ind w:left="140"/>
              <w:spacing w:after="0"/>
              <w:rPr>
                <w:sz w:val="20"/>
                <w:szCs w:val="20"/>
                <w:color w:val="auto"/>
              </w:rPr>
            </w:pPr>
            <w:r>
              <w:rPr>
                <w:rFonts w:ascii="Arial" w:cs="Arial" w:eastAsia="Arial" w:hAnsi="Arial"/>
                <w:sz w:val="14"/>
                <w:szCs w:val="14"/>
                <w:color w:val="auto"/>
              </w:rPr>
              <w:t>Add: Acquisition-related expenses</w:t>
            </w:r>
          </w:p>
        </w:tc>
        <w:tc>
          <w:tcPr>
            <w:tcW w:w="24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080" w:type="dxa"/>
            <w:vAlign w:val="bottom"/>
          </w:tcPr>
          <w:p>
            <w:pPr>
              <w:jc w:val="right"/>
              <w:spacing w:after="0"/>
              <w:rPr>
                <w:sz w:val="20"/>
                <w:szCs w:val="20"/>
                <w:color w:val="auto"/>
              </w:rPr>
            </w:pPr>
            <w:r>
              <w:rPr>
                <w:rFonts w:ascii="Arial" w:cs="Arial" w:eastAsia="Arial" w:hAnsi="Arial"/>
                <w:sz w:val="14"/>
                <w:szCs w:val="14"/>
                <w:color w:val="auto"/>
              </w:rPr>
              <w:t>(53.2)%</w:t>
            </w:r>
          </w:p>
        </w:tc>
        <w:tc>
          <w:tcPr>
            <w:tcW w:w="20" w:type="dxa"/>
            <w:vAlign w:val="bottom"/>
          </w:tcPr>
          <w:p>
            <w:pPr>
              <w:spacing w:after="0"/>
              <w:rPr>
                <w:sz w:val="16"/>
                <w:szCs w:val="16"/>
                <w:color w:val="auto"/>
              </w:rPr>
            </w:pPr>
          </w:p>
        </w:tc>
      </w:tr>
      <w:tr>
        <w:trPr>
          <w:trHeight w:val="189"/>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24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auto"/>
            </w:tcBorders>
            <w:shd w:val="clear" w:color="auto" w:fill="F4F4F4"/>
          </w:tcPr>
          <w:p>
            <w:pPr>
              <w:spacing w:after="0"/>
              <w:rPr>
                <w:sz w:val="16"/>
                <w:szCs w:val="16"/>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(562.5)%</w:t>
            </w:r>
          </w:p>
        </w:tc>
        <w:tc>
          <w:tcPr>
            <w:tcW w:w="20" w:type="dxa"/>
            <w:vAlign w:val="bottom"/>
          </w:tcPr>
          <w:p>
            <w:pPr>
              <w:spacing w:after="0"/>
              <w:rPr>
                <w:sz w:val="16"/>
                <w:szCs w:val="16"/>
                <w:color w:val="auto"/>
              </w:rPr>
            </w:pPr>
          </w:p>
        </w:tc>
      </w:tr>
      <w:tr>
        <w:trPr>
          <w:trHeight w:val="183"/>
        </w:trPr>
        <w:tc>
          <w:tcPr>
            <w:tcW w:w="7600" w:type="dxa"/>
            <w:vAlign w:val="bottom"/>
            <w:tcBorders>
              <w:bottom w:val="single" w:sz="8" w:color="F4F4F4"/>
            </w:tcBorders>
          </w:tcPr>
          <w:p>
            <w:pPr>
              <w:ind w:left="360"/>
              <w:spacing w:after="0" w:line="182" w:lineRule="exact"/>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40.5</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25.5</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59.1 %</w:t>
            </w:r>
          </w:p>
        </w:tc>
        <w:tc>
          <w:tcPr>
            <w:tcW w:w="20" w:type="dxa"/>
            <w:vAlign w:val="bottom"/>
          </w:tcPr>
          <w:p>
            <w:pPr>
              <w:spacing w:after="0"/>
              <w:rPr>
                <w:sz w:val="15"/>
                <w:szCs w:val="15"/>
                <w:color w:val="auto"/>
              </w:rPr>
            </w:pPr>
          </w:p>
        </w:tc>
      </w:tr>
      <w:tr>
        <w:trPr>
          <w:trHeight w:val="183"/>
        </w:trPr>
        <w:tc>
          <w:tcPr>
            <w:tcW w:w="7600" w:type="dxa"/>
            <w:vAlign w:val="bottom"/>
            <w:shd w:val="clear" w:color="auto" w:fill="F4F4F4"/>
          </w:tcPr>
          <w:p>
            <w:pPr>
              <w:ind w:left="20"/>
              <w:spacing w:after="0" w:line="182" w:lineRule="exact"/>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8"/>
                <w:szCs w:val="18"/>
                <w:b w:val="1"/>
                <w:bCs w:val="1"/>
                <w:color w:val="auto"/>
                <w:vertAlign w:val="superscript"/>
              </w:rPr>
              <w:t>(1)</w:t>
            </w:r>
          </w:p>
        </w:tc>
        <w:tc>
          <w:tcPr>
            <w:tcW w:w="2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47.2</w:t>
            </w:r>
          </w:p>
        </w:tc>
        <w:tc>
          <w:tcPr>
            <w:tcW w:w="2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33.9</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39.1 %</w:t>
            </w:r>
          </w:p>
        </w:tc>
        <w:tc>
          <w:tcPr>
            <w:tcW w:w="20" w:type="dxa"/>
            <w:vAlign w:val="bottom"/>
          </w:tcPr>
          <w:p>
            <w:pPr>
              <w:spacing w:after="0"/>
              <w:rPr>
                <w:sz w:val="15"/>
                <w:szCs w:val="15"/>
                <w:color w:val="auto"/>
              </w:rPr>
            </w:pPr>
          </w:p>
        </w:tc>
      </w:tr>
      <w:tr>
        <w:trPr>
          <w:trHeight w:val="183"/>
        </w:trPr>
        <w:tc>
          <w:tcPr>
            <w:tcW w:w="7600" w:type="dxa"/>
            <w:vAlign w:val="bottom"/>
          </w:tcPr>
          <w:p>
            <w:pPr>
              <w:ind w:left="140"/>
              <w:spacing w:after="0"/>
              <w:rPr>
                <w:sz w:val="20"/>
                <w:szCs w:val="20"/>
                <w:color w:val="auto"/>
              </w:rPr>
            </w:pPr>
            <w:r>
              <w:rPr>
                <w:rFonts w:ascii="Arial" w:cs="Arial" w:eastAsia="Arial" w:hAnsi="Arial"/>
                <w:sz w:val="14"/>
                <w:szCs w:val="14"/>
                <w:b w:val="1"/>
                <w:bCs w:val="1"/>
                <w:color w:val="auto"/>
              </w:rPr>
              <w:t>Non-GAAP operating margin</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21.5 %</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15.2 %</w:t>
            </w: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7600" w:type="dxa"/>
            <w:vAlign w:val="bottom"/>
            <w:shd w:val="clear" w:color="auto" w:fill="F4F4F4"/>
          </w:tcPr>
          <w:p>
            <w:pPr>
              <w:spacing w:after="0"/>
              <w:rPr>
                <w:sz w:val="12"/>
                <w:szCs w:val="12"/>
                <w:color w:val="auto"/>
              </w:rPr>
            </w:pPr>
          </w:p>
        </w:tc>
        <w:tc>
          <w:tcPr>
            <w:tcW w:w="240" w:type="dxa"/>
            <w:vAlign w:val="bottom"/>
            <w:shd w:val="clear" w:color="auto" w:fill="F4F4F4"/>
          </w:tcPr>
          <w:p>
            <w:pPr>
              <w:spacing w:after="0"/>
              <w:rPr>
                <w:sz w:val="12"/>
                <w:szCs w:val="12"/>
                <w:color w:val="auto"/>
              </w:rPr>
            </w:pPr>
          </w:p>
        </w:tc>
        <w:tc>
          <w:tcPr>
            <w:tcW w:w="1040" w:type="dxa"/>
            <w:vAlign w:val="bottom"/>
            <w:shd w:val="clear" w:color="auto" w:fill="F4F4F4"/>
          </w:tcPr>
          <w:p>
            <w:pPr>
              <w:spacing w:after="0"/>
              <w:rPr>
                <w:sz w:val="12"/>
                <w:szCs w:val="12"/>
                <w:color w:val="auto"/>
              </w:rPr>
            </w:pPr>
          </w:p>
        </w:tc>
        <w:tc>
          <w:tcPr>
            <w:tcW w:w="240" w:type="dxa"/>
            <w:vAlign w:val="bottom"/>
            <w:shd w:val="clear" w:color="auto" w:fill="F4F4F4"/>
          </w:tcPr>
          <w:p>
            <w:pPr>
              <w:spacing w:after="0"/>
              <w:rPr>
                <w:sz w:val="12"/>
                <w:szCs w:val="12"/>
                <w:color w:val="auto"/>
              </w:rPr>
            </w:pPr>
          </w:p>
        </w:tc>
        <w:tc>
          <w:tcPr>
            <w:tcW w:w="1040" w:type="dxa"/>
            <w:vAlign w:val="bottom"/>
            <w:shd w:val="clear" w:color="auto" w:fill="F4F4F4"/>
          </w:tcPr>
          <w:p>
            <w:pPr>
              <w:spacing w:after="0"/>
              <w:rPr>
                <w:sz w:val="12"/>
                <w:szCs w:val="12"/>
                <w:color w:val="auto"/>
              </w:rPr>
            </w:pPr>
          </w:p>
        </w:tc>
        <w:tc>
          <w:tcPr>
            <w:tcW w:w="1080" w:type="dxa"/>
            <w:vAlign w:val="bottom"/>
            <w:shd w:val="clear" w:color="auto" w:fill="F4F4F4"/>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GAAP income before provision for income taxes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0.5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1080" w:type="dxa"/>
            <w:vAlign w:val="bottom"/>
          </w:tcPr>
          <w:p>
            <w:pPr>
              <w:jc w:val="right"/>
              <w:spacing w:after="0"/>
              <w:rPr>
                <w:sz w:val="20"/>
                <w:szCs w:val="20"/>
                <w:color w:val="auto"/>
              </w:rPr>
            </w:pPr>
            <w:r>
              <w:rPr>
                <w:rFonts w:ascii="Arial" w:cs="Arial" w:eastAsia="Arial" w:hAnsi="Arial"/>
                <w:sz w:val="14"/>
                <w:szCs w:val="14"/>
                <w:color w:val="auto"/>
              </w:rPr>
              <w:t>(90.3)%</w:t>
            </w:r>
          </w:p>
        </w:tc>
        <w:tc>
          <w:tcPr>
            <w:tcW w:w="20" w:type="dxa"/>
            <w:vAlign w:val="bottom"/>
          </w:tcPr>
          <w:p>
            <w:pPr>
              <w:spacing w:after="0"/>
              <w:rPr>
                <w:sz w:val="16"/>
                <w:szCs w:val="16"/>
                <w:color w:val="auto"/>
              </w:rPr>
            </w:pPr>
          </w:p>
        </w:tc>
      </w:tr>
      <w:tr>
        <w:trPr>
          <w:trHeight w:val="189"/>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net (loss) income</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(0.2)</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4.6</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(103.5)%</w:t>
            </w:r>
          </w:p>
        </w:tc>
        <w:tc>
          <w:tcPr>
            <w:tcW w:w="20" w:type="dxa"/>
            <w:vAlign w:val="bottom"/>
          </w:tcPr>
          <w:p>
            <w:pPr>
              <w:spacing w:after="0"/>
              <w:rPr>
                <w:sz w:val="16"/>
                <w:szCs w:val="16"/>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Shares used in computing GAAP diluted earnings per share</w:t>
            </w:r>
          </w:p>
        </w:tc>
        <w:tc>
          <w:tcPr>
            <w:tcW w:w="240" w:type="dxa"/>
            <w:vAlign w:val="bottom"/>
          </w:tcPr>
          <w:p>
            <w:pPr>
              <w:spacing w:after="0"/>
              <w:rPr>
                <w:sz w:val="16"/>
                <w:szCs w:val="16"/>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47,363,197</w:t>
            </w:r>
          </w:p>
        </w:tc>
        <w:tc>
          <w:tcPr>
            <w:tcW w:w="2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48,455,751</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6"/>
                <w:szCs w:val="16"/>
                <w:color w:val="auto"/>
              </w:rPr>
            </w:pPr>
          </w:p>
        </w:tc>
      </w:tr>
      <w:tr>
        <w:trPr>
          <w:trHeight w:val="189"/>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b w:val="1"/>
                <w:bCs w:val="1"/>
                <w:color w:val="auto"/>
              </w:rPr>
              <w:t>GAAP diluted earnings per share</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0.10</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6"/>
                <w:szCs w:val="16"/>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GAAP income tax provision</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0.7</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6"/>
                <w:szCs w:val="16"/>
                <w:color w:val="auto"/>
              </w:rPr>
            </w:pPr>
          </w:p>
        </w:tc>
      </w:tr>
      <w:tr>
        <w:trPr>
          <w:trHeight w:val="189"/>
        </w:trPr>
        <w:tc>
          <w:tcPr>
            <w:tcW w:w="760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Total non-GAAP adjustments affecting income from operations</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40.5</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25.5</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59.1 %</w:t>
            </w:r>
          </w:p>
        </w:tc>
        <w:tc>
          <w:tcPr>
            <w:tcW w:w="20" w:type="dxa"/>
            <w:vAlign w:val="bottom"/>
          </w:tcPr>
          <w:p>
            <w:pPr>
              <w:spacing w:after="0"/>
              <w:rPr>
                <w:sz w:val="16"/>
                <w:szCs w:val="16"/>
                <w:color w:val="auto"/>
              </w:rPr>
            </w:pPr>
          </w:p>
        </w:tc>
      </w:tr>
      <w:tr>
        <w:trPr>
          <w:trHeight w:val="183"/>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40" w:type="dxa"/>
            <w:vAlign w:val="bottom"/>
            <w:shd w:val="clear" w:color="auto" w:fill="F4F4F4"/>
          </w:tcPr>
          <w:p>
            <w:pPr>
              <w:spacing w:after="0"/>
              <w:rPr>
                <w:sz w:val="15"/>
                <w:szCs w:val="15"/>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41.0</w:t>
            </w:r>
          </w:p>
        </w:tc>
        <w:tc>
          <w:tcPr>
            <w:tcW w:w="240" w:type="dxa"/>
            <w:vAlign w:val="bottom"/>
            <w:shd w:val="clear" w:color="auto" w:fill="F4F4F4"/>
          </w:tcPr>
          <w:p>
            <w:pPr>
              <w:spacing w:after="0"/>
              <w:rPr>
                <w:sz w:val="15"/>
                <w:szCs w:val="15"/>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30.8</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33.2 %</w:t>
            </w:r>
          </w:p>
        </w:tc>
        <w:tc>
          <w:tcPr>
            <w:tcW w:w="20" w:type="dxa"/>
            <w:vAlign w:val="bottom"/>
          </w:tcPr>
          <w:p>
            <w:pPr>
              <w:spacing w:after="0"/>
              <w:rPr>
                <w:sz w:val="15"/>
                <w:szCs w:val="15"/>
                <w:color w:val="auto"/>
              </w:rPr>
            </w:pPr>
          </w:p>
        </w:tc>
      </w:tr>
      <w:tr>
        <w:trPr>
          <w:trHeight w:val="189"/>
        </w:trPr>
        <w:tc>
          <w:tcPr>
            <w:tcW w:w="7600" w:type="dxa"/>
            <w:vAlign w:val="bottom"/>
            <w:tcBorders>
              <w:bottom w:val="single" w:sz="8" w:color="F4F4F4"/>
            </w:tcBorders>
          </w:tcPr>
          <w:p>
            <w:pPr>
              <w:ind w:left="140"/>
              <w:spacing w:after="0" w:line="189" w:lineRule="exact"/>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8.2</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33.2 %</w:t>
            </w:r>
          </w:p>
        </w:tc>
        <w:tc>
          <w:tcPr>
            <w:tcW w:w="20" w:type="dxa"/>
            <w:vAlign w:val="bottom"/>
          </w:tcPr>
          <w:p>
            <w:pPr>
              <w:spacing w:after="0"/>
              <w:rPr>
                <w:sz w:val="16"/>
                <w:szCs w:val="16"/>
                <w:color w:val="auto"/>
              </w:rPr>
            </w:pPr>
          </w:p>
        </w:tc>
      </w:tr>
      <w:tr>
        <w:trPr>
          <w:trHeight w:val="183"/>
        </w:trPr>
        <w:tc>
          <w:tcPr>
            <w:tcW w:w="7600" w:type="dxa"/>
            <w:vAlign w:val="bottom"/>
            <w:shd w:val="clear" w:color="auto" w:fill="F4F4F4"/>
          </w:tcPr>
          <w:p>
            <w:pPr>
              <w:ind w:left="20"/>
              <w:spacing w:after="0" w:line="182" w:lineRule="exact"/>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8"/>
                <w:szCs w:val="18"/>
                <w:b w:val="1"/>
                <w:bCs w:val="1"/>
                <w:color w:val="auto"/>
                <w:vertAlign w:val="superscript"/>
              </w:rPr>
              <w:t>(1)</w:t>
            </w:r>
          </w:p>
        </w:tc>
        <w:tc>
          <w:tcPr>
            <w:tcW w:w="2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32.8</w:t>
            </w:r>
          </w:p>
        </w:tc>
        <w:tc>
          <w:tcPr>
            <w:tcW w:w="2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24.7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33.2 %</w:t>
            </w:r>
          </w:p>
        </w:tc>
        <w:tc>
          <w:tcPr>
            <w:tcW w:w="20" w:type="dxa"/>
            <w:vAlign w:val="bottom"/>
          </w:tcPr>
          <w:p>
            <w:pPr>
              <w:spacing w:after="0"/>
              <w:rPr>
                <w:sz w:val="15"/>
                <w:szCs w:val="15"/>
                <w:color w:val="auto"/>
              </w:rPr>
            </w:pPr>
          </w:p>
        </w:tc>
      </w:tr>
      <w:tr>
        <w:trPr>
          <w:trHeight w:val="129"/>
        </w:trPr>
        <w:tc>
          <w:tcPr>
            <w:tcW w:w="7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9"/>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Shares used in computing non-GAAP diluted earnings per share</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48,387,042</w:t>
            </w:r>
          </w:p>
        </w:tc>
        <w:tc>
          <w:tcPr>
            <w:tcW w:w="240" w:type="dxa"/>
            <w:vAlign w:val="bottom"/>
            <w:shd w:val="clear" w:color="auto" w:fill="F4F4F4"/>
          </w:tcPr>
          <w:p>
            <w:pPr>
              <w:spacing w:after="0"/>
              <w:rPr>
                <w:sz w:val="16"/>
                <w:szCs w:val="16"/>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48,455,751</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6"/>
                <w:szCs w:val="16"/>
                <w:color w:val="auto"/>
              </w:rPr>
            </w:pPr>
          </w:p>
        </w:tc>
      </w:tr>
      <w:tr>
        <w:trPr>
          <w:trHeight w:val="189"/>
        </w:trPr>
        <w:tc>
          <w:tcPr>
            <w:tcW w:w="7600" w:type="dxa"/>
            <w:vAlign w:val="bottom"/>
            <w:tcBorders>
              <w:bottom w:val="single" w:sz="8" w:color="71BF43"/>
            </w:tcBorders>
          </w:tcPr>
          <w:p>
            <w:pPr>
              <w:ind w:left="140"/>
              <w:spacing w:after="0"/>
              <w:rPr>
                <w:sz w:val="20"/>
                <w:szCs w:val="20"/>
                <w:color w:val="auto"/>
              </w:rPr>
            </w:pPr>
            <w:r>
              <w:rPr>
                <w:rFonts w:ascii="Arial" w:cs="Arial" w:eastAsia="Arial" w:hAnsi="Arial"/>
                <w:sz w:val="14"/>
                <w:szCs w:val="14"/>
                <w:b w:val="1"/>
                <w:bCs w:val="1"/>
                <w:color w:val="auto"/>
              </w:rPr>
              <w:t>Non-GAAP diluted earnings per share</w:t>
            </w:r>
          </w:p>
        </w:tc>
        <w:tc>
          <w:tcPr>
            <w:tcW w:w="240" w:type="dxa"/>
            <w:vAlign w:val="bottom"/>
            <w:tcBorders>
              <w:bottom w:val="single" w:sz="8" w:color="71BF43"/>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tcPr>
          <w:p>
            <w:pPr>
              <w:jc w:val="right"/>
              <w:ind w:right="128"/>
              <w:spacing w:after="0"/>
              <w:rPr>
                <w:sz w:val="20"/>
                <w:szCs w:val="20"/>
                <w:color w:val="auto"/>
              </w:rPr>
            </w:pPr>
            <w:r>
              <w:rPr>
                <w:rFonts w:ascii="Arial" w:cs="Arial" w:eastAsia="Arial" w:hAnsi="Arial"/>
                <w:sz w:val="14"/>
                <w:szCs w:val="14"/>
                <w:color w:val="auto"/>
              </w:rPr>
              <w:t>0.68</w:t>
            </w:r>
          </w:p>
        </w:tc>
        <w:tc>
          <w:tcPr>
            <w:tcW w:w="240" w:type="dxa"/>
            <w:vAlign w:val="bottom"/>
            <w:tcBorders>
              <w:bottom w:val="single" w:sz="8" w:color="71BF43"/>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tcPr>
          <w:p>
            <w:pPr>
              <w:jc w:val="right"/>
              <w:ind w:right="108"/>
              <w:spacing w:after="0"/>
              <w:rPr>
                <w:sz w:val="20"/>
                <w:szCs w:val="20"/>
                <w:color w:val="auto"/>
              </w:rPr>
            </w:pPr>
            <w:r>
              <w:rPr>
                <w:rFonts w:ascii="Arial" w:cs="Arial" w:eastAsia="Arial" w:hAnsi="Arial"/>
                <w:sz w:val="14"/>
                <w:szCs w:val="14"/>
                <w:color w:val="auto"/>
              </w:rPr>
              <w:t>0.51</w:t>
            </w: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33.3 %</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-3256915</wp:posOffset>
            </wp:positionV>
            <wp:extent cx="23228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income from operations or non-GAAP net income due to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shd w:val="clear" w:color="auto" w:fill="ACACAC"/>
          </w:tcPr>
          <w:p>
            <w:pPr>
              <w:spacing w:after="0"/>
              <w:rPr>
                <w:sz w:val="14"/>
                <w:szCs w:val="14"/>
                <w:color w:val="auto"/>
              </w:rPr>
            </w:pPr>
          </w:p>
        </w:tc>
        <w:tc>
          <w:tcPr>
            <w:tcW w:w="606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400" w:type="dxa"/>
            <w:vAlign w:val="bottom"/>
            <w:shd w:val="clear" w:color="auto" w:fill="ACACAC"/>
          </w:tcPr>
          <w:p>
            <w:pPr>
              <w:spacing w:after="0"/>
              <w:rPr>
                <w:sz w:val="14"/>
                <w:szCs w:val="14"/>
                <w:color w:val="auto"/>
              </w:rPr>
            </w:pPr>
          </w:p>
        </w:tc>
        <w:tc>
          <w:tcPr>
            <w:tcW w:w="20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5"/>
        </w:trPr>
        <w:tc>
          <w:tcPr>
            <w:tcW w:w="1500" w:type="dxa"/>
            <w:vAlign w:val="bottom"/>
            <w:shd w:val="clear" w:color="auto" w:fill="ACACAC"/>
          </w:tcPr>
          <w:p>
            <w:pPr>
              <w:spacing w:after="0"/>
              <w:rPr>
                <w:sz w:val="15"/>
                <w:szCs w:val="15"/>
                <w:color w:val="auto"/>
              </w:rPr>
            </w:pPr>
          </w:p>
        </w:tc>
        <w:tc>
          <w:tcPr>
            <w:tcW w:w="6060" w:type="dxa"/>
            <w:vAlign w:val="bottom"/>
            <w:shd w:val="clear" w:color="auto" w:fill="ACACAC"/>
          </w:tcPr>
          <w:p>
            <w:pPr>
              <w:spacing w:after="0"/>
              <w:rPr>
                <w:sz w:val="15"/>
                <w:szCs w:val="15"/>
                <w:color w:val="auto"/>
              </w:rPr>
            </w:pPr>
          </w:p>
        </w:tc>
        <w:tc>
          <w:tcPr>
            <w:tcW w:w="440" w:type="dxa"/>
            <w:vAlign w:val="bottom"/>
            <w:shd w:val="clear" w:color="auto" w:fill="ACACAC"/>
          </w:tcPr>
          <w:p>
            <w:pPr>
              <w:spacing w:after="0"/>
              <w:rPr>
                <w:sz w:val="15"/>
                <w:szCs w:val="15"/>
                <w:color w:val="auto"/>
              </w:rPr>
            </w:pPr>
          </w:p>
        </w:tc>
        <w:tc>
          <w:tcPr>
            <w:tcW w:w="760" w:type="dxa"/>
            <w:vAlign w:val="bottom"/>
            <w:shd w:val="clear" w:color="auto" w:fill="ACACAC"/>
          </w:tcPr>
          <w:p>
            <w:pPr>
              <w:spacing w:after="0"/>
              <w:rPr>
                <w:sz w:val="15"/>
                <w:szCs w:val="15"/>
                <w:color w:val="auto"/>
              </w:rPr>
            </w:pPr>
          </w:p>
        </w:tc>
        <w:tc>
          <w:tcPr>
            <w:tcW w:w="400" w:type="dxa"/>
            <w:vAlign w:val="bottom"/>
            <w:shd w:val="clear" w:color="auto" w:fill="ACACAC"/>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15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6060" w:type="dxa"/>
            <w:vAlign w:val="bottom"/>
            <w:shd w:val="clear" w:color="auto" w:fill="ACACAC"/>
          </w:tcPr>
          <w:p>
            <w:pPr>
              <w:spacing w:after="0"/>
              <w:rPr>
                <w:sz w:val="18"/>
                <w:szCs w:val="18"/>
                <w:color w:val="auto"/>
              </w:rPr>
            </w:pPr>
          </w:p>
        </w:tc>
        <w:tc>
          <w:tcPr>
            <w:tcW w:w="440" w:type="dxa"/>
            <w:vAlign w:val="bottom"/>
            <w:shd w:val="clear" w:color="auto" w:fill="ACACAC"/>
          </w:tcPr>
          <w:p>
            <w:pPr>
              <w:spacing w:after="0"/>
              <w:rPr>
                <w:sz w:val="18"/>
                <w:szCs w:val="18"/>
                <w:color w:val="auto"/>
              </w:rPr>
            </w:pPr>
          </w:p>
        </w:tc>
        <w:tc>
          <w:tcPr>
            <w:tcW w:w="7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00" w:type="dxa"/>
            <w:vAlign w:val="bottom"/>
            <w:shd w:val="clear" w:color="auto" w:fill="ACACAC"/>
          </w:tcPr>
          <w:p>
            <w:pPr>
              <w:spacing w:after="0"/>
              <w:rPr>
                <w:sz w:val="18"/>
                <w:szCs w:val="18"/>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3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8"/>
                <w:szCs w:val="18"/>
                <w:color w:val="auto"/>
              </w:rPr>
            </w:pPr>
          </w:p>
        </w:tc>
      </w:tr>
      <w:tr>
        <w:trPr>
          <w:trHeight w:val="230"/>
        </w:trPr>
        <w:tc>
          <w:tcPr>
            <w:tcW w:w="7560" w:type="dxa"/>
            <w:vAlign w:val="bottom"/>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GAAP net cash provided by (used in) operating activities</w:t>
            </w:r>
          </w:p>
        </w:tc>
        <w:tc>
          <w:tcPr>
            <w:tcW w:w="440" w:type="dxa"/>
            <w:vAlign w:val="bottom"/>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30.1</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(24.5)</w:t>
            </w:r>
          </w:p>
        </w:tc>
        <w:tc>
          <w:tcPr>
            <w:tcW w:w="13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9"/>
                <w:szCs w:val="19"/>
                <w:color w:val="auto"/>
              </w:rPr>
            </w:pP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Less: purchase of property and equipment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300" w:type="dxa"/>
            <w:vAlign w:val="bottom"/>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r>
      <w:tr>
        <w:trPr>
          <w:trHeight w:val="229"/>
        </w:trPr>
        <w:tc>
          <w:tcPr>
            <w:tcW w:w="7560" w:type="dxa"/>
            <w:vAlign w:val="bottom"/>
            <w:gridSpan w:val="2"/>
            <w:shd w:val="clear" w:color="auto" w:fill="F4F4F4"/>
          </w:tcPr>
          <w:p>
            <w:pPr>
              <w:ind w:left="140"/>
              <w:spacing w:after="0"/>
              <w:rPr>
                <w:sz w:val="20"/>
                <w:szCs w:val="20"/>
                <w:color w:val="auto"/>
              </w:rPr>
            </w:pPr>
            <w:r>
              <w:rPr>
                <w:rFonts w:ascii="Arial" w:cs="Arial" w:eastAsia="Arial" w:hAnsi="Arial"/>
                <w:sz w:val="18"/>
                <w:szCs w:val="18"/>
                <w:color w:val="auto"/>
              </w:rPr>
              <w:t>Less: capitalized software development costs</w:t>
            </w:r>
          </w:p>
        </w:tc>
        <w:tc>
          <w:tcPr>
            <w:tcW w:w="440" w:type="dxa"/>
            <w:vAlign w:val="bottom"/>
            <w:tcBorders>
              <w:bottom w:val="single" w:sz="8" w:color="auto"/>
            </w:tcBorders>
            <w:shd w:val="clear" w:color="auto" w:fill="F4F4F4"/>
          </w:tcPr>
          <w:p>
            <w:pPr>
              <w:spacing w:after="0"/>
              <w:rPr>
                <w:sz w:val="19"/>
                <w:szCs w:val="19"/>
                <w:color w:val="auto"/>
              </w:rPr>
            </w:pPr>
          </w:p>
        </w:tc>
        <w:tc>
          <w:tcPr>
            <w:tcW w:w="7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auto"/>
            </w:tcBorders>
            <w:shd w:val="clear" w:color="auto" w:fill="F4F4F4"/>
          </w:tcPr>
          <w:p>
            <w:pPr>
              <w:spacing w:after="0"/>
              <w:rPr>
                <w:sz w:val="19"/>
                <w:szCs w:val="19"/>
                <w:color w:val="auto"/>
              </w:rPr>
            </w:pPr>
          </w:p>
        </w:tc>
        <w:tc>
          <w:tcPr>
            <w:tcW w:w="7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8"/>
                <w:szCs w:val="18"/>
                <w:color w:val="auto"/>
              </w:rPr>
              <w:t>(10.9)</w:t>
            </w:r>
          </w:p>
        </w:tc>
        <w:tc>
          <w:tcPr>
            <w:tcW w:w="13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r>
      <w:tr>
        <w:trPr>
          <w:trHeight w:val="223"/>
        </w:trPr>
        <w:tc>
          <w:tcPr>
            <w:tcW w:w="7560" w:type="dxa"/>
            <w:vAlign w:val="bottom"/>
            <w:tcBorders>
              <w:bottom w:val="single" w:sz="8" w:color="71BF43"/>
            </w:tcBorders>
            <w:gridSpan w:val="2"/>
          </w:tcPr>
          <w:p>
            <w:pPr>
              <w:ind w:left="20"/>
              <w:spacing w:after="0"/>
              <w:rPr>
                <w:sz w:val="20"/>
                <w:szCs w:val="20"/>
                <w:color w:val="auto"/>
              </w:rPr>
            </w:pPr>
            <w:r>
              <w:rPr>
                <w:rFonts w:ascii="Arial" w:cs="Arial" w:eastAsia="Arial" w:hAnsi="Arial"/>
                <w:sz w:val="18"/>
                <w:szCs w:val="18"/>
                <w:b w:val="1"/>
                <w:bCs w:val="1"/>
                <w:color w:val="auto"/>
              </w:rPr>
              <w:t>Non-GAAP free cash flow</w:t>
            </w:r>
          </w:p>
        </w:tc>
        <w:tc>
          <w:tcPr>
            <w:tcW w:w="440" w:type="dxa"/>
            <w:vAlign w:val="bottom"/>
            <w:tcBorders>
              <w:bottom w:val="single" w:sz="8" w:color="71BF43"/>
            </w:tcBorders>
          </w:tcPr>
          <w:p>
            <w:pPr>
              <w:jc w:val="right"/>
              <w:ind w:right="2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Borders>
              <w:bottom w:val="single" w:sz="8" w:color="71BF43"/>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(38.3)</w:t>
            </w:r>
          </w:p>
        </w:tc>
        <w:tc>
          <w:tcPr>
            <w:tcW w:w="1300" w:type="dxa"/>
            <w:vAlign w:val="bottom"/>
            <w:tcBorders>
              <w:bottom w:val="single" w:sz="8" w:color="71BF43"/>
            </w:tcBorders>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9"/>
                <w:szCs w:val="19"/>
                <w:color w:val="auto"/>
              </w:rPr>
            </w:pPr>
          </w:p>
        </w:tc>
      </w:tr>
      <w:tr>
        <w:trPr>
          <w:trHeight w:val="710"/>
        </w:trPr>
        <w:tc>
          <w:tcPr>
            <w:tcW w:w="1500" w:type="dxa"/>
            <w:vAlign w:val="bottom"/>
          </w:tcPr>
          <w:p>
            <w:pPr>
              <w:ind w:left="20"/>
              <w:spacing w:after="0"/>
              <w:rPr>
                <w:sz w:val="20"/>
                <w:szCs w:val="20"/>
                <w:color w:val="auto"/>
              </w:rPr>
            </w:pPr>
            <w:r>
              <w:rPr>
                <w:rFonts w:ascii="Arial" w:cs="Arial" w:eastAsia="Arial" w:hAnsi="Arial"/>
                <w:sz w:val="14"/>
                <w:szCs w:val="14"/>
                <w:color w:val="auto"/>
              </w:rPr>
              <w:t>30</w:t>
            </w:r>
          </w:p>
        </w:tc>
        <w:tc>
          <w:tcPr>
            <w:tcW w:w="6060" w:type="dxa"/>
            <w:vAlign w:val="bottom"/>
          </w:tcPr>
          <w:p>
            <w:pPr>
              <w:ind w:left="140"/>
              <w:spacing w:after="0"/>
              <w:rPr>
                <w:sz w:val="20"/>
                <w:szCs w:val="20"/>
                <w:color w:val="auto"/>
              </w:rPr>
            </w:pPr>
            <w:r>
              <w:rPr>
                <w:rFonts w:ascii="Arial" w:cs="Arial" w:eastAsia="Arial" w:hAnsi="Arial"/>
                <w:sz w:val="14"/>
                <w:szCs w:val="14"/>
                <w:color w:val="auto"/>
              </w:rPr>
              <w:t>First Quarter 2021 Form 10-Q</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3"/>
        </w:trPr>
        <w:tc>
          <w:tcPr>
            <w:tcW w:w="150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-1396365</wp:posOffset>
            </wp:positionV>
            <wp:extent cx="23399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organic revenue growth</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addition, we discuss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and they include the non-GAAP revenue attributable to those companies, as if there were no acquisition-related write-downs of acquired deferred revenue to fair value as required by GAAP.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00" w:type="dxa"/>
            <w:vAlign w:val="bottom"/>
            <w:shd w:val="clear" w:color="auto" w:fill="ACACAC"/>
          </w:tcPr>
          <w:p>
            <w:pPr>
              <w:spacing w:after="0"/>
              <w:rPr>
                <w:sz w:val="17"/>
                <w:szCs w:val="17"/>
                <w:color w:val="auto"/>
              </w:rPr>
            </w:pPr>
          </w:p>
        </w:tc>
        <w:tc>
          <w:tcPr>
            <w:tcW w:w="480" w:type="dxa"/>
            <w:vAlign w:val="bottom"/>
            <w:shd w:val="clear" w:color="auto" w:fill="ACACAC"/>
          </w:tcPr>
          <w:p>
            <w:pPr>
              <w:spacing w:after="0"/>
              <w:rPr>
                <w:sz w:val="17"/>
                <w:szCs w:val="17"/>
                <w:color w:val="auto"/>
              </w:rPr>
            </w:pPr>
          </w:p>
        </w:tc>
        <w:tc>
          <w:tcPr>
            <w:tcW w:w="21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7"/>
                <w:szCs w:val="17"/>
                <w:color w:val="auto"/>
              </w:rPr>
            </w:pPr>
          </w:p>
        </w:tc>
      </w:tr>
      <w:tr>
        <w:trPr>
          <w:trHeight w:val="176"/>
        </w:trPr>
        <w:tc>
          <w:tcPr>
            <w:tcW w:w="8600" w:type="dxa"/>
            <w:vAlign w:val="bottom"/>
            <w:shd w:val="clear" w:color="auto" w:fill="ACACAC"/>
          </w:tcPr>
          <w:p>
            <w:pPr>
              <w:spacing w:after="0"/>
              <w:rPr>
                <w:sz w:val="15"/>
                <w:szCs w:val="15"/>
                <w:color w:val="auto"/>
              </w:rPr>
            </w:pPr>
          </w:p>
        </w:tc>
        <w:tc>
          <w:tcPr>
            <w:tcW w:w="480" w:type="dxa"/>
            <w:vAlign w:val="bottom"/>
            <w:shd w:val="clear" w:color="auto" w:fill="ACACAC"/>
          </w:tcPr>
          <w:p>
            <w:pPr>
              <w:spacing w:after="0"/>
              <w:rPr>
                <w:sz w:val="15"/>
                <w:szCs w:val="15"/>
                <w:color w:val="auto"/>
              </w:rPr>
            </w:pPr>
          </w:p>
        </w:tc>
        <w:tc>
          <w:tcPr>
            <w:tcW w:w="900" w:type="dxa"/>
            <w:vAlign w:val="bottom"/>
            <w:shd w:val="clear" w:color="auto" w:fill="ACACAC"/>
          </w:tcPr>
          <w:p>
            <w:pPr>
              <w:spacing w:after="0"/>
              <w:rPr>
                <w:sz w:val="15"/>
                <w:szCs w:val="15"/>
                <w:color w:val="auto"/>
              </w:rPr>
            </w:pPr>
          </w:p>
        </w:tc>
        <w:tc>
          <w:tcPr>
            <w:tcW w:w="340" w:type="dxa"/>
            <w:vAlign w:val="bottom"/>
            <w:shd w:val="clear" w:color="auto" w:fill="ACACAC"/>
          </w:tcPr>
          <w:p>
            <w:pPr>
              <w:spacing w:after="0"/>
              <w:rPr>
                <w:sz w:val="15"/>
                <w:szCs w:val="15"/>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378"/>
        </w:trPr>
        <w:tc>
          <w:tcPr>
            <w:tcW w:w="86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80" w:type="dxa"/>
            <w:vAlign w:val="bottom"/>
            <w:shd w:val="clear" w:color="auto" w:fill="ACACAC"/>
          </w:tcPr>
          <w:p>
            <w:pPr>
              <w:spacing w:after="0"/>
              <w:rPr>
                <w:sz w:val="24"/>
                <w:szCs w:val="24"/>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340" w:type="dxa"/>
            <w:vAlign w:val="bottom"/>
            <w:shd w:val="clear" w:color="auto" w:fill="ACACAC"/>
          </w:tcPr>
          <w:p>
            <w:pPr>
              <w:spacing w:after="0"/>
              <w:rPr>
                <w:sz w:val="24"/>
                <w:szCs w:val="2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ACACAC"/>
          </w:tcPr>
          <w:p>
            <w:pPr>
              <w:spacing w:after="0"/>
              <w:rPr>
                <w:sz w:val="24"/>
                <w:szCs w:val="24"/>
                <w:color w:val="auto"/>
              </w:rPr>
            </w:pPr>
          </w:p>
        </w:tc>
      </w:tr>
      <w:tr>
        <w:trPr>
          <w:trHeight w:val="189"/>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revenue</w:t>
            </w:r>
          </w:p>
        </w:tc>
        <w:tc>
          <w:tcPr>
            <w:tcW w:w="480" w:type="dxa"/>
            <w:vAlign w:val="bottom"/>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219.2</w:t>
            </w:r>
          </w:p>
        </w:tc>
        <w:tc>
          <w:tcPr>
            <w:tcW w:w="340" w:type="dxa"/>
            <w:vAlign w:val="bottom"/>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223.6</w:t>
            </w:r>
          </w:p>
        </w:tc>
        <w:tc>
          <w:tcPr>
            <w:tcW w:w="20" w:type="dxa"/>
            <w:vAlign w:val="bottom"/>
          </w:tcPr>
          <w:p>
            <w:pPr>
              <w:spacing w:after="0"/>
              <w:rPr>
                <w:sz w:val="16"/>
                <w:szCs w:val="16"/>
                <w:color w:val="auto"/>
              </w:rPr>
            </w:pPr>
          </w:p>
        </w:tc>
      </w:tr>
      <w:tr>
        <w:trPr>
          <w:trHeight w:val="189"/>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GAAP revenue growth</w:t>
            </w: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8600" w:type="dxa"/>
            <w:vAlign w:val="bottom"/>
            <w:shd w:val="clear" w:color="auto" w:fill="F4F4F4"/>
          </w:tcPr>
          <w:p>
            <w:pPr>
              <w:ind w:left="140"/>
              <w:spacing w:after="0" w:line="189" w:lineRule="exact"/>
              <w:rPr>
                <w:sz w:val="20"/>
                <w:szCs w:val="20"/>
                <w:color w:val="auto"/>
              </w:rPr>
            </w:pPr>
            <w:r>
              <w:rPr>
                <w:rFonts w:ascii="Arial" w:cs="Arial" w:eastAsia="Arial" w:hAnsi="Arial"/>
                <w:sz w:val="14"/>
                <w:szCs w:val="14"/>
                <w:color w:val="auto"/>
              </w:rPr>
              <w:t xml:space="preserve">Add: Non-GAAP acquisition-related revenue </w:t>
            </w:r>
            <w:r>
              <w:rPr>
                <w:rFonts w:ascii="Arial" w:cs="Arial" w:eastAsia="Arial" w:hAnsi="Arial"/>
                <w:sz w:val="18"/>
                <w:szCs w:val="18"/>
                <w:color w:val="auto"/>
                <w:vertAlign w:val="superscript"/>
              </w:rPr>
              <w:t>(1)</w:t>
            </w:r>
          </w:p>
        </w:tc>
        <w:tc>
          <w:tcPr>
            <w:tcW w:w="480" w:type="dxa"/>
            <w:vAlign w:val="bottom"/>
            <w:tcBorders>
              <w:bottom w:val="single" w:sz="8" w:color="auto"/>
            </w:tcBorders>
            <w:shd w:val="clear" w:color="auto" w:fill="F4F4F4"/>
          </w:tcPr>
          <w:p>
            <w:pPr>
              <w:spacing w:after="0"/>
              <w:rPr>
                <w:sz w:val="16"/>
                <w:szCs w:val="16"/>
                <w:color w:val="auto"/>
              </w:rPr>
            </w:pPr>
          </w:p>
        </w:tc>
        <w:tc>
          <w:tcPr>
            <w:tcW w:w="9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F4F4F4"/>
          </w:tcPr>
          <w:p>
            <w:pPr>
              <w:spacing w:after="0"/>
              <w:rPr>
                <w:sz w:val="16"/>
                <w:szCs w:val="16"/>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183"/>
        </w:trPr>
        <w:tc>
          <w:tcPr>
            <w:tcW w:w="8600" w:type="dxa"/>
            <w:vAlign w:val="bottom"/>
            <w:tcBorders>
              <w:bottom w:val="single" w:sz="8" w:color="F4F4F4"/>
            </w:tcBorders>
          </w:tcPr>
          <w:p>
            <w:pPr>
              <w:ind w:left="20"/>
              <w:spacing w:after="0" w:line="182" w:lineRule="exact"/>
              <w:rPr>
                <w:sz w:val="20"/>
                <w:szCs w:val="20"/>
                <w:color w:val="auto"/>
              </w:rPr>
            </w:pPr>
            <w:r>
              <w:rPr>
                <w:rFonts w:ascii="Arial" w:cs="Arial" w:eastAsia="Arial" w:hAnsi="Arial"/>
                <w:sz w:val="14"/>
                <w:szCs w:val="14"/>
                <w:color w:val="auto"/>
              </w:rPr>
              <w:t xml:space="preserve">Non-GAAP organic revenue </w:t>
            </w:r>
            <w:r>
              <w:rPr>
                <w:rFonts w:ascii="Arial" w:cs="Arial" w:eastAsia="Arial" w:hAnsi="Arial"/>
                <w:sz w:val="18"/>
                <w:szCs w:val="18"/>
                <w:color w:val="auto"/>
                <w:vertAlign w:val="superscript"/>
              </w:rPr>
              <w:t>(2)</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219.2</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20" w:type="dxa"/>
            <w:vAlign w:val="bottom"/>
          </w:tcPr>
          <w:p>
            <w:pPr>
              <w:spacing w:after="0"/>
              <w:rPr>
                <w:sz w:val="15"/>
                <w:szCs w:val="15"/>
                <w:color w:val="auto"/>
              </w:rPr>
            </w:pPr>
          </w:p>
        </w:tc>
      </w:tr>
      <w:tr>
        <w:trPr>
          <w:trHeight w:val="182"/>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organic revenue growth</w:t>
            </w:r>
          </w:p>
        </w:tc>
        <w:tc>
          <w:tcPr>
            <w:tcW w:w="480" w:type="dxa"/>
            <w:vAlign w:val="bottom"/>
            <w:shd w:val="clear" w:color="auto" w:fill="F4F4F4"/>
          </w:tcPr>
          <w:p>
            <w:pPr>
              <w:spacing w:after="0"/>
              <w:rPr>
                <w:sz w:val="15"/>
                <w:szCs w:val="15"/>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(2.0)%</w:t>
            </w:r>
          </w:p>
        </w:tc>
        <w:tc>
          <w:tcPr>
            <w:tcW w:w="340" w:type="dxa"/>
            <w:vAlign w:val="bottom"/>
            <w:shd w:val="clear" w:color="auto" w:fill="F4F4F4"/>
          </w:tcPr>
          <w:p>
            <w:pPr>
              <w:spacing w:after="0"/>
              <w:rPr>
                <w:sz w:val="15"/>
                <w:szCs w:val="15"/>
                <w:color w:val="auto"/>
              </w:rPr>
            </w:pPr>
          </w:p>
        </w:tc>
        <w:tc>
          <w:tcPr>
            <w:tcW w:w="920" w:type="dxa"/>
            <w:vAlign w:val="bottom"/>
            <w:shd w:val="clear" w:color="auto" w:fill="F4F4F4"/>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8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8600" w:type="dxa"/>
            <w:vAlign w:val="bottom"/>
            <w:shd w:val="clear" w:color="auto" w:fill="F4F4F4"/>
          </w:tcPr>
          <w:p>
            <w:pPr>
              <w:ind w:left="20"/>
              <w:spacing w:after="0" w:line="189" w:lineRule="exact"/>
              <w:rPr>
                <w:sz w:val="20"/>
                <w:szCs w:val="20"/>
                <w:color w:val="auto"/>
              </w:rPr>
            </w:pPr>
            <w:r>
              <w:rPr>
                <w:rFonts w:ascii="Arial" w:cs="Arial" w:eastAsia="Arial" w:hAnsi="Arial"/>
                <w:sz w:val="14"/>
                <w:szCs w:val="14"/>
                <w:color w:val="auto"/>
              </w:rPr>
              <w:t xml:space="preserve">Non-GAAP organic revenue </w:t>
            </w:r>
            <w:r>
              <w:rPr>
                <w:rFonts w:ascii="Arial" w:cs="Arial" w:eastAsia="Arial" w:hAnsi="Arial"/>
                <w:sz w:val="18"/>
                <w:szCs w:val="18"/>
                <w:color w:val="auto"/>
                <w:vertAlign w:val="superscript"/>
              </w:rPr>
              <w:t>(2)</w:t>
            </w:r>
          </w:p>
        </w:tc>
        <w:tc>
          <w:tcPr>
            <w:tcW w:w="480" w:type="dxa"/>
            <w:vAlign w:val="bottom"/>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219.2</w:t>
            </w:r>
          </w:p>
        </w:tc>
        <w:tc>
          <w:tcPr>
            <w:tcW w:w="340" w:type="dxa"/>
            <w:vAlign w:val="bottom"/>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223.6</w:t>
            </w:r>
          </w:p>
        </w:tc>
        <w:tc>
          <w:tcPr>
            <w:tcW w:w="20" w:type="dxa"/>
            <w:vAlign w:val="bottom"/>
          </w:tcPr>
          <w:p>
            <w:pPr>
              <w:spacing w:after="0"/>
              <w:rPr>
                <w:sz w:val="16"/>
                <w:szCs w:val="16"/>
                <w:color w:val="auto"/>
              </w:rPr>
            </w:pPr>
          </w:p>
        </w:tc>
      </w:tr>
      <w:tr>
        <w:trPr>
          <w:trHeight w:val="189"/>
        </w:trPr>
        <w:tc>
          <w:tcPr>
            <w:tcW w:w="8600" w:type="dxa"/>
            <w:vAlign w:val="bottom"/>
            <w:tcBorders>
              <w:bottom w:val="single" w:sz="8" w:color="F4F4F4"/>
            </w:tcBorders>
          </w:tcPr>
          <w:p>
            <w:pPr>
              <w:ind w:left="20"/>
              <w:spacing w:after="0" w:line="189" w:lineRule="exact"/>
              <w:rPr>
                <w:sz w:val="20"/>
                <w:szCs w:val="20"/>
                <w:color w:val="auto"/>
              </w:rPr>
            </w:pPr>
            <w:r>
              <w:rPr>
                <w:rFonts w:ascii="Arial" w:cs="Arial" w:eastAsia="Arial" w:hAnsi="Arial"/>
                <w:sz w:val="14"/>
                <w:szCs w:val="14"/>
                <w:color w:val="auto"/>
              </w:rPr>
              <w:t xml:space="preserve">Foreign currency impact on Non-GAAP organic revenue </w:t>
            </w:r>
            <w:r>
              <w:rPr>
                <w:rFonts w:ascii="Arial" w:cs="Arial" w:eastAsia="Arial" w:hAnsi="Arial"/>
                <w:sz w:val="18"/>
                <w:szCs w:val="18"/>
                <w:color w:val="auto"/>
                <w:vertAlign w:val="superscript"/>
              </w:rPr>
              <w:t>(3)</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183"/>
        </w:trPr>
        <w:tc>
          <w:tcPr>
            <w:tcW w:w="8600" w:type="dxa"/>
            <w:vAlign w:val="bottom"/>
            <w:shd w:val="clear" w:color="auto" w:fill="F4F4F4"/>
          </w:tcPr>
          <w:p>
            <w:pPr>
              <w:ind w:left="20"/>
              <w:spacing w:after="0" w:line="182" w:lineRule="exact"/>
              <w:rPr>
                <w:sz w:val="20"/>
                <w:szCs w:val="20"/>
                <w:color w:val="auto"/>
              </w:rPr>
            </w:pPr>
            <w:r>
              <w:rPr>
                <w:rFonts w:ascii="Arial" w:cs="Arial" w:eastAsia="Arial" w:hAnsi="Arial"/>
                <w:sz w:val="14"/>
                <w:szCs w:val="14"/>
                <w:color w:val="auto"/>
              </w:rPr>
              <w:t xml:space="preserve">Non-GAAP organic revenue on constant currency basis </w:t>
            </w:r>
            <w:r>
              <w:rPr>
                <w:rFonts w:ascii="Arial" w:cs="Arial" w:eastAsia="Arial" w:hAnsi="Arial"/>
                <w:sz w:val="18"/>
                <w:szCs w:val="18"/>
                <w:color w:val="auto"/>
                <w:vertAlign w:val="superscript"/>
              </w:rPr>
              <w:t>(3)</w:t>
            </w:r>
          </w:p>
        </w:tc>
        <w:tc>
          <w:tcPr>
            <w:tcW w:w="480" w:type="dxa"/>
            <w:vAlign w:val="bottom"/>
            <w:tcBorders>
              <w:bottom w:val="single" w:sz="8" w:color="auto"/>
            </w:tcBorders>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217.2</w:t>
            </w:r>
          </w:p>
        </w:tc>
        <w:tc>
          <w:tcPr>
            <w:tcW w:w="340" w:type="dxa"/>
            <w:vAlign w:val="bottom"/>
            <w:tcBorders>
              <w:bottom w:val="single" w:sz="8" w:color="auto"/>
            </w:tcBorders>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223.6</w:t>
            </w:r>
          </w:p>
        </w:tc>
        <w:tc>
          <w:tcPr>
            <w:tcW w:w="20" w:type="dxa"/>
            <w:vAlign w:val="bottom"/>
          </w:tcPr>
          <w:p>
            <w:pPr>
              <w:spacing w:after="0"/>
              <w:rPr>
                <w:sz w:val="15"/>
                <w:szCs w:val="15"/>
                <w:color w:val="auto"/>
              </w:rPr>
            </w:pPr>
          </w:p>
        </w:tc>
      </w:tr>
      <w:tr>
        <w:trPr>
          <w:trHeight w:val="183"/>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8600" w:type="dxa"/>
            <w:vAlign w:val="bottom"/>
            <w:shd w:val="clear" w:color="auto" w:fill="F4F4F4"/>
          </w:tcPr>
          <w:p>
            <w:pPr>
              <w:spacing w:after="0"/>
              <w:rPr>
                <w:sz w:val="12"/>
                <w:szCs w:val="12"/>
                <w:color w:val="auto"/>
              </w:rPr>
            </w:pPr>
          </w:p>
        </w:tc>
        <w:tc>
          <w:tcPr>
            <w:tcW w:w="480" w:type="dxa"/>
            <w:vAlign w:val="bottom"/>
            <w:shd w:val="clear" w:color="auto" w:fill="F4F4F4"/>
          </w:tcPr>
          <w:p>
            <w:pPr>
              <w:spacing w:after="0"/>
              <w:rPr>
                <w:sz w:val="12"/>
                <w:szCs w:val="12"/>
                <w:color w:val="auto"/>
              </w:rPr>
            </w:pPr>
          </w:p>
        </w:tc>
        <w:tc>
          <w:tcPr>
            <w:tcW w:w="900" w:type="dxa"/>
            <w:vAlign w:val="bottom"/>
            <w:shd w:val="clear" w:color="auto" w:fill="F4F4F4"/>
          </w:tcPr>
          <w:p>
            <w:pPr>
              <w:spacing w:after="0"/>
              <w:rPr>
                <w:sz w:val="12"/>
                <w:szCs w:val="12"/>
                <w:color w:val="auto"/>
              </w:rPr>
            </w:pPr>
          </w:p>
        </w:tc>
        <w:tc>
          <w:tcPr>
            <w:tcW w:w="340" w:type="dxa"/>
            <w:vAlign w:val="bottom"/>
            <w:shd w:val="clear" w:color="auto" w:fill="F4F4F4"/>
          </w:tcPr>
          <w:p>
            <w:pPr>
              <w:spacing w:after="0"/>
              <w:rPr>
                <w:sz w:val="12"/>
                <w:szCs w:val="12"/>
                <w:color w:val="auto"/>
              </w:rPr>
            </w:pPr>
          </w:p>
        </w:tc>
        <w:tc>
          <w:tcPr>
            <w:tcW w:w="920" w:type="dxa"/>
            <w:vAlign w:val="bottom"/>
            <w:shd w:val="clear" w:color="auto" w:fill="F4F4F4"/>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8600" w:type="dxa"/>
            <w:vAlign w:val="bottom"/>
          </w:tcPr>
          <w:p>
            <w:pPr>
              <w:ind w:left="20"/>
              <w:spacing w:after="0"/>
              <w:rPr>
                <w:sz w:val="20"/>
                <w:szCs w:val="20"/>
                <w:color w:val="auto"/>
              </w:rPr>
            </w:pPr>
            <w:r>
              <w:rPr>
                <w:rFonts w:ascii="Arial" w:cs="Arial" w:eastAsia="Arial" w:hAnsi="Arial"/>
                <w:sz w:val="14"/>
                <w:szCs w:val="14"/>
                <w:color w:val="auto"/>
              </w:rPr>
              <w:t>GAAP recurring revenue</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206.8</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204.9</w:t>
            </w:r>
          </w:p>
        </w:tc>
        <w:tc>
          <w:tcPr>
            <w:tcW w:w="20" w:type="dxa"/>
            <w:vAlign w:val="bottom"/>
          </w:tcPr>
          <w:p>
            <w:pPr>
              <w:spacing w:after="0"/>
              <w:rPr>
                <w:sz w:val="16"/>
                <w:szCs w:val="16"/>
                <w:color w:val="auto"/>
              </w:rPr>
            </w:pPr>
          </w:p>
        </w:tc>
      </w:tr>
      <w:tr>
        <w:trPr>
          <w:trHeight w:val="189"/>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recurring revenue growth</w:t>
            </w:r>
          </w:p>
        </w:tc>
        <w:tc>
          <w:tcPr>
            <w:tcW w:w="480" w:type="dxa"/>
            <w:vAlign w:val="bottom"/>
            <w:shd w:val="clear" w:color="auto" w:fill="F4F4F4"/>
          </w:tcPr>
          <w:p>
            <w:pPr>
              <w:spacing w:after="0"/>
              <w:rPr>
                <w:sz w:val="16"/>
                <w:szCs w:val="16"/>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0.9 %</w:t>
            </w:r>
          </w:p>
        </w:tc>
        <w:tc>
          <w:tcPr>
            <w:tcW w:w="340" w:type="dxa"/>
            <w:vAlign w:val="bottom"/>
            <w:shd w:val="clear" w:color="auto" w:fill="F4F4F4"/>
          </w:tcPr>
          <w:p>
            <w:pPr>
              <w:spacing w:after="0"/>
              <w:rPr>
                <w:sz w:val="16"/>
                <w:szCs w:val="16"/>
                <w:color w:val="auto"/>
              </w:rPr>
            </w:pPr>
          </w:p>
        </w:tc>
        <w:tc>
          <w:tcPr>
            <w:tcW w:w="920" w:type="dxa"/>
            <w:vAlign w:val="bottom"/>
            <w:shd w:val="clear" w:color="auto" w:fill="F4F4F4"/>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8600" w:type="dxa"/>
            <w:vAlign w:val="bottom"/>
            <w:tcBorders>
              <w:bottom w:val="single" w:sz="8" w:color="F4F4F4"/>
            </w:tcBorders>
          </w:tcPr>
          <w:p>
            <w:pPr>
              <w:ind w:left="140"/>
              <w:spacing w:after="0" w:line="189" w:lineRule="exact"/>
              <w:rPr>
                <w:sz w:val="20"/>
                <w:szCs w:val="20"/>
                <w:color w:val="auto"/>
              </w:rPr>
            </w:pPr>
            <w:r>
              <w:rPr>
                <w:rFonts w:ascii="Arial" w:cs="Arial" w:eastAsia="Arial" w:hAnsi="Arial"/>
                <w:sz w:val="14"/>
                <w:szCs w:val="14"/>
                <w:color w:val="auto"/>
              </w:rPr>
              <w:t xml:space="preserve">Add: Non-GAAP acquisition-related revenue </w:t>
            </w:r>
            <w:r>
              <w:rPr>
                <w:rFonts w:ascii="Arial" w:cs="Arial" w:eastAsia="Arial" w:hAnsi="Arial"/>
                <w:sz w:val="18"/>
                <w:szCs w:val="18"/>
                <w:color w:val="auto"/>
                <w:vertAlign w:val="superscript"/>
              </w:rPr>
              <w:t>(1)</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r>
        <w:trPr>
          <w:trHeight w:val="183"/>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recurring revenue</w:t>
            </w:r>
          </w:p>
        </w:tc>
        <w:tc>
          <w:tcPr>
            <w:tcW w:w="480" w:type="dxa"/>
            <w:vAlign w:val="bottom"/>
            <w:tcBorders>
              <w:bottom w:val="single" w:sz="8" w:color="auto"/>
            </w:tcBorders>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206.8</w:t>
            </w:r>
          </w:p>
        </w:tc>
        <w:tc>
          <w:tcPr>
            <w:tcW w:w="340" w:type="dxa"/>
            <w:vAlign w:val="bottom"/>
            <w:tcBorders>
              <w:bottom w:val="single" w:sz="8" w:color="auto"/>
            </w:tcBorders>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204.9</w:t>
            </w:r>
          </w:p>
        </w:tc>
        <w:tc>
          <w:tcPr>
            <w:tcW w:w="20" w:type="dxa"/>
            <w:vAlign w:val="bottom"/>
          </w:tcPr>
          <w:p>
            <w:pPr>
              <w:spacing w:after="0"/>
              <w:rPr>
                <w:sz w:val="15"/>
                <w:szCs w:val="15"/>
                <w:color w:val="auto"/>
              </w:rPr>
            </w:pPr>
          </w:p>
        </w:tc>
      </w:tr>
      <w:tr>
        <w:trPr>
          <w:trHeight w:val="183"/>
        </w:trPr>
        <w:tc>
          <w:tcPr>
            <w:tcW w:w="860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organic recurring revenue growth</w:t>
            </w:r>
          </w:p>
        </w:tc>
        <w:tc>
          <w:tcPr>
            <w:tcW w:w="480" w:type="dxa"/>
            <w:vAlign w:val="bottom"/>
            <w:tcBorders>
              <w:bottom w:val="single" w:sz="8" w:color="71BF43"/>
            </w:tcBorders>
          </w:tcPr>
          <w:p>
            <w:pPr>
              <w:spacing w:after="0"/>
              <w:rPr>
                <w:sz w:val="15"/>
                <w:szCs w:val="15"/>
                <w:color w:val="auto"/>
              </w:rPr>
            </w:pPr>
          </w:p>
        </w:tc>
        <w:tc>
          <w:tcPr>
            <w:tcW w:w="900" w:type="dxa"/>
            <w:vAlign w:val="bottom"/>
            <w:tcBorders>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0.9 %</w:t>
            </w:r>
          </w:p>
        </w:tc>
        <w:tc>
          <w:tcPr>
            <w:tcW w:w="340" w:type="dxa"/>
            <w:vAlign w:val="bottom"/>
            <w:tcBorders>
              <w:bottom w:val="single" w:sz="8" w:color="71BF43"/>
            </w:tcBorders>
          </w:tcPr>
          <w:p>
            <w:pPr>
              <w:spacing w:after="0"/>
              <w:rPr>
                <w:sz w:val="15"/>
                <w:szCs w:val="15"/>
                <w:color w:val="auto"/>
              </w:rPr>
            </w:pPr>
          </w:p>
        </w:tc>
        <w:tc>
          <w:tcPr>
            <w:tcW w:w="920" w:type="dxa"/>
            <w:vAlign w:val="bottom"/>
            <w:tcBorders>
              <w:bottom w:val="single" w:sz="8" w:color="71BF43"/>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-2167890</wp:posOffset>
            </wp:positionV>
            <wp:extent cx="16802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66" w:lineRule="exact"/>
        <w:rPr>
          <w:sz w:val="20"/>
          <w:szCs w:val="20"/>
          <w:color w:val="auto"/>
        </w:rPr>
      </w:pPr>
    </w:p>
    <w:p>
      <w:pPr>
        <w:jc w:val="both"/>
        <w:ind w:left="340" w:right="20" w:hanging="332"/>
        <w:spacing w:after="0" w:line="241" w:lineRule="auto"/>
        <w:tabs>
          <w:tab w:leader="none" w:pos="354"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if any, acquired in the immediately preceding fiscal year, non-GAAP acquisition-related revenue reflects presentation of full-year incremental non-GAAP revenue derived from such companies, as if they were combined throughout the prior period, and it includes the non-GAAP revenue from the acquisition-related deferred revenue write-down attributable to those companies.</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right="20" w:hanging="332"/>
        <w:spacing w:after="0" w:line="249" w:lineRule="auto"/>
        <w:tabs>
          <w:tab w:leader="none" w:pos="35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373380</wp:posOffset>
            </wp:positionV>
            <wp:extent cx="65976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8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18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acquisition-related deferred revenue write-down; stock-based compensation; acquisition-related integration costs; acquisition-related expenses; employee severance; and restructuring and other real estate activities.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shd w:val="clear" w:color="auto" w:fill="ACACAC"/>
          </w:tcPr>
          <w:p>
            <w:pPr>
              <w:spacing w:after="0"/>
              <w:rPr>
                <w:sz w:val="14"/>
                <w:szCs w:val="14"/>
                <w:color w:val="auto"/>
              </w:rPr>
            </w:pPr>
          </w:p>
        </w:tc>
        <w:tc>
          <w:tcPr>
            <w:tcW w:w="480" w:type="dxa"/>
            <w:vAlign w:val="bottom"/>
            <w:shd w:val="clear" w:color="auto" w:fill="ACACAC"/>
          </w:tcPr>
          <w:p>
            <w:pPr>
              <w:spacing w:after="0"/>
              <w:rPr>
                <w:sz w:val="14"/>
                <w:szCs w:val="14"/>
                <w:color w:val="auto"/>
              </w:rPr>
            </w:pPr>
          </w:p>
        </w:tc>
        <w:tc>
          <w:tcPr>
            <w:tcW w:w="82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19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r>
      <w:tr>
        <w:trPr>
          <w:trHeight w:val="176"/>
        </w:trPr>
        <w:tc>
          <w:tcPr>
            <w:tcW w:w="7520" w:type="dxa"/>
            <w:vAlign w:val="bottom"/>
            <w:shd w:val="clear" w:color="auto" w:fill="ACACAC"/>
          </w:tcPr>
          <w:p>
            <w:pPr>
              <w:spacing w:after="0"/>
              <w:rPr>
                <w:sz w:val="15"/>
                <w:szCs w:val="15"/>
                <w:color w:val="auto"/>
              </w:rPr>
            </w:pPr>
          </w:p>
        </w:tc>
        <w:tc>
          <w:tcPr>
            <w:tcW w:w="480" w:type="dxa"/>
            <w:vAlign w:val="bottom"/>
            <w:shd w:val="clear" w:color="auto" w:fill="ACACAC"/>
          </w:tcPr>
          <w:p>
            <w:pPr>
              <w:spacing w:after="0"/>
              <w:rPr>
                <w:sz w:val="15"/>
                <w:szCs w:val="15"/>
                <w:color w:val="auto"/>
              </w:rPr>
            </w:pPr>
          </w:p>
        </w:tc>
        <w:tc>
          <w:tcPr>
            <w:tcW w:w="820" w:type="dxa"/>
            <w:vAlign w:val="bottom"/>
            <w:shd w:val="clear" w:color="auto" w:fill="ACACAC"/>
          </w:tcPr>
          <w:p>
            <w:pPr>
              <w:spacing w:after="0"/>
              <w:rPr>
                <w:sz w:val="15"/>
                <w:szCs w:val="15"/>
                <w:color w:val="auto"/>
              </w:rPr>
            </w:pPr>
          </w:p>
        </w:tc>
        <w:tc>
          <w:tcPr>
            <w:tcW w:w="460" w:type="dxa"/>
            <w:vAlign w:val="bottom"/>
            <w:shd w:val="clear" w:color="auto" w:fill="ACACAC"/>
          </w:tcPr>
          <w:p>
            <w:pPr>
              <w:spacing w:after="0"/>
              <w:rPr>
                <w:sz w:val="15"/>
                <w:szCs w:val="15"/>
                <w:color w:val="auto"/>
              </w:rPr>
            </w:pPr>
          </w:p>
        </w:tc>
        <w:tc>
          <w:tcPr>
            <w:tcW w:w="840" w:type="dxa"/>
            <w:vAlign w:val="bottom"/>
            <w:shd w:val="clear" w:color="auto" w:fill="ACACAC"/>
          </w:tcPr>
          <w:p>
            <w:pPr>
              <w:spacing w:after="0"/>
              <w:rPr>
                <w:sz w:val="15"/>
                <w:szCs w:val="15"/>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5"/>
                <w:szCs w:val="15"/>
                <w:color w:val="auto"/>
              </w:rPr>
            </w:pPr>
          </w:p>
        </w:tc>
      </w:tr>
      <w:tr>
        <w:trPr>
          <w:trHeight w:val="216"/>
        </w:trPr>
        <w:tc>
          <w:tcPr>
            <w:tcW w:w="752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80" w:type="dxa"/>
            <w:vAlign w:val="bottom"/>
            <w:shd w:val="clear" w:color="auto" w:fill="ACACAC"/>
          </w:tcPr>
          <w:p>
            <w:pPr>
              <w:spacing w:after="0"/>
              <w:rPr>
                <w:sz w:val="18"/>
                <w:szCs w:val="18"/>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460" w:type="dxa"/>
            <w:vAlign w:val="bottom"/>
            <w:shd w:val="clear" w:color="auto" w:fill="ACACAC"/>
          </w:tcPr>
          <w:p>
            <w:pPr>
              <w:spacing w:after="0"/>
              <w:rPr>
                <w:sz w:val="18"/>
                <w:szCs w:val="18"/>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8"/>
                <w:szCs w:val="18"/>
                <w:color w:val="auto"/>
              </w:rPr>
            </w:pPr>
          </w:p>
        </w:tc>
      </w:tr>
      <w:tr>
        <w:trPr>
          <w:trHeight w:val="189"/>
        </w:trPr>
        <w:tc>
          <w:tcPr>
            <w:tcW w:w="752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net (loss) income</w:t>
            </w:r>
          </w:p>
        </w:tc>
        <w:tc>
          <w:tcPr>
            <w:tcW w:w="480" w:type="dxa"/>
            <w:vAlign w:val="bottom"/>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(0.2)</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4.6</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(103.5)%</w:t>
            </w:r>
          </w:p>
        </w:tc>
        <w:tc>
          <w:tcPr>
            <w:tcW w:w="20" w:type="dxa"/>
            <w:vAlign w:val="bottom"/>
          </w:tcPr>
          <w:p>
            <w:pPr>
              <w:spacing w:after="0"/>
              <w:rPr>
                <w:sz w:val="16"/>
                <w:szCs w:val="16"/>
                <w:color w:val="auto"/>
              </w:rPr>
            </w:pPr>
          </w:p>
        </w:tc>
      </w:tr>
      <w:tr>
        <w:trPr>
          <w:trHeight w:val="189"/>
        </w:trPr>
        <w:tc>
          <w:tcPr>
            <w:tcW w:w="752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7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Interest, net</w:t>
            </w:r>
          </w:p>
        </w:tc>
        <w:tc>
          <w:tcPr>
            <w:tcW w:w="480" w:type="dxa"/>
            <w:vAlign w:val="bottom"/>
            <w:shd w:val="clear" w:color="auto" w:fill="F4F4F4"/>
          </w:tcPr>
          <w:p>
            <w:pPr>
              <w:spacing w:after="0"/>
              <w:rPr>
                <w:sz w:val="16"/>
                <w:szCs w:val="16"/>
                <w:color w:val="auto"/>
              </w:rPr>
            </w:pPr>
          </w:p>
        </w:tc>
        <w:tc>
          <w:tcPr>
            <w:tcW w:w="8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5.0</w:t>
            </w:r>
          </w:p>
        </w:tc>
        <w:tc>
          <w:tcPr>
            <w:tcW w:w="460" w:type="dxa"/>
            <w:vAlign w:val="bottom"/>
            <w:shd w:val="clear" w:color="auto" w:fill="F4F4F4"/>
          </w:tcPr>
          <w:p>
            <w:pPr>
              <w:spacing w:after="0"/>
              <w:rPr>
                <w:sz w:val="16"/>
                <w:szCs w:val="16"/>
                <w:color w:val="auto"/>
              </w:rPr>
            </w:pP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3.6</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36.4 %</w:t>
            </w:r>
          </w:p>
        </w:tc>
        <w:tc>
          <w:tcPr>
            <w:tcW w:w="20" w:type="dxa"/>
            <w:vAlign w:val="bottom"/>
          </w:tcPr>
          <w:p>
            <w:pPr>
              <w:spacing w:after="0"/>
              <w:rPr>
                <w:sz w:val="16"/>
                <w:szCs w:val="16"/>
                <w:color w:val="auto"/>
              </w:rPr>
            </w:pPr>
          </w:p>
        </w:tc>
      </w:tr>
      <w:tr>
        <w:trPr>
          <w:trHeight w:val="189"/>
        </w:trPr>
        <w:tc>
          <w:tcPr>
            <w:tcW w:w="7520" w:type="dxa"/>
            <w:vAlign w:val="bottom"/>
          </w:tcPr>
          <w:p>
            <w:pPr>
              <w:ind w:left="140"/>
              <w:spacing w:after="0"/>
              <w:rPr>
                <w:sz w:val="20"/>
                <w:szCs w:val="20"/>
                <w:color w:val="auto"/>
              </w:rPr>
            </w:pPr>
            <w:r>
              <w:rPr>
                <w:rFonts w:ascii="Arial" w:cs="Arial" w:eastAsia="Arial" w:hAnsi="Arial"/>
                <w:sz w:val="14"/>
                <w:szCs w:val="14"/>
                <w:color w:val="auto"/>
              </w:rPr>
              <w:t>Add: GAAP income tax provision</w:t>
            </w:r>
          </w:p>
        </w:tc>
        <w:tc>
          <w:tcPr>
            <w:tcW w:w="48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0.7</w:t>
            </w:r>
          </w:p>
        </w:tc>
        <w:tc>
          <w:tcPr>
            <w:tcW w:w="4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0.7</w:t>
            </w: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6"/>
                <w:szCs w:val="16"/>
                <w:color w:val="auto"/>
              </w:rPr>
            </w:pPr>
          </w:p>
        </w:tc>
      </w:tr>
      <w:tr>
        <w:trPr>
          <w:trHeight w:val="189"/>
        </w:trPr>
        <w:tc>
          <w:tcPr>
            <w:tcW w:w="7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Depreciation</w:t>
            </w:r>
          </w:p>
        </w:tc>
        <w:tc>
          <w:tcPr>
            <w:tcW w:w="480" w:type="dxa"/>
            <w:vAlign w:val="bottom"/>
            <w:shd w:val="clear" w:color="auto" w:fill="F4F4F4"/>
          </w:tcPr>
          <w:p>
            <w:pPr>
              <w:spacing w:after="0"/>
              <w:rPr>
                <w:sz w:val="16"/>
                <w:szCs w:val="16"/>
                <w:color w:val="auto"/>
              </w:rPr>
            </w:pPr>
          </w:p>
        </w:tc>
        <w:tc>
          <w:tcPr>
            <w:tcW w:w="8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3.2</w:t>
            </w:r>
          </w:p>
        </w:tc>
        <w:tc>
          <w:tcPr>
            <w:tcW w:w="460" w:type="dxa"/>
            <w:vAlign w:val="bottom"/>
            <w:shd w:val="clear" w:color="auto" w:fill="F4F4F4"/>
          </w:tcPr>
          <w:p>
            <w:pPr>
              <w:spacing w:after="0"/>
              <w:rPr>
                <w:sz w:val="16"/>
                <w:szCs w:val="16"/>
                <w:color w:val="auto"/>
              </w:rPr>
            </w:pP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3.5</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6"/>
                <w:szCs w:val="16"/>
                <w:color w:val="auto"/>
              </w:rPr>
            </w:pPr>
          </w:p>
        </w:tc>
      </w:tr>
      <w:tr>
        <w:trPr>
          <w:trHeight w:val="189"/>
        </w:trPr>
        <w:tc>
          <w:tcPr>
            <w:tcW w:w="7520" w:type="dxa"/>
            <w:vAlign w:val="bottom"/>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48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9.7</w:t>
            </w:r>
          </w:p>
        </w:tc>
        <w:tc>
          <w:tcPr>
            <w:tcW w:w="4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11.7</w:t>
            </w:r>
          </w:p>
        </w:tc>
        <w:tc>
          <w:tcPr>
            <w:tcW w:w="1120" w:type="dxa"/>
            <w:vAlign w:val="bottom"/>
          </w:tcPr>
          <w:p>
            <w:pPr>
              <w:jc w:val="right"/>
              <w:spacing w:after="0"/>
              <w:rPr>
                <w:sz w:val="20"/>
                <w:szCs w:val="20"/>
                <w:color w:val="auto"/>
              </w:rPr>
            </w:pPr>
            <w:r>
              <w:rPr>
                <w:rFonts w:ascii="Arial" w:cs="Arial" w:eastAsia="Arial" w:hAnsi="Arial"/>
                <w:sz w:val="14"/>
                <w:szCs w:val="14"/>
                <w:color w:val="auto"/>
              </w:rPr>
              <w:t>(17.1)%</w:t>
            </w:r>
          </w:p>
        </w:tc>
        <w:tc>
          <w:tcPr>
            <w:tcW w:w="20" w:type="dxa"/>
            <w:vAlign w:val="bottom"/>
          </w:tcPr>
          <w:p>
            <w:pPr>
              <w:spacing w:after="0"/>
              <w:rPr>
                <w:sz w:val="16"/>
                <w:szCs w:val="16"/>
                <w:color w:val="auto"/>
              </w:rPr>
            </w:pPr>
          </w:p>
        </w:tc>
      </w:tr>
      <w:tr>
        <w:trPr>
          <w:trHeight w:val="189"/>
        </w:trPr>
        <w:tc>
          <w:tcPr>
            <w:tcW w:w="7520" w:type="dxa"/>
            <w:vAlign w:val="bottom"/>
            <w:shd w:val="clear" w:color="auto" w:fill="F4F4F4"/>
          </w:tcPr>
          <w:p>
            <w:pPr>
              <w:ind w:left="140"/>
              <w:spacing w:after="0" w:line="189" w:lineRule="exact"/>
              <w:rPr>
                <w:sz w:val="20"/>
                <w:szCs w:val="20"/>
                <w:color w:val="auto"/>
              </w:rPr>
            </w:pPr>
            <w:r>
              <w:rPr>
                <w:rFonts w:ascii="Arial" w:cs="Arial" w:eastAsia="Arial" w:hAnsi="Arial"/>
                <w:sz w:val="14"/>
                <w:szCs w:val="14"/>
                <w:color w:val="auto"/>
              </w:rPr>
              <w:t>Add: Amortization of software development costs</w:t>
            </w:r>
            <w:r>
              <w:rPr>
                <w:rFonts w:ascii="Arial" w:cs="Arial" w:eastAsia="Arial" w:hAnsi="Arial"/>
                <w:sz w:val="18"/>
                <w:szCs w:val="18"/>
                <w:color w:val="auto"/>
                <w:vertAlign w:val="superscript"/>
              </w:rPr>
              <w:t>(1)</w:t>
            </w:r>
          </w:p>
        </w:tc>
        <w:tc>
          <w:tcPr>
            <w:tcW w:w="480" w:type="dxa"/>
            <w:vAlign w:val="bottom"/>
            <w:tcBorders>
              <w:bottom w:val="single" w:sz="8" w:color="auto"/>
            </w:tcBorders>
            <w:shd w:val="clear" w:color="auto" w:fill="F4F4F4"/>
          </w:tcPr>
          <w:p>
            <w:pPr>
              <w:spacing w:after="0"/>
              <w:rPr>
                <w:sz w:val="16"/>
                <w:szCs w:val="16"/>
                <w:color w:val="auto"/>
              </w:rPr>
            </w:pPr>
          </w:p>
        </w:tc>
        <w:tc>
          <w:tcPr>
            <w:tcW w:w="8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8.0</w:t>
            </w:r>
          </w:p>
        </w:tc>
        <w:tc>
          <w:tcPr>
            <w:tcW w:w="460" w:type="dxa"/>
            <w:vAlign w:val="bottom"/>
            <w:tcBorders>
              <w:bottom w:val="single" w:sz="8" w:color="auto"/>
            </w:tcBorders>
            <w:shd w:val="clear" w:color="auto" w:fill="F4F4F4"/>
          </w:tcPr>
          <w:p>
            <w:pPr>
              <w:spacing w:after="0"/>
              <w:rPr>
                <w:sz w:val="16"/>
                <w:szCs w:val="16"/>
                <w:color w:val="auto"/>
              </w:rPr>
            </w:pP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6.7</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19.3 %</w:t>
            </w:r>
          </w:p>
        </w:tc>
        <w:tc>
          <w:tcPr>
            <w:tcW w:w="20" w:type="dxa"/>
            <w:vAlign w:val="bottom"/>
          </w:tcPr>
          <w:p>
            <w:pPr>
              <w:spacing w:after="0"/>
              <w:rPr>
                <w:sz w:val="16"/>
                <w:szCs w:val="16"/>
                <w:color w:val="auto"/>
              </w:rPr>
            </w:pPr>
          </w:p>
        </w:tc>
      </w:tr>
      <w:tr>
        <w:trPr>
          <w:trHeight w:val="183"/>
        </w:trPr>
        <w:tc>
          <w:tcPr>
            <w:tcW w:w="7520" w:type="dxa"/>
            <w:vAlign w:val="bottom"/>
            <w:tcBorders>
              <w:bottom w:val="single" w:sz="8" w:color="F4F4F4"/>
            </w:tcBorders>
          </w:tcPr>
          <w:p>
            <w:pPr>
              <w:ind w:left="360"/>
              <w:spacing w:after="0"/>
              <w:rPr>
                <w:sz w:val="20"/>
                <w:szCs w:val="20"/>
                <w:color w:val="auto"/>
              </w:rPr>
            </w:pPr>
            <w:r>
              <w:rPr>
                <w:rFonts w:ascii="Arial" w:cs="Arial" w:eastAsia="Arial" w:hAnsi="Arial"/>
                <w:sz w:val="14"/>
                <w:szCs w:val="14"/>
                <w:color w:val="auto"/>
              </w:rPr>
              <w:t>Subtotal</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26.5</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26.2</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1.1 %</w:t>
            </w:r>
          </w:p>
        </w:tc>
        <w:tc>
          <w:tcPr>
            <w:tcW w:w="20" w:type="dxa"/>
            <w:vAlign w:val="bottom"/>
          </w:tcPr>
          <w:p>
            <w:pPr>
              <w:spacing w:after="0"/>
              <w:rPr>
                <w:sz w:val="15"/>
                <w:szCs w:val="15"/>
                <w:color w:val="auto"/>
              </w:rPr>
            </w:pPr>
          </w:p>
        </w:tc>
      </w:tr>
      <w:tr>
        <w:trPr>
          <w:trHeight w:val="183"/>
        </w:trPr>
        <w:tc>
          <w:tcPr>
            <w:tcW w:w="752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EBITDA</w:t>
            </w:r>
          </w:p>
        </w:tc>
        <w:tc>
          <w:tcPr>
            <w:tcW w:w="480" w:type="dxa"/>
            <w:vAlign w:val="bottom"/>
            <w:tcBorders>
              <w:bottom w:val="single" w:sz="8" w:color="auto"/>
            </w:tcBorders>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26.3</w:t>
            </w:r>
          </w:p>
        </w:tc>
        <w:tc>
          <w:tcPr>
            <w:tcW w:w="460" w:type="dxa"/>
            <w:vAlign w:val="bottom"/>
            <w:tcBorders>
              <w:bottom w:val="single" w:sz="8" w:color="auto"/>
            </w:tcBorders>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30.9</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(14.7)%</w:t>
            </w:r>
          </w:p>
        </w:tc>
        <w:tc>
          <w:tcPr>
            <w:tcW w:w="20" w:type="dxa"/>
            <w:vAlign w:val="bottom"/>
          </w:tcPr>
          <w:p>
            <w:pPr>
              <w:spacing w:after="0"/>
              <w:rPr>
                <w:sz w:val="15"/>
                <w:szCs w:val="15"/>
                <w:color w:val="auto"/>
              </w:rPr>
            </w:pPr>
          </w:p>
        </w:tc>
      </w:tr>
      <w:tr>
        <w:trPr>
          <w:trHeight w:val="183"/>
        </w:trPr>
        <w:tc>
          <w:tcPr>
            <w:tcW w:w="7520" w:type="dxa"/>
            <w:vAlign w:val="bottom"/>
          </w:tcPr>
          <w:p>
            <w:pPr>
              <w:ind w:left="140"/>
              <w:spacing w:after="0"/>
              <w:rPr>
                <w:sz w:val="20"/>
                <w:szCs w:val="20"/>
                <w:color w:val="auto"/>
              </w:rPr>
            </w:pPr>
            <w:r>
              <w:rPr>
                <w:rFonts w:ascii="Arial" w:cs="Arial" w:eastAsia="Arial" w:hAnsi="Arial"/>
                <w:sz w:val="14"/>
                <w:szCs w:val="14"/>
                <w:color w:val="auto"/>
              </w:rPr>
              <w:t>Non-GAAP EBITDA margin</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12.0 %</w:t>
            </w: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FFFFFF"/>
              </w:rPr>
              <w:t>13.8 %</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7520" w:type="dxa"/>
            <w:vAlign w:val="bottom"/>
            <w:shd w:val="clear" w:color="auto" w:fill="F4F4F4"/>
          </w:tcPr>
          <w:p>
            <w:pPr>
              <w:spacing w:after="0"/>
              <w:rPr>
                <w:sz w:val="12"/>
                <w:szCs w:val="12"/>
                <w:color w:val="auto"/>
              </w:rPr>
            </w:pPr>
          </w:p>
        </w:tc>
        <w:tc>
          <w:tcPr>
            <w:tcW w:w="480" w:type="dxa"/>
            <w:vAlign w:val="bottom"/>
            <w:shd w:val="clear" w:color="auto" w:fill="F4F4F4"/>
          </w:tcPr>
          <w:p>
            <w:pPr>
              <w:spacing w:after="0"/>
              <w:rPr>
                <w:sz w:val="12"/>
                <w:szCs w:val="12"/>
                <w:color w:val="auto"/>
              </w:rPr>
            </w:pPr>
          </w:p>
        </w:tc>
        <w:tc>
          <w:tcPr>
            <w:tcW w:w="820" w:type="dxa"/>
            <w:vAlign w:val="bottom"/>
            <w:shd w:val="clear" w:color="auto" w:fill="F4F4F4"/>
          </w:tcPr>
          <w:p>
            <w:pPr>
              <w:spacing w:after="0"/>
              <w:rPr>
                <w:sz w:val="12"/>
                <w:szCs w:val="12"/>
                <w:color w:val="auto"/>
              </w:rPr>
            </w:pPr>
          </w:p>
        </w:tc>
        <w:tc>
          <w:tcPr>
            <w:tcW w:w="460" w:type="dxa"/>
            <w:vAlign w:val="bottom"/>
            <w:shd w:val="clear" w:color="auto" w:fill="F4F4F4"/>
          </w:tcPr>
          <w:p>
            <w:pPr>
              <w:spacing w:after="0"/>
              <w:rPr>
                <w:sz w:val="12"/>
                <w:szCs w:val="12"/>
                <w:color w:val="auto"/>
              </w:rPr>
            </w:pPr>
          </w:p>
        </w:tc>
        <w:tc>
          <w:tcPr>
            <w:tcW w:w="840" w:type="dxa"/>
            <w:vAlign w:val="bottom"/>
            <w:shd w:val="clear" w:color="auto" w:fill="F4F4F4"/>
          </w:tcPr>
          <w:p>
            <w:pPr>
              <w:spacing w:after="0"/>
              <w:rPr>
                <w:sz w:val="12"/>
                <w:szCs w:val="12"/>
                <w:color w:val="auto"/>
              </w:rPr>
            </w:pPr>
          </w:p>
        </w:tc>
        <w:tc>
          <w:tcPr>
            <w:tcW w:w="1120" w:type="dxa"/>
            <w:vAlign w:val="bottom"/>
            <w:shd w:val="clear" w:color="auto" w:fill="F4F4F4"/>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752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7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Stock-based compensation expense</w:t>
            </w:r>
          </w:p>
        </w:tc>
        <w:tc>
          <w:tcPr>
            <w:tcW w:w="480" w:type="dxa"/>
            <w:vAlign w:val="bottom"/>
            <w:shd w:val="clear" w:color="auto" w:fill="F4F4F4"/>
          </w:tcPr>
          <w:p>
            <w:pPr>
              <w:spacing w:after="0"/>
              <w:rPr>
                <w:sz w:val="16"/>
                <w:szCs w:val="16"/>
                <w:color w:val="auto"/>
              </w:rPr>
            </w:pPr>
          </w:p>
        </w:tc>
        <w:tc>
          <w:tcPr>
            <w:tcW w:w="82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30.0</w:t>
            </w:r>
          </w:p>
        </w:tc>
        <w:tc>
          <w:tcPr>
            <w:tcW w:w="460" w:type="dxa"/>
            <w:vAlign w:val="bottom"/>
            <w:shd w:val="clear" w:color="auto" w:fill="F4F4F4"/>
          </w:tcPr>
          <w:p>
            <w:pPr>
              <w:spacing w:after="0"/>
              <w:rPr>
                <w:sz w:val="16"/>
                <w:szCs w:val="16"/>
                <w:color w:val="auto"/>
              </w:rPr>
            </w:pP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13.6</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120.9 %</w:t>
            </w:r>
          </w:p>
        </w:tc>
        <w:tc>
          <w:tcPr>
            <w:tcW w:w="20" w:type="dxa"/>
            <w:vAlign w:val="bottom"/>
          </w:tcPr>
          <w:p>
            <w:pPr>
              <w:spacing w:after="0"/>
              <w:rPr>
                <w:sz w:val="16"/>
                <w:szCs w:val="16"/>
                <w:color w:val="auto"/>
              </w:rPr>
            </w:pPr>
          </w:p>
        </w:tc>
      </w:tr>
      <w:tr>
        <w:trPr>
          <w:trHeight w:val="189"/>
        </w:trPr>
        <w:tc>
          <w:tcPr>
            <w:tcW w:w="752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48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4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120" w:type="dxa"/>
            <w:vAlign w:val="bottom"/>
          </w:tcPr>
          <w:p>
            <w:pPr>
              <w:jc w:val="right"/>
              <w:spacing w:after="0"/>
              <w:rPr>
                <w:sz w:val="20"/>
                <w:szCs w:val="20"/>
                <w:color w:val="auto"/>
              </w:rPr>
            </w:pPr>
            <w:r>
              <w:rPr>
                <w:rFonts w:ascii="Arial" w:cs="Arial" w:eastAsia="Arial" w:hAnsi="Arial"/>
                <w:sz w:val="14"/>
                <w:szCs w:val="14"/>
                <w:color w:val="auto"/>
              </w:rPr>
              <w:t>921.6 %</w:t>
            </w:r>
          </w:p>
        </w:tc>
        <w:tc>
          <w:tcPr>
            <w:tcW w:w="20" w:type="dxa"/>
            <w:vAlign w:val="bottom"/>
          </w:tcPr>
          <w:p>
            <w:pPr>
              <w:spacing w:after="0"/>
              <w:rPr>
                <w:sz w:val="16"/>
                <w:szCs w:val="16"/>
                <w:color w:val="auto"/>
              </w:rPr>
            </w:pPr>
          </w:p>
        </w:tc>
      </w:tr>
      <w:tr>
        <w:trPr>
          <w:trHeight w:val="189"/>
        </w:trPr>
        <w:tc>
          <w:tcPr>
            <w:tcW w:w="7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480" w:type="dxa"/>
            <w:vAlign w:val="bottom"/>
            <w:shd w:val="clear" w:color="auto" w:fill="F4F4F4"/>
          </w:tcPr>
          <w:p>
            <w:pPr>
              <w:spacing w:after="0"/>
              <w:rPr>
                <w:sz w:val="16"/>
                <w:szCs w:val="16"/>
                <w:color w:val="auto"/>
              </w:rPr>
            </w:pPr>
          </w:p>
        </w:tc>
        <w:tc>
          <w:tcPr>
            <w:tcW w:w="8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(0.1)</w:t>
            </w:r>
          </w:p>
        </w:tc>
        <w:tc>
          <w:tcPr>
            <w:tcW w:w="460" w:type="dxa"/>
            <w:vAlign w:val="bottom"/>
            <w:shd w:val="clear" w:color="auto" w:fill="F4F4F4"/>
          </w:tcPr>
          <w:p>
            <w:pPr>
              <w:spacing w:after="0"/>
              <w:rPr>
                <w:sz w:val="16"/>
                <w:szCs w:val="16"/>
                <w:color w:val="auto"/>
              </w:rPr>
            </w:pP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206.3 %</w:t>
            </w:r>
          </w:p>
        </w:tc>
        <w:tc>
          <w:tcPr>
            <w:tcW w:w="20" w:type="dxa"/>
            <w:vAlign w:val="bottom"/>
          </w:tcPr>
          <w:p>
            <w:pPr>
              <w:spacing w:after="0"/>
              <w:rPr>
                <w:sz w:val="16"/>
                <w:szCs w:val="16"/>
                <w:color w:val="auto"/>
              </w:rPr>
            </w:pPr>
          </w:p>
        </w:tc>
      </w:tr>
      <w:tr>
        <w:trPr>
          <w:trHeight w:val="189"/>
        </w:trPr>
        <w:tc>
          <w:tcPr>
            <w:tcW w:w="7520" w:type="dxa"/>
            <w:vAlign w:val="bottom"/>
          </w:tcPr>
          <w:p>
            <w:pPr>
              <w:ind w:left="140"/>
              <w:spacing w:after="0"/>
              <w:rPr>
                <w:sz w:val="20"/>
                <w:szCs w:val="20"/>
                <w:color w:val="auto"/>
              </w:rPr>
            </w:pPr>
            <w:r>
              <w:rPr>
                <w:rFonts w:ascii="Arial" w:cs="Arial" w:eastAsia="Arial" w:hAnsi="Arial"/>
                <w:sz w:val="14"/>
                <w:szCs w:val="14"/>
                <w:color w:val="auto"/>
              </w:rPr>
              <w:t>Add: Acquisition-related expenses</w:t>
            </w:r>
          </w:p>
        </w:tc>
        <w:tc>
          <w:tcPr>
            <w:tcW w:w="48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4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1120" w:type="dxa"/>
            <w:vAlign w:val="bottom"/>
          </w:tcPr>
          <w:p>
            <w:pPr>
              <w:jc w:val="right"/>
              <w:spacing w:after="0"/>
              <w:rPr>
                <w:sz w:val="20"/>
                <w:szCs w:val="20"/>
                <w:color w:val="auto"/>
              </w:rPr>
            </w:pPr>
            <w:r>
              <w:rPr>
                <w:rFonts w:ascii="Arial" w:cs="Arial" w:eastAsia="Arial" w:hAnsi="Arial"/>
                <w:sz w:val="14"/>
                <w:szCs w:val="14"/>
                <w:color w:val="auto"/>
              </w:rPr>
              <w:t>(53.2)%</w:t>
            </w:r>
          </w:p>
        </w:tc>
        <w:tc>
          <w:tcPr>
            <w:tcW w:w="20" w:type="dxa"/>
            <w:vAlign w:val="bottom"/>
          </w:tcPr>
          <w:p>
            <w:pPr>
              <w:spacing w:after="0"/>
              <w:rPr>
                <w:sz w:val="16"/>
                <w:szCs w:val="16"/>
                <w:color w:val="auto"/>
              </w:rPr>
            </w:pPr>
          </w:p>
        </w:tc>
      </w:tr>
      <w:tr>
        <w:trPr>
          <w:trHeight w:val="189"/>
        </w:trPr>
        <w:tc>
          <w:tcPr>
            <w:tcW w:w="752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480" w:type="dxa"/>
            <w:vAlign w:val="bottom"/>
            <w:tcBorders>
              <w:bottom w:val="single" w:sz="8" w:color="auto"/>
            </w:tcBorders>
            <w:shd w:val="clear" w:color="auto" w:fill="F4F4F4"/>
          </w:tcPr>
          <w:p>
            <w:pPr>
              <w:spacing w:after="0"/>
              <w:rPr>
                <w:sz w:val="16"/>
                <w:szCs w:val="16"/>
                <w:color w:val="auto"/>
              </w:rPr>
            </w:pPr>
          </w:p>
        </w:tc>
        <w:tc>
          <w:tcPr>
            <w:tcW w:w="8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(0.1)</w:t>
            </w:r>
          </w:p>
        </w:tc>
        <w:tc>
          <w:tcPr>
            <w:tcW w:w="460" w:type="dxa"/>
            <w:vAlign w:val="bottom"/>
            <w:tcBorders>
              <w:bottom w:val="single" w:sz="8" w:color="auto"/>
            </w:tcBorders>
            <w:shd w:val="clear" w:color="auto" w:fill="F4F4F4"/>
          </w:tcPr>
          <w:p>
            <w:pPr>
              <w:spacing w:after="0"/>
              <w:rPr>
                <w:sz w:val="16"/>
                <w:szCs w:val="16"/>
                <w:color w:val="auto"/>
              </w:rPr>
            </w:pP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(562.5)%</w:t>
            </w:r>
          </w:p>
        </w:tc>
        <w:tc>
          <w:tcPr>
            <w:tcW w:w="20" w:type="dxa"/>
            <w:vAlign w:val="bottom"/>
          </w:tcPr>
          <w:p>
            <w:pPr>
              <w:spacing w:after="0"/>
              <w:rPr>
                <w:sz w:val="16"/>
                <w:szCs w:val="16"/>
                <w:color w:val="auto"/>
              </w:rPr>
            </w:pPr>
          </w:p>
        </w:tc>
      </w:tr>
      <w:tr>
        <w:trPr>
          <w:trHeight w:val="183"/>
        </w:trPr>
        <w:tc>
          <w:tcPr>
            <w:tcW w:w="7520" w:type="dxa"/>
            <w:vAlign w:val="bottom"/>
            <w:tcBorders>
              <w:bottom w:val="single" w:sz="8" w:color="F4F4F4"/>
            </w:tcBorders>
          </w:tcPr>
          <w:p>
            <w:pPr>
              <w:ind w:left="360"/>
              <w:spacing w:after="0"/>
              <w:rPr>
                <w:sz w:val="20"/>
                <w:szCs w:val="20"/>
                <w:color w:val="auto"/>
              </w:rPr>
            </w:pPr>
            <w:r>
              <w:rPr>
                <w:rFonts w:ascii="Arial" w:cs="Arial" w:eastAsia="Arial" w:hAnsi="Arial"/>
                <w:sz w:val="14"/>
                <w:szCs w:val="14"/>
                <w:color w:val="auto"/>
              </w:rPr>
              <w:t>Subtotal</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30.9</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w:t>
            </w:r>
          </w:p>
        </w:tc>
        <w:tc>
          <w:tcPr>
            <w:tcW w:w="112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123.4 %</w:t>
            </w:r>
          </w:p>
        </w:tc>
        <w:tc>
          <w:tcPr>
            <w:tcW w:w="20" w:type="dxa"/>
            <w:vAlign w:val="bottom"/>
          </w:tcPr>
          <w:p>
            <w:pPr>
              <w:spacing w:after="0"/>
              <w:rPr>
                <w:sz w:val="15"/>
                <w:szCs w:val="15"/>
                <w:color w:val="auto"/>
              </w:rPr>
            </w:pPr>
          </w:p>
        </w:tc>
      </w:tr>
      <w:tr>
        <w:trPr>
          <w:trHeight w:val="183"/>
        </w:trPr>
        <w:tc>
          <w:tcPr>
            <w:tcW w:w="7520" w:type="dxa"/>
            <w:vAlign w:val="bottom"/>
            <w:shd w:val="clear" w:color="auto" w:fill="F4F4F4"/>
          </w:tcPr>
          <w:p>
            <w:pPr>
              <w:ind w:left="20"/>
              <w:spacing w:after="0"/>
              <w:rPr>
                <w:sz w:val="20"/>
                <w:szCs w:val="20"/>
                <w:color w:val="auto"/>
              </w:rPr>
            </w:pPr>
            <w:r>
              <w:rPr>
                <w:rFonts w:ascii="Arial" w:cs="Arial" w:eastAsia="Arial" w:hAnsi="Arial"/>
                <w:sz w:val="14"/>
                <w:szCs w:val="14"/>
                <w:color w:val="auto"/>
              </w:rPr>
              <w:t>Adjusted Non-GAAP EBITDA</w:t>
            </w:r>
          </w:p>
        </w:tc>
        <w:tc>
          <w:tcPr>
            <w:tcW w:w="480" w:type="dxa"/>
            <w:vAlign w:val="bottom"/>
            <w:tcBorders>
              <w:bottom w:val="single" w:sz="8" w:color="auto"/>
            </w:tcBorders>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57.2</w:t>
            </w:r>
          </w:p>
        </w:tc>
        <w:tc>
          <w:tcPr>
            <w:tcW w:w="460" w:type="dxa"/>
            <w:vAlign w:val="bottom"/>
            <w:tcBorders>
              <w:bottom w:val="single" w:sz="8" w:color="auto"/>
            </w:tcBorders>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44.7</w:t>
            </w:r>
          </w:p>
        </w:tc>
        <w:tc>
          <w:tcPr>
            <w:tcW w:w="11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28.0 %</w:t>
            </w:r>
          </w:p>
        </w:tc>
        <w:tc>
          <w:tcPr>
            <w:tcW w:w="20" w:type="dxa"/>
            <w:vAlign w:val="bottom"/>
          </w:tcPr>
          <w:p>
            <w:pPr>
              <w:spacing w:after="0"/>
              <w:rPr>
                <w:sz w:val="15"/>
                <w:szCs w:val="15"/>
                <w:color w:val="auto"/>
              </w:rPr>
            </w:pPr>
          </w:p>
        </w:tc>
      </w:tr>
      <w:tr>
        <w:trPr>
          <w:trHeight w:val="183"/>
        </w:trPr>
        <w:tc>
          <w:tcPr>
            <w:tcW w:w="7520" w:type="dxa"/>
            <w:vAlign w:val="bottom"/>
          </w:tcPr>
          <w:p>
            <w:pPr>
              <w:ind w:left="140"/>
              <w:spacing w:after="0"/>
              <w:rPr>
                <w:sz w:val="20"/>
                <w:szCs w:val="20"/>
                <w:color w:val="auto"/>
              </w:rPr>
            </w:pPr>
            <w:r>
              <w:rPr>
                <w:rFonts w:ascii="Arial" w:cs="Arial" w:eastAsia="Arial" w:hAnsi="Arial"/>
                <w:sz w:val="14"/>
                <w:szCs w:val="14"/>
                <w:b w:val="1"/>
                <w:bCs w:val="1"/>
                <w:color w:val="auto"/>
              </w:rPr>
              <w:t>Adjusted Non-GAAP EBITDA margin</w:t>
            </w:r>
          </w:p>
        </w:tc>
        <w:tc>
          <w:tcPr>
            <w:tcW w:w="4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26.1 %</w:t>
            </w: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7520" w:type="dxa"/>
            <w:vAlign w:val="bottom"/>
            <w:shd w:val="clear" w:color="auto" w:fill="F4F4F4"/>
          </w:tcPr>
          <w:p>
            <w:pPr>
              <w:spacing w:after="0"/>
              <w:rPr>
                <w:sz w:val="12"/>
                <w:szCs w:val="12"/>
                <w:color w:val="auto"/>
              </w:rPr>
            </w:pPr>
          </w:p>
        </w:tc>
        <w:tc>
          <w:tcPr>
            <w:tcW w:w="480" w:type="dxa"/>
            <w:vAlign w:val="bottom"/>
            <w:shd w:val="clear" w:color="auto" w:fill="F4F4F4"/>
          </w:tcPr>
          <w:p>
            <w:pPr>
              <w:spacing w:after="0"/>
              <w:rPr>
                <w:sz w:val="12"/>
                <w:szCs w:val="12"/>
                <w:color w:val="auto"/>
              </w:rPr>
            </w:pPr>
          </w:p>
        </w:tc>
        <w:tc>
          <w:tcPr>
            <w:tcW w:w="820" w:type="dxa"/>
            <w:vAlign w:val="bottom"/>
            <w:shd w:val="clear" w:color="auto" w:fill="F4F4F4"/>
          </w:tcPr>
          <w:p>
            <w:pPr>
              <w:spacing w:after="0"/>
              <w:rPr>
                <w:sz w:val="12"/>
                <w:szCs w:val="12"/>
                <w:color w:val="auto"/>
              </w:rPr>
            </w:pPr>
          </w:p>
        </w:tc>
        <w:tc>
          <w:tcPr>
            <w:tcW w:w="460" w:type="dxa"/>
            <w:vAlign w:val="bottom"/>
            <w:shd w:val="clear" w:color="auto" w:fill="F4F4F4"/>
          </w:tcPr>
          <w:p>
            <w:pPr>
              <w:spacing w:after="0"/>
              <w:rPr>
                <w:sz w:val="12"/>
                <w:szCs w:val="12"/>
                <w:color w:val="auto"/>
              </w:rPr>
            </w:pPr>
          </w:p>
        </w:tc>
        <w:tc>
          <w:tcPr>
            <w:tcW w:w="840" w:type="dxa"/>
            <w:vAlign w:val="bottom"/>
            <w:shd w:val="clear" w:color="auto" w:fill="F4F4F4"/>
          </w:tcPr>
          <w:p>
            <w:pPr>
              <w:spacing w:after="0"/>
              <w:rPr>
                <w:sz w:val="12"/>
                <w:szCs w:val="12"/>
                <w:color w:val="auto"/>
              </w:rPr>
            </w:pPr>
          </w:p>
        </w:tc>
        <w:tc>
          <w:tcPr>
            <w:tcW w:w="1120" w:type="dxa"/>
            <w:vAlign w:val="bottom"/>
            <w:shd w:val="clear" w:color="auto" w:fill="F4F4F4"/>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7520" w:type="dxa"/>
            <w:vAlign w:val="bottom"/>
            <w:tcBorders>
              <w:bottom w:val="single" w:sz="8" w:color="71BF43"/>
            </w:tcBorders>
          </w:tcPr>
          <w:p>
            <w:pPr>
              <w:ind w:left="20"/>
              <w:spacing w:after="0" w:line="189" w:lineRule="exact"/>
              <w:rPr>
                <w:sz w:val="20"/>
                <w:szCs w:val="20"/>
                <w:color w:val="auto"/>
              </w:rPr>
            </w:pPr>
            <w:r>
              <w:rPr>
                <w:rFonts w:ascii="Arial" w:cs="Arial" w:eastAsia="Arial" w:hAnsi="Arial"/>
                <w:sz w:val="14"/>
                <w:szCs w:val="14"/>
                <w:b w:val="1"/>
                <w:bCs w:val="1"/>
                <w:color w:val="auto"/>
              </w:rPr>
              <w:t>Rule of 40</w:t>
            </w:r>
            <w:r>
              <w:rPr>
                <w:rFonts w:ascii="Arial" w:cs="Arial" w:eastAsia="Arial" w:hAnsi="Arial"/>
                <w:sz w:val="18"/>
                <w:szCs w:val="18"/>
                <w:b w:val="1"/>
                <w:bCs w:val="1"/>
                <w:color w:val="auto"/>
                <w:vertAlign w:val="superscript"/>
              </w:rPr>
              <w:t>(2)</w:t>
            </w:r>
          </w:p>
        </w:tc>
        <w:tc>
          <w:tcPr>
            <w:tcW w:w="480" w:type="dxa"/>
            <w:vAlign w:val="bottom"/>
            <w:tcBorders>
              <w:bottom w:val="single" w:sz="8" w:color="71BF43"/>
            </w:tcBorders>
          </w:tcPr>
          <w:p>
            <w:pPr>
              <w:spacing w:after="0"/>
              <w:rPr>
                <w:sz w:val="16"/>
                <w:szCs w:val="16"/>
                <w:color w:val="auto"/>
              </w:rPr>
            </w:pPr>
          </w:p>
        </w:tc>
        <w:tc>
          <w:tcPr>
            <w:tcW w:w="820" w:type="dxa"/>
            <w:vAlign w:val="bottom"/>
            <w:tcBorders>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24.1 %</w:t>
            </w:r>
          </w:p>
        </w:tc>
        <w:tc>
          <w:tcPr>
            <w:tcW w:w="460" w:type="dxa"/>
            <w:vAlign w:val="bottom"/>
            <w:tcBorders>
              <w:bottom w:val="single" w:sz="8" w:color="71BF43"/>
            </w:tcBorders>
          </w:tcPr>
          <w:p>
            <w:pPr>
              <w:spacing w:after="0"/>
              <w:rPr>
                <w:sz w:val="16"/>
                <w:szCs w:val="16"/>
                <w:color w:val="auto"/>
              </w:rPr>
            </w:pPr>
          </w:p>
        </w:tc>
        <w:tc>
          <w:tcPr>
            <w:tcW w:w="840" w:type="dxa"/>
            <w:vAlign w:val="bottom"/>
            <w:tcBorders>
              <w:bottom w:val="single" w:sz="8" w:color="71BF43"/>
            </w:tcBorders>
          </w:tcPr>
          <w:p>
            <w:pPr>
              <w:spacing w:after="0"/>
              <w:rPr>
                <w:sz w:val="16"/>
                <w:szCs w:val="16"/>
                <w:color w:val="auto"/>
              </w:rPr>
            </w:pPr>
          </w:p>
        </w:tc>
        <w:tc>
          <w:tcPr>
            <w:tcW w:w="1120" w:type="dxa"/>
            <w:vAlign w:val="bottom"/>
            <w:tcBorders>
              <w:bottom w:val="single" w:sz="8" w:color="71BF43"/>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-2785110</wp:posOffset>
            </wp:positionV>
            <wp:extent cx="23660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Measured by non-GAAP organic revenue growth plus non-GAAP adjusted EBITDA margin. See Non-GAAP organic revenue growth table above.</w:t>
      </w:r>
    </w:p>
    <w:p>
      <w:pPr>
        <w:spacing w:after="0" w:line="33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32</w:t>
      </w:r>
      <w:r>
        <w:rPr>
          <w:sz w:val="20"/>
          <w:szCs w:val="20"/>
          <w:color w:val="auto"/>
        </w:rPr>
        <w:tab/>
      </w:r>
      <w:r>
        <w:rPr>
          <w:sz w:val="1"/>
          <w:szCs w:val="1"/>
          <w:color w:val="auto"/>
        </w:rPr>
        <w:drawing>
          <wp:inline distT="0" distB="0" distL="0" distR="0">
            <wp:extent cx="651510" cy="1714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however, do not vary significantly as a result of these factors, but do fluctuate on a quarterly basis due to varying timing of expenditures.</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base salary merit increases, which were replaced in 2020 with performance-based equity awards due to COVID-19, but are expected to return in July 2021. In addition, deferred revenues can vary on a seasonal basis for the same reasons. Our cash flow from financing is negatively impacted in our first quarter when most of our equity awards vest, as we pay taxes on behalf of our employees related to the settlement or exercise of equity awards. During the second quarter of 2021, we expect an increase in the amount taxes we pay on behalf of our employees related to the settlement of equity awards when compared to the same period in 2020, as the equity granted in May 2020 in lieu of cash bonus plans and base salary merit increases will vest.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40" w:type="dxa"/>
            <w:vAlign w:val="bottom"/>
            <w:shd w:val="clear" w:color="auto" w:fill="ACACAC"/>
          </w:tcPr>
          <w:p>
            <w:pPr>
              <w:spacing w:after="0"/>
              <w:rPr>
                <w:sz w:val="14"/>
                <w:szCs w:val="14"/>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40" w:type="dxa"/>
            <w:vAlign w:val="bottom"/>
            <w:shd w:val="clear" w:color="auto" w:fill="ACACAC"/>
          </w:tcPr>
          <w:p>
            <w:pPr>
              <w:spacing w:after="0"/>
              <w:rPr>
                <w:sz w:val="14"/>
                <w:szCs w:val="14"/>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20" w:type="dxa"/>
            <w:vAlign w:val="bottom"/>
            <w:vMerge w:val="continue"/>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80" w:type="dxa"/>
            <w:vAlign w:val="bottom"/>
            <w:vMerge w:val="continue"/>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F4F4F4"/>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35.8</w:t>
            </w:r>
          </w:p>
        </w:tc>
        <w:tc>
          <w:tcPr>
            <w:tcW w:w="14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105.2</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F4F4F4"/>
          </w:tcPr>
          <w:p>
            <w:pPr>
              <w:ind w:left="20"/>
              <w:spacing w:after="0"/>
              <w:rPr>
                <w:sz w:val="20"/>
                <w:szCs w:val="20"/>
                <w:color w:val="auto"/>
              </w:rPr>
            </w:pPr>
            <w:r>
              <w:rPr>
                <w:rFonts w:ascii="Arial" w:cs="Arial" w:eastAsia="Arial" w:hAnsi="Arial"/>
                <w:sz w:val="18"/>
                <w:szCs w:val="18"/>
                <w:color w:val="auto"/>
              </w:rPr>
              <w:t>Software development costs, net</w:t>
            </w:r>
          </w:p>
        </w:tc>
        <w:tc>
          <w:tcPr>
            <w:tcW w:w="340" w:type="dxa"/>
            <w:vAlign w:val="bottom"/>
            <w:shd w:val="clear" w:color="auto" w:fill="F4F4F4"/>
          </w:tcPr>
          <w:p>
            <w:pPr>
              <w:spacing w:after="0"/>
              <w:rPr>
                <w:sz w:val="19"/>
                <w:szCs w:val="19"/>
                <w:color w:val="auto"/>
              </w:rPr>
            </w:pP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113.6</w:t>
            </w:r>
          </w:p>
        </w:tc>
        <w:tc>
          <w:tcPr>
            <w:tcW w:w="240" w:type="dxa"/>
            <w:vAlign w:val="bottom"/>
            <w:shd w:val="clear" w:color="auto" w:fill="F4F4F4"/>
          </w:tcPr>
          <w:p>
            <w:pPr>
              <w:spacing w:after="0"/>
              <w:rPr>
                <w:sz w:val="19"/>
                <w:szCs w:val="19"/>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111.8</w:t>
            </w:r>
          </w:p>
        </w:tc>
        <w:tc>
          <w:tcPr>
            <w:tcW w:w="14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531.0</w:t>
            </w:r>
          </w:p>
        </w:tc>
        <w:tc>
          <w:tcPr>
            <w:tcW w:w="1480" w:type="dxa"/>
            <w:vAlign w:val="bottom"/>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71BF43"/>
            </w:tcBorders>
            <w:shd w:val="clear" w:color="auto" w:fill="F4F4F4"/>
          </w:tcPr>
          <w:p>
            <w:pPr>
              <w:spacing w:after="0"/>
              <w:rPr>
                <w:sz w:val="19"/>
                <w:szCs w:val="19"/>
                <w:color w:val="auto"/>
              </w:rPr>
            </w:pPr>
          </w:p>
        </w:tc>
        <w:tc>
          <w:tcPr>
            <w:tcW w:w="9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(180.9)</w:t>
            </w:r>
          </w:p>
        </w:tc>
        <w:tc>
          <w:tcPr>
            <w:tcW w:w="240" w:type="dxa"/>
            <w:vAlign w:val="bottom"/>
            <w:tcBorders>
              <w:bottom w:val="single" w:sz="8" w:color="71BF43"/>
            </w:tcBorders>
            <w:shd w:val="clear" w:color="auto" w:fill="F4F4F4"/>
          </w:tcPr>
          <w:p>
            <w:pPr>
              <w:spacing w:after="0"/>
              <w:rPr>
                <w:sz w:val="19"/>
                <w:szCs w:val="19"/>
                <w:color w:val="auto"/>
              </w:rPr>
            </w:pPr>
          </w:p>
        </w:tc>
        <w:tc>
          <w:tcPr>
            <w:tcW w:w="10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(194.3)</w:t>
            </w:r>
          </w:p>
        </w:tc>
        <w:tc>
          <w:tcPr>
            <w:tcW w:w="14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7120" w:type="dxa"/>
            <w:vAlign w:val="bottom"/>
          </w:tcPr>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98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25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 March 31,</w:t>
            </w: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40" w:type="dxa"/>
            <w:vAlign w:val="bottom"/>
            <w:shd w:val="clear" w:color="auto" w:fill="ACACAC"/>
          </w:tcPr>
          <w:p>
            <w:pPr>
              <w:spacing w:after="0"/>
              <w:rPr>
                <w:sz w:val="18"/>
                <w:szCs w:val="18"/>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40" w:type="dxa"/>
            <w:vAlign w:val="bottom"/>
            <w:shd w:val="clear" w:color="auto" w:fill="ACACAC"/>
          </w:tcPr>
          <w:p>
            <w:pPr>
              <w:spacing w:after="0"/>
              <w:rPr>
                <w:sz w:val="18"/>
                <w:szCs w:val="18"/>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14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(24.5)</w:t>
            </w:r>
          </w:p>
        </w:tc>
        <w:tc>
          <w:tcPr>
            <w:tcW w:w="14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71BF43"/>
            </w:tcBorders>
            <w:shd w:val="clear" w:color="auto" w:fill="F4F4F4"/>
          </w:tcPr>
          <w:p>
            <w:pPr>
              <w:spacing w:after="0"/>
              <w:rPr>
                <w:sz w:val="19"/>
                <w:szCs w:val="19"/>
                <w:color w:val="auto"/>
              </w:rPr>
            </w:pPr>
          </w:p>
        </w:tc>
        <w:tc>
          <w:tcPr>
            <w:tcW w:w="9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(379.6)</w:t>
            </w:r>
          </w:p>
        </w:tc>
        <w:tc>
          <w:tcPr>
            <w:tcW w:w="240" w:type="dxa"/>
            <w:vAlign w:val="bottom"/>
            <w:tcBorders>
              <w:bottom w:val="single" w:sz="8" w:color="71BF43"/>
            </w:tcBorders>
            <w:shd w:val="clear" w:color="auto" w:fill="F4F4F4"/>
          </w:tcPr>
          <w:p>
            <w:pPr>
              <w:spacing w:after="0"/>
              <w:rPr>
                <w:sz w:val="19"/>
                <w:szCs w:val="19"/>
                <w:color w:val="auto"/>
              </w:rPr>
            </w:pPr>
          </w:p>
        </w:tc>
        <w:tc>
          <w:tcPr>
            <w:tcW w:w="10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(278.9)</w:t>
            </w:r>
          </w:p>
        </w:tc>
        <w:tc>
          <w:tcPr>
            <w:tcW w:w="14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36.1 %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1"/>
        </w:trPr>
        <w:tc>
          <w:tcPr>
            <w:tcW w:w="7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gridSpan w:val="3"/>
          </w:tcPr>
          <w:p>
            <w:pPr>
              <w:jc w:val="right"/>
              <w:ind w:right="96"/>
              <w:spacing w:after="0"/>
              <w:rPr>
                <w:sz w:val="20"/>
                <w:szCs w:val="20"/>
                <w:color w:val="auto"/>
              </w:rPr>
            </w:pPr>
            <w:r>
              <w:rPr>
                <w:rFonts w:ascii="Arial" w:cs="Arial" w:eastAsia="Arial" w:hAnsi="Arial"/>
                <w:sz w:val="14"/>
                <w:szCs w:val="14"/>
                <w:color w:val="auto"/>
              </w:rPr>
              <w:t>First Quarter 2021 Form 10-Q</w:t>
            </w:r>
          </w:p>
        </w:tc>
        <w:tc>
          <w:tcPr>
            <w:tcW w:w="1480" w:type="dxa"/>
            <w:vAlign w:val="bottom"/>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7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-1233805</wp:posOffset>
            </wp:positionV>
            <wp:extent cx="26231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2318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-367665</wp:posOffset>
            </wp:positionV>
            <wp:extent cx="65976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To the extent we undertake future material acquisitions, investments or unanticipated capital expenditures, we may require additional capital. In that context, we regularly evaluate opportunities to enhance our capital structure including through potential debt or equity issuances.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2021, our total cash and cash equivalents balance included approximately $16.6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operating activities increased by $54.6 million during the three months ended March 31, 2021, when compared to the same period in 2020, primarily due to a $46.6 million increase in cash flow from operations associated with working capital and an $8.0 million increase in net income adjusted for non-cash expenses. Throughout both periods, our cash flows from operations were derived principally from: (i) our earnings from on-going operations prior to non-cash expenses such as depreciation, amortization, stock-based compensation, amortization of deferred financing costs and debt discount and adjustments to our provision for credit losses and sales returns; and (ii) changes in our working capital.</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Working capital changes are composed of changes in accounts receivable, prepaid expenses and other assets, trade accounts payable, accrued expenses and other liabilities, and deferred revenue. The increase in cash flow from operations associated with working capital during the three months ended March 31, 2021, when compared to the same period in 2020, was primarily due to:</w:t>
      </w:r>
    </w:p>
    <w:p>
      <w:pPr>
        <w:spacing w:after="0" w:line="148" w:lineRule="exact"/>
        <w:rPr>
          <w:sz w:val="20"/>
          <w:szCs w:val="20"/>
          <w:color w:val="auto"/>
        </w:rPr>
      </w:pPr>
    </w:p>
    <w:p>
      <w:pPr>
        <w:ind w:left="660" w:hanging="328"/>
        <w:spacing w:after="0" w:line="261" w:lineRule="auto"/>
        <w:tabs>
          <w:tab w:leader="none" w:pos="6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payment of our 2019 cash bonus plans in 2020 and the replacement of our 2020 cash bonus plans with performance-based equity awards (which we expect will continue going forward);</w:t>
      </w:r>
    </w:p>
    <w:p>
      <w:pPr>
        <w:spacing w:after="0" w:line="143"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collection of customer receivable balances;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timing of vendor payments.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investing activities of $12.8 million decreased by $1.0 million during the three months ended March 31, 2021, when compared to the same period in 2020.</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2021, we used $9.3 million for software development costs, which was down $1.6 million from cash spent during the same period in 2020, primarily due to lower engineering headcount. We increased engineering hiring beginning in the fourth quarter of 2020 and continue to invest in our innovative cloud solutions, as well as development activities for Blackbaud SKY, our modern cloud platform.</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spent $ 3.5 million of cash for purchases of property and equipment during the three months ended March 31, 2021, which was an increase of $0.6 million when compared to the same period in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we had a net increase in borrowings of $21.0 million.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paid $18.4 million to satisfy tax obligations of employees upon settlement of equity awards during the three months ended March 31, 2021 compared to $19.8 million during the same period in 2020. The amount of taxes paid by us on the behalf of employees related to the settlement of equity awards varies from period to period based upon the timing of grants and vesting, as well as the market price for shares of our common stock at the time of settlement. While most of our equity awards currently vest in our first quarter, the equity awards that we granted in May 2020 to replace our 2020 cash bonus plans and base salary merit increases will vest in May 2021. During the three months</w:t>
      </w:r>
    </w:p>
    <w:p>
      <w:pPr>
        <w:spacing w:after="0" w:line="31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34</w:t>
      </w:r>
      <w:r>
        <w:rPr>
          <w:sz w:val="20"/>
          <w:szCs w:val="20"/>
          <w:color w:val="auto"/>
        </w:rPr>
        <w:tab/>
      </w:r>
      <w:r>
        <w:rPr>
          <w:sz w:val="1"/>
          <w:szCs w:val="1"/>
          <w:color w:val="auto"/>
        </w:rPr>
        <w:drawing>
          <wp:inline distT="0" distB="0" distL="0" distR="0">
            <wp:extent cx="651510" cy="1714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ended March 31, 2020, we paid dividends of $6.0 million and we did not pay dividends during the same period in 2021, as we discontinued the declaration and payment of all cash dividends, beginning with the second quarter of 2020.</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financing activities associated with changes in restricted cash due to customers increased $42.5 million during the three months ended March 31, 2021 when compared to the same period in 2020, as the amount of restricted cash held and payable by us to customers as of December 31, 2020 was larger than at the same date in 2019 primarily due to the timing of year-end donations.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November 2020, our Board of Directors reauthorized and expanded a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three months ended March 31, 2021, we purchased 465,821 shares for $28.1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Credit Facility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we have drawn on our credit facility from time to time to help us meet financial needs, primarily due to the seasonality of our cash flows from operations and financing for business acquisitions. At March 31, 2021, our available borrowing capacity under the 2020 Credit Facility was $406.0 million. The 2020 Credit Facility matures in October 2025.</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March 31, 2021, the carrying amount of our debt under the 2020 Credit Facility was $488.8 million. Our average daily borrowings during the three months ended March 31, 2021 were $489.5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financial covenants under the 2020 Credit Facility:</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99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5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Requirement</w:t>
            </w:r>
          </w:p>
        </w:tc>
        <w:tc>
          <w:tcPr>
            <w:tcW w:w="3360" w:type="dxa"/>
            <w:vAlign w:val="bottom"/>
            <w:shd w:val="clear" w:color="auto" w:fill="ACACAC"/>
          </w:tcPr>
          <w:p>
            <w:pPr>
              <w:jc w:val="center"/>
              <w:spacing w:after="0"/>
              <w:rPr>
                <w:sz w:val="20"/>
                <w:szCs w:val="20"/>
                <w:color w:val="auto"/>
              </w:rPr>
            </w:pPr>
            <w:r>
              <w:rPr>
                <w:rFonts w:ascii="Arial" w:cs="Arial" w:eastAsia="Arial" w:hAnsi="Arial"/>
                <w:sz w:val="14"/>
                <w:szCs w:val="14"/>
                <w:b w:val="1"/>
                <w:bCs w:val="1"/>
                <w:color w:val="FFFFFF"/>
              </w:rPr>
              <w:t>Ratio as of March 31, 2021</w:t>
            </w:r>
          </w:p>
        </w:tc>
        <w:tc>
          <w:tcPr>
            <w:tcW w:w="20" w:type="dxa"/>
            <w:vAlign w:val="bottom"/>
            <w:shd w:val="clear" w:color="auto" w:fill="ACACAC"/>
          </w:tcPr>
          <w:p>
            <w:pPr>
              <w:spacing w:after="0"/>
              <w:rPr>
                <w:sz w:val="18"/>
                <w:szCs w:val="18"/>
                <w:color w:val="auto"/>
              </w:rPr>
            </w:pPr>
          </w:p>
        </w:tc>
      </w:tr>
      <w:tr>
        <w:trPr>
          <w:trHeight w:val="230"/>
        </w:trPr>
        <w:tc>
          <w:tcPr>
            <w:tcW w:w="499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leverage ratio</w:t>
            </w:r>
          </w:p>
        </w:tc>
        <w:tc>
          <w:tcPr>
            <w:tcW w:w="285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 4.00 to 1.00</w:t>
            </w:r>
          </w:p>
        </w:tc>
        <w:tc>
          <w:tcPr>
            <w:tcW w:w="3360" w:type="dxa"/>
            <w:vAlign w:val="bottom"/>
            <w:shd w:val="clear" w:color="auto" w:fill="F4F4F4"/>
          </w:tcPr>
          <w:p>
            <w:pPr>
              <w:jc w:val="center"/>
              <w:spacing w:after="0"/>
              <w:rPr>
                <w:sz w:val="20"/>
                <w:szCs w:val="20"/>
                <w:color w:val="auto"/>
              </w:rPr>
            </w:pPr>
            <w:r>
              <w:rPr>
                <w:rFonts w:ascii="Arial" w:cs="Arial" w:eastAsia="Arial" w:hAnsi="Arial"/>
                <w:sz w:val="18"/>
                <w:szCs w:val="18"/>
                <w:color w:val="auto"/>
              </w:rPr>
              <w:t>1.79 to 1.00</w:t>
            </w:r>
          </w:p>
        </w:tc>
        <w:tc>
          <w:tcPr>
            <w:tcW w:w="20" w:type="dxa"/>
            <w:vAlign w:val="bottom"/>
          </w:tcPr>
          <w:p>
            <w:pPr>
              <w:spacing w:after="0"/>
              <w:rPr>
                <w:sz w:val="19"/>
                <w:szCs w:val="19"/>
                <w:color w:val="auto"/>
              </w:rPr>
            </w:pPr>
          </w:p>
        </w:tc>
      </w:tr>
      <w:tr>
        <w:trPr>
          <w:trHeight w:val="230"/>
        </w:trPr>
        <w:tc>
          <w:tcPr>
            <w:tcW w:w="4990" w:type="dxa"/>
            <w:vAlign w:val="bottom"/>
            <w:tcBorders>
              <w:bottom w:val="single" w:sz="8" w:color="71BF43"/>
            </w:tcBorders>
          </w:tcPr>
          <w:p>
            <w:pPr>
              <w:ind w:left="20"/>
              <w:spacing w:after="0"/>
              <w:rPr>
                <w:sz w:val="20"/>
                <w:szCs w:val="20"/>
                <w:color w:val="auto"/>
              </w:rPr>
            </w:pPr>
            <w:r>
              <w:rPr>
                <w:rFonts w:ascii="Arial" w:cs="Arial" w:eastAsia="Arial" w:hAnsi="Arial"/>
                <w:sz w:val="18"/>
                <w:szCs w:val="18"/>
                <w:color w:val="auto"/>
              </w:rPr>
              <w:t>Interest coverage ratio</w:t>
            </w:r>
          </w:p>
        </w:tc>
        <w:tc>
          <w:tcPr>
            <w:tcW w:w="2850" w:type="dxa"/>
            <w:vAlign w:val="bottom"/>
            <w:tcBorders>
              <w:bottom w:val="single" w:sz="8" w:color="71BF43"/>
            </w:tcBorders>
          </w:tcPr>
          <w:p>
            <w:pPr>
              <w:jc w:val="center"/>
              <w:spacing w:after="0"/>
              <w:rPr>
                <w:sz w:val="20"/>
                <w:szCs w:val="20"/>
                <w:color w:val="auto"/>
              </w:rPr>
            </w:pPr>
            <w:r>
              <w:rPr>
                <w:rFonts w:ascii="Arial" w:cs="Arial" w:eastAsia="Arial" w:hAnsi="Arial"/>
                <w:sz w:val="18"/>
                <w:szCs w:val="18"/>
                <w:color w:val="auto"/>
                <w:w w:val="99"/>
              </w:rPr>
              <w:t>≥ 2.50 to 1.00</w:t>
            </w:r>
          </w:p>
        </w:tc>
        <w:tc>
          <w:tcPr>
            <w:tcW w:w="3360" w:type="dxa"/>
            <w:vAlign w:val="bottom"/>
            <w:tcBorders>
              <w:bottom w:val="single" w:sz="8" w:color="71BF43"/>
            </w:tcBorders>
          </w:tcPr>
          <w:p>
            <w:pPr>
              <w:jc w:val="center"/>
              <w:spacing w:after="0"/>
              <w:rPr>
                <w:sz w:val="20"/>
                <w:szCs w:val="20"/>
                <w:color w:val="auto"/>
              </w:rPr>
            </w:pPr>
            <w:r>
              <w:rPr>
                <w:rFonts w:ascii="Arial" w:cs="Arial" w:eastAsia="Arial" w:hAnsi="Arial"/>
                <w:sz w:val="18"/>
                <w:szCs w:val="18"/>
                <w:color w:val="auto"/>
                <w:w w:val="98"/>
              </w:rPr>
              <w:t>16.44 to 1.00</w:t>
            </w:r>
          </w:p>
        </w:tc>
        <w:tc>
          <w:tcPr>
            <w:tcW w:w="20" w:type="dxa"/>
            <w:vAlign w:val="bottom"/>
          </w:tcPr>
          <w:p>
            <w:pPr>
              <w:spacing w:after="0"/>
              <w:rPr>
                <w:sz w:val="19"/>
                <w:szCs w:val="19"/>
                <w:color w:val="auto"/>
              </w:rPr>
            </w:pPr>
          </w:p>
        </w:tc>
      </w:tr>
    </w:tbl>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March 31, 2021, we were in compliance with our debt covenants under the 2020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216535</wp:posOffset>
            </wp:positionV>
            <wp:extent cx="65976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03"/>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contractual obligations with future minimum commitments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shd w:val="clear" w:color="auto" w:fill="ACACAC"/>
          </w:tcPr>
          <w:p>
            <w:pPr>
              <w:spacing w:after="0"/>
              <w:rPr>
                <w:sz w:val="17"/>
                <w:szCs w:val="17"/>
                <w:color w:val="auto"/>
              </w:rPr>
            </w:pPr>
          </w:p>
        </w:tc>
        <w:tc>
          <w:tcPr>
            <w:tcW w:w="500" w:type="dxa"/>
            <w:vAlign w:val="bottom"/>
            <w:shd w:val="clear" w:color="auto" w:fill="ACACAC"/>
          </w:tcPr>
          <w:p>
            <w:pPr>
              <w:spacing w:after="0"/>
              <w:rPr>
                <w:sz w:val="17"/>
                <w:szCs w:val="17"/>
                <w:color w:val="auto"/>
              </w:rPr>
            </w:pPr>
          </w:p>
        </w:tc>
        <w:tc>
          <w:tcPr>
            <w:tcW w:w="900" w:type="dxa"/>
            <w:vAlign w:val="bottom"/>
            <w:shd w:val="clear" w:color="auto" w:fill="ACACAC"/>
          </w:tcPr>
          <w:p>
            <w:pPr>
              <w:spacing w:after="0"/>
              <w:rPr>
                <w:sz w:val="17"/>
                <w:szCs w:val="17"/>
                <w:color w:val="auto"/>
              </w:rPr>
            </w:pPr>
          </w:p>
        </w:tc>
        <w:tc>
          <w:tcPr>
            <w:tcW w:w="360" w:type="dxa"/>
            <w:vAlign w:val="bottom"/>
            <w:shd w:val="clear" w:color="auto" w:fill="ACACAC"/>
          </w:tcPr>
          <w:p>
            <w:pPr>
              <w:spacing w:after="0"/>
              <w:rPr>
                <w:sz w:val="17"/>
                <w:szCs w:val="17"/>
                <w:color w:val="auto"/>
              </w:rPr>
            </w:pPr>
          </w:p>
        </w:tc>
        <w:tc>
          <w:tcPr>
            <w:tcW w:w="2920" w:type="dxa"/>
            <w:vAlign w:val="bottom"/>
            <w:gridSpan w:val="4"/>
            <w:shd w:val="clear" w:color="auto" w:fill="ACACAC"/>
          </w:tcPr>
          <w:p>
            <w:pPr>
              <w:jc w:val="right"/>
              <w:ind w:right="230"/>
              <w:spacing w:after="0"/>
              <w:rPr>
                <w:sz w:val="20"/>
                <w:szCs w:val="20"/>
                <w:color w:val="auto"/>
              </w:rPr>
            </w:pPr>
            <w:r>
              <w:rPr>
                <w:rFonts w:ascii="Arial" w:cs="Arial" w:eastAsia="Arial" w:hAnsi="Arial"/>
                <w:sz w:val="14"/>
                <w:szCs w:val="14"/>
                <w:b w:val="1"/>
                <w:bCs w:val="1"/>
                <w:color w:val="FFFFFF"/>
              </w:rPr>
              <w:t>Payments due by period</w:t>
            </w:r>
          </w:p>
        </w:tc>
        <w:tc>
          <w:tcPr>
            <w:tcW w:w="96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06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6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millions)</w:t>
            </w:r>
          </w:p>
        </w:tc>
        <w:tc>
          <w:tcPr>
            <w:tcW w:w="500" w:type="dxa"/>
            <w:vAlign w:val="bottom"/>
            <w:shd w:val="clear" w:color="auto" w:fill="ACACAC"/>
          </w:tcPr>
          <w:p>
            <w:pPr>
              <w:spacing w:after="0"/>
              <w:rPr>
                <w:sz w:val="14"/>
                <w:szCs w:val="14"/>
                <w:color w:val="auto"/>
              </w:rPr>
            </w:pPr>
          </w:p>
        </w:tc>
        <w:tc>
          <w:tcPr>
            <w:tcW w:w="9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360" w:type="dxa"/>
            <w:vAlign w:val="bottom"/>
            <w:shd w:val="clear" w:color="auto" w:fill="ACACAC"/>
          </w:tcPr>
          <w:p>
            <w:pPr>
              <w:spacing w:after="0"/>
              <w:rPr>
                <w:sz w:val="14"/>
                <w:szCs w:val="14"/>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Less than 1</w:t>
            </w:r>
          </w:p>
        </w:tc>
        <w:tc>
          <w:tcPr>
            <w:tcW w:w="440" w:type="dxa"/>
            <w:vAlign w:val="bottom"/>
            <w:shd w:val="clear" w:color="auto" w:fill="ACACAC"/>
          </w:tcPr>
          <w:p>
            <w:pPr>
              <w:spacing w:after="0"/>
              <w:rPr>
                <w:sz w:val="14"/>
                <w:szCs w:val="14"/>
                <w:color w:val="auto"/>
              </w:rPr>
            </w:pPr>
          </w:p>
        </w:tc>
        <w:tc>
          <w:tcPr>
            <w:tcW w:w="9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1-3 years</w:t>
            </w:r>
          </w:p>
        </w:tc>
        <w:tc>
          <w:tcPr>
            <w:tcW w:w="460" w:type="dxa"/>
            <w:vAlign w:val="bottom"/>
            <w:shd w:val="clear" w:color="auto" w:fill="ACACAC"/>
          </w:tcPr>
          <w:p>
            <w:pPr>
              <w:spacing w:after="0"/>
              <w:rPr>
                <w:sz w:val="14"/>
                <w:szCs w:val="14"/>
                <w:color w:val="auto"/>
              </w:rPr>
            </w:pPr>
          </w:p>
        </w:tc>
        <w:tc>
          <w:tcPr>
            <w:tcW w:w="9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3-5 years</w:t>
            </w:r>
          </w:p>
        </w:tc>
        <w:tc>
          <w:tcPr>
            <w:tcW w:w="340" w:type="dxa"/>
            <w:vAlign w:val="bottom"/>
            <w:shd w:val="clear" w:color="auto" w:fill="ACACAC"/>
          </w:tcPr>
          <w:p>
            <w:pPr>
              <w:spacing w:after="0"/>
              <w:rPr>
                <w:sz w:val="14"/>
                <w:szCs w:val="14"/>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More than 5</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60" w:type="dxa"/>
            <w:vAlign w:val="bottom"/>
            <w:vMerge w:val="continue"/>
            <w:shd w:val="clear" w:color="auto" w:fill="ACACAC"/>
          </w:tcPr>
          <w:p>
            <w:pPr>
              <w:spacing w:after="0"/>
              <w:rPr>
                <w:sz w:val="16"/>
                <w:szCs w:val="16"/>
                <w:color w:val="auto"/>
              </w:rPr>
            </w:pPr>
          </w:p>
        </w:tc>
        <w:tc>
          <w:tcPr>
            <w:tcW w:w="500" w:type="dxa"/>
            <w:vAlign w:val="bottom"/>
            <w:shd w:val="clear" w:color="auto" w:fill="ACACAC"/>
          </w:tcPr>
          <w:p>
            <w:pPr>
              <w:spacing w:after="0"/>
              <w:rPr>
                <w:sz w:val="16"/>
                <w:szCs w:val="16"/>
                <w:color w:val="auto"/>
              </w:rPr>
            </w:pPr>
          </w:p>
        </w:tc>
        <w:tc>
          <w:tcPr>
            <w:tcW w:w="900" w:type="dxa"/>
            <w:vAlign w:val="bottom"/>
            <w:vMerge w:val="continue"/>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w:t>
            </w:r>
          </w:p>
        </w:tc>
        <w:tc>
          <w:tcPr>
            <w:tcW w:w="440" w:type="dxa"/>
            <w:vAlign w:val="bottom"/>
            <w:shd w:val="clear" w:color="auto" w:fill="ACACAC"/>
          </w:tcPr>
          <w:p>
            <w:pPr>
              <w:spacing w:after="0"/>
              <w:rPr>
                <w:sz w:val="16"/>
                <w:szCs w:val="16"/>
                <w:color w:val="auto"/>
              </w:rPr>
            </w:pPr>
          </w:p>
        </w:tc>
        <w:tc>
          <w:tcPr>
            <w:tcW w:w="960" w:type="dxa"/>
            <w:vAlign w:val="bottom"/>
            <w:vMerge w:val="continue"/>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60" w:type="dxa"/>
            <w:vAlign w:val="bottom"/>
            <w:vMerge w:val="continue"/>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years</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F4F4F4"/>
          </w:tcPr>
          <w:p>
            <w:pPr>
              <w:ind w:left="20"/>
              <w:spacing w:after="0"/>
              <w:rPr>
                <w:sz w:val="20"/>
                <w:szCs w:val="20"/>
                <w:color w:val="auto"/>
              </w:rPr>
            </w:pPr>
            <w:r>
              <w:rPr>
                <w:rFonts w:ascii="Arial" w:cs="Arial" w:eastAsia="Arial" w:hAnsi="Arial"/>
                <w:sz w:val="18"/>
                <w:szCs w:val="18"/>
                <w:b w:val="1"/>
                <w:bCs w:val="1"/>
                <w:color w:val="auto"/>
              </w:rPr>
              <w:t>Recorded contractual obligations:</w:t>
            </w:r>
          </w:p>
        </w:tc>
        <w:tc>
          <w:tcPr>
            <w:tcW w:w="5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3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44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34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(1)</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553.5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F4F4F4"/>
          </w:tcPr>
          <w:p>
            <w:pPr>
              <w:ind w:left="140"/>
              <w:spacing w:after="0" w:line="230" w:lineRule="exact"/>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(2)</w:t>
            </w:r>
          </w:p>
        </w:tc>
        <w:tc>
          <w:tcPr>
            <w:tcW w:w="5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F4F4F4"/>
          </w:tcPr>
          <w:p>
            <w:pPr>
              <w:spacing w:after="0"/>
              <w:rPr>
                <w:sz w:val="19"/>
                <w:szCs w:val="19"/>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0.3</w:t>
            </w:r>
          </w:p>
        </w:tc>
        <w:tc>
          <w:tcPr>
            <w:tcW w:w="4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F4F4F4"/>
          </w:tcPr>
          <w:p>
            <w:pPr>
              <w:spacing w:after="0"/>
              <w:rPr>
                <w:sz w:val="19"/>
                <w:szCs w:val="19"/>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(3)</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F4F4F4"/>
          </w:tcPr>
          <w:p>
            <w:pPr>
              <w:spacing w:after="0"/>
              <w:rPr>
                <w:sz w:val="23"/>
                <w:szCs w:val="23"/>
                <w:color w:val="auto"/>
              </w:rPr>
            </w:pPr>
          </w:p>
        </w:tc>
        <w:tc>
          <w:tcPr>
            <w:tcW w:w="500" w:type="dxa"/>
            <w:vAlign w:val="bottom"/>
            <w:shd w:val="clear" w:color="auto" w:fill="F4F4F4"/>
          </w:tcPr>
          <w:p>
            <w:pPr>
              <w:spacing w:after="0"/>
              <w:rPr>
                <w:sz w:val="23"/>
                <w:szCs w:val="23"/>
                <w:color w:val="auto"/>
              </w:rPr>
            </w:pPr>
          </w:p>
        </w:tc>
        <w:tc>
          <w:tcPr>
            <w:tcW w:w="900" w:type="dxa"/>
            <w:vAlign w:val="bottom"/>
            <w:shd w:val="clear" w:color="auto" w:fill="F4F4F4"/>
          </w:tcPr>
          <w:p>
            <w:pPr>
              <w:spacing w:after="0"/>
              <w:rPr>
                <w:sz w:val="23"/>
                <w:szCs w:val="23"/>
                <w:color w:val="auto"/>
              </w:rPr>
            </w:pPr>
          </w:p>
        </w:tc>
        <w:tc>
          <w:tcPr>
            <w:tcW w:w="36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44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460" w:type="dxa"/>
            <w:vAlign w:val="bottom"/>
            <w:shd w:val="clear" w:color="auto" w:fill="F4F4F4"/>
          </w:tcPr>
          <w:p>
            <w:pPr>
              <w:spacing w:after="0"/>
              <w:rPr>
                <w:sz w:val="23"/>
                <w:szCs w:val="23"/>
                <w:color w:val="auto"/>
              </w:rPr>
            </w:pPr>
          </w:p>
        </w:tc>
        <w:tc>
          <w:tcPr>
            <w:tcW w:w="960" w:type="dxa"/>
            <w:vAlign w:val="bottom"/>
            <w:shd w:val="clear" w:color="auto" w:fill="F4F4F4"/>
          </w:tcPr>
          <w:p>
            <w:pPr>
              <w:spacing w:after="0"/>
              <w:rPr>
                <w:sz w:val="23"/>
                <w:szCs w:val="23"/>
                <w:color w:val="auto"/>
              </w:rPr>
            </w:pPr>
          </w:p>
        </w:tc>
        <w:tc>
          <w:tcPr>
            <w:tcW w:w="340" w:type="dxa"/>
            <w:vAlign w:val="bottom"/>
            <w:shd w:val="clear" w:color="auto" w:fill="F4F4F4"/>
          </w:tcPr>
          <w:p>
            <w:pPr>
              <w:spacing w:after="0"/>
              <w:rPr>
                <w:sz w:val="23"/>
                <w:szCs w:val="23"/>
                <w:color w:val="auto"/>
              </w:rPr>
            </w:pPr>
          </w:p>
        </w:tc>
        <w:tc>
          <w:tcPr>
            <w:tcW w:w="106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Unrecorded contractual obligations: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F4F4F4"/>
          </w:tcPr>
          <w:p>
            <w:pPr>
              <w:ind w:left="140"/>
              <w:spacing w:after="0" w:line="230" w:lineRule="exact"/>
              <w:rPr>
                <w:sz w:val="20"/>
                <w:szCs w:val="20"/>
                <w:color w:val="auto"/>
              </w:rPr>
            </w:pPr>
            <w:r>
              <w:rPr>
                <w:rFonts w:ascii="Arial" w:cs="Arial" w:eastAsia="Arial" w:hAnsi="Arial"/>
                <w:sz w:val="18"/>
                <w:szCs w:val="18"/>
                <w:color w:val="auto"/>
              </w:rPr>
              <w:t>Interest payments on debt</w:t>
            </w:r>
            <w:r>
              <w:rPr>
                <w:rFonts w:ascii="Arial" w:cs="Arial" w:eastAsia="Arial" w:hAnsi="Arial"/>
                <w:sz w:val="23"/>
                <w:szCs w:val="23"/>
                <w:color w:val="auto"/>
                <w:vertAlign w:val="superscript"/>
              </w:rPr>
              <w:t>(4)</w:t>
            </w:r>
          </w:p>
        </w:tc>
        <w:tc>
          <w:tcPr>
            <w:tcW w:w="50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78.9</w:t>
            </w:r>
          </w:p>
        </w:tc>
        <w:tc>
          <w:tcPr>
            <w:tcW w:w="360" w:type="dxa"/>
            <w:vAlign w:val="bottom"/>
            <w:shd w:val="clear" w:color="auto" w:fill="F4F4F4"/>
          </w:tcPr>
          <w:p>
            <w:pPr>
              <w:spacing w:after="0"/>
              <w:rPr>
                <w:sz w:val="19"/>
                <w:szCs w:val="19"/>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11.9</w:t>
            </w:r>
          </w:p>
        </w:tc>
        <w:tc>
          <w:tcPr>
            <w:tcW w:w="44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24.9</w:t>
            </w:r>
          </w:p>
        </w:tc>
        <w:tc>
          <w:tcPr>
            <w:tcW w:w="460" w:type="dxa"/>
            <w:vAlign w:val="bottom"/>
            <w:shd w:val="clear" w:color="auto" w:fill="F4F4F4"/>
          </w:tcPr>
          <w:p>
            <w:pPr>
              <w:spacing w:after="0"/>
              <w:rPr>
                <w:sz w:val="19"/>
                <w:szCs w:val="19"/>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F4F4F4"/>
          </w:tcPr>
          <w:p>
            <w:pPr>
              <w:spacing w:after="0"/>
              <w:rPr>
                <w:sz w:val="19"/>
                <w:szCs w:val="19"/>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F4F4F4"/>
            </w:tcBorders>
          </w:tcPr>
          <w:p>
            <w:pPr>
              <w:ind w:left="14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(5)</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tcBorders>
              <w:bottom w:val="single" w:sz="8" w:color="71BF43"/>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739.6</w:t>
            </w:r>
          </w:p>
        </w:tc>
        <w:tc>
          <w:tcPr>
            <w:tcW w:w="360" w:type="dxa"/>
            <w:vAlign w:val="bottom"/>
            <w:tcBorders>
              <w:bottom w:val="single" w:sz="8" w:color="71BF43"/>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91.8</w:t>
            </w:r>
          </w:p>
        </w:tc>
        <w:tc>
          <w:tcPr>
            <w:tcW w:w="440" w:type="dxa"/>
            <w:vAlign w:val="bottom"/>
            <w:tcBorders>
              <w:bottom w:val="single" w:sz="8" w:color="71BF43"/>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80.3</w:t>
            </w:r>
          </w:p>
        </w:tc>
        <w:tc>
          <w:tcPr>
            <w:tcW w:w="460" w:type="dxa"/>
            <w:vAlign w:val="bottom"/>
            <w:tcBorders>
              <w:bottom w:val="single" w:sz="8" w:color="71BF43"/>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488.2</w:t>
            </w:r>
          </w:p>
        </w:tc>
        <w:tc>
          <w:tcPr>
            <w:tcW w:w="340" w:type="dxa"/>
            <w:vAlign w:val="bottom"/>
            <w:tcBorders>
              <w:bottom w:val="single" w:sz="8" w:color="71BF43"/>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-1576705</wp:posOffset>
            </wp:positionV>
            <wp:extent cx="44748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66" w:lineRule="exact"/>
        <w:rPr>
          <w:sz w:val="20"/>
          <w:szCs w:val="20"/>
          <w:color w:val="auto"/>
        </w:rPr>
      </w:pPr>
    </w:p>
    <w:p>
      <w:pPr>
        <w:jc w:val="both"/>
        <w:ind w:left="340" w:right="20" w:hanging="332"/>
        <w:spacing w:after="0" w:line="241" w:lineRule="auto"/>
        <w:tabs>
          <w:tab w:leader="none" w:pos="3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principal payments only, under the following assumptions: (i) that the amounts outstanding under the 2020 Credit Facility, our Real Estate Loans and our other debt at March 31, 2021 will remain outstanding until maturity, with minimum payments occurring as currently scheduled, and (ii) that there are no assumed future borrowings on the 2020 Credit Facility for the purposes of determining minimum commitment amounts.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interest payment obligations related to our interest rate swap agreements.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commitments related to operating leases have not been reduced by sublease income, incentive payments and reimbursement of leasehold improvements.</w:t>
      </w:r>
    </w:p>
    <w:p>
      <w:pPr>
        <w:spacing w:after="0" w:line="1" w:lineRule="exact"/>
        <w:rPr>
          <w:rFonts w:ascii="Arial" w:cs="Arial" w:eastAsia="Arial" w:hAnsi="Arial"/>
          <w:sz w:val="14"/>
          <w:szCs w:val="14"/>
          <w:color w:val="auto"/>
        </w:rPr>
      </w:pPr>
    </w:p>
    <w:p>
      <w:pPr>
        <w:ind w:left="340" w:hanging="332"/>
        <w:spacing w:after="0" w:line="241" w:lineRule="auto"/>
        <w:tabs>
          <w:tab w:leader="none" w:pos="3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actual interest expense recognized in our consolidated statements of comprehensive income will depend on the amount of debt, the length of time the debt is outstanding and the interest rate, which could be different from our assumptions described in (1) above.</w:t>
      </w:r>
    </w:p>
    <w:p>
      <w:pPr>
        <w:ind w:left="340" w:hanging="332"/>
        <w:spacing w:after="0" w:line="258" w:lineRule="auto"/>
        <w:tabs>
          <w:tab w:leader="none" w:pos="3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have contractual obligations for third-party technology used in our solutions and for other services we purchase as part of our normal operations. In certain cases, these arrangements require a minimum annual purchase commitment by us.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term loan under the 2020 Credit Facility and our other debt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liability for uncertain tax positions as of March 31, 2021 and December 31, 2020, was $4.6 million and $4.6 million, respectively. Our accrued interest and penalties related to tax positions taken on our tax returns was $1.1 million and $1.1 million as of March 31, 2021 and December 31, 2020, respectively.</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 promulgated by the SEC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15% of our total revenue for the three months ended March 31, 2021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gain of $3.1 million as of March 31, 2021 and a gain of $0.6 million as of December 31, 2020.</w:t>
      </w:r>
    </w:p>
    <w:p>
      <w:pPr>
        <w:spacing w:after="0" w:line="316"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36</w:t>
      </w:r>
      <w:r>
        <w:rPr>
          <w:sz w:val="20"/>
          <w:szCs w:val="20"/>
          <w:color w:val="auto"/>
        </w:rPr>
        <w:tab/>
      </w:r>
      <w:r>
        <w:rPr>
          <w:sz w:val="1"/>
          <w:szCs w:val="1"/>
          <w:color w:val="auto"/>
        </w:rPr>
        <w:drawing>
          <wp:inline distT="0" distB="0" distL="0" distR="0">
            <wp:extent cx="651510" cy="1714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three months ended March 31, 2021,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three months ended March 31, 2021, the fluctuation in foreign currency exchange rates increased our total revenue and our income from operations by $2.0 million and $0.7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34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March 31, 2021 as compared to those disclosed in “Management’s Discussion and Analysis of Financial Condition and Results of Operations” included in our Annual Report on Form 10-K for the fiscal year ended December 31, 2020.</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condensed consolidated financial statements in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28"/>
          <w:szCs w:val="28"/>
          <w:b w:val="1"/>
          <w:bCs w:val="1"/>
          <w:color w:val="71BF43"/>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rates.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 Due to the nature of our debt, the materiality of the fair values of the derivative instruments and the highly liquid, short-term nature and level of our cash and cash equivalents as of March 31, 2021, we believe that the risk of exposure to changing interest rates for those positions is immaterial. There were no significant changes in how we manage interest rate risk between December 31, 2020 and March 31, 2021.</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8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CONTROLS AND PROCEDURES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changes in internal control over financial reporting occurred during the most recent fiscal quarter ended March 31, 2021 with respect to our operations, which have materially affected, or are reasonably likely to materially affect, our internal control over financial reporting.</w:t>
      </w:r>
    </w:p>
    <w:p>
      <w:pPr>
        <w:spacing w:after="0" w:line="305"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38</w:t>
      </w:r>
      <w:r>
        <w:rPr>
          <w:sz w:val="20"/>
          <w:szCs w:val="20"/>
          <w:color w:val="auto"/>
        </w:rPr>
        <w:tab/>
      </w:r>
      <w:r>
        <w:rPr>
          <w:sz w:val="1"/>
          <w:szCs w:val="1"/>
          <w:color w:val="auto"/>
        </w:rPr>
        <w:drawing>
          <wp:inline distT="0" distB="0" distL="0" distR="0">
            <wp:extent cx="651510" cy="1714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sz w:val="1"/>
          <w:szCs w:val="1"/>
          <w:color w:val="auto"/>
        </w:rPr>
        <w:drawing>
          <wp:inline distT="0" distB="0" distL="0" distR="0">
            <wp:extent cx="171450" cy="21399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213995"/>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 OTHER INFORMATION</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legal proceedings, see Note 9 to our condensed consolidated financial statements in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supplementing Item 1A. Risk Factors in our Annual Report on Form 10-K for the year ended December 31, 2020, as filed with the Securities and Exchange Commission on February 23, 2021 (the “Annual Report”). The following risk factors should be read in conjunction with the risk factors set forth in that Annual Report.</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Security Incident could have numerous adverse effects on our business.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Although the nature of the incident, our research and third party (including law enforcement) investigation have provided no reason to believe that any data went beyond the cybercriminal, was or will be misused, or will be disseminated or otherwise made available publicly, our investigation into the Security Incident remains ongoing and may provide additional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date, we have received approximately 630 claims for reimbursement of expenses from customers or their attorneys related to the Security Incident (none of which have as yet been filed in court or in arbitration) and are in the process of assessing what liability may exist pursuant to such claims. Possible exposure could result from our customers’ costs and expenses associated with notifying their own constituents of the Security Incident and taking steps to assure that personal information has not been compromised as a result of the Security Incident. In addition, presently, we are a defendant in 30 putative consumer class action cases [27 in U.S. federal courts (some of which have been consolidated under multi district litigation to a single federal court), 1 in a U.S. state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47 state Attorneys General and the District of Columbia and a separate Civil Investigative Demand from the office of the Illinois Attorney General’s Office relating to the Security Incident. In addition, we have received communications, inquires and requests from the U.S. Federal Trade Commission, the U.S. Department of Health and Human Services, the U.S. Securities and Exchange Commission, the Information Commissioner’s Office in the United Kingdom (the “ICO”) under the U.K. Data Protection Act 2018, the Office of the Australian Information Commissioner and the Office of the Privacy Commissioner of Canada. (See Note 9 to our unaudited, condensed consolidated financial statements included in this report for a more detailed description of the Security Incident and related matters)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may not be covered by insurance. Governmental authorities also may seek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226060</wp:posOffset>
            </wp:positionV>
            <wp:extent cx="65976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2021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8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Significant management time and Company resources have been, and are expected to continue to be, devoted to the Security Incident. (See Note 9 to our unaudited, condensed consolidated financial statements included in this report.) Although we carry insurance designed to protect us against certain losses related to cybersecurity events, that insurance coverage may not be sufficient to cover all expenses or other losses (including fines) or all types of claims that may arise in connection with cyberattacks, security compromises and other related incidents. Furthermore, in the future such insurance may not be available on commercially reasonable terms, or at all.</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Future publicity or developments related to the Security Incident could have a range of other adverse effects on our business or prospects, including causing or contributing to loss of customer confidence, reduced customer demand, reduced customer retention, strategic growth opportunities, and associated retention and recruiting difficulties.</w:t>
      </w:r>
    </w:p>
    <w:p>
      <w:pPr>
        <w:spacing w:after="0" w:line="216" w:lineRule="exact"/>
        <w:rPr>
          <w:sz w:val="20"/>
          <w:szCs w:val="20"/>
          <w:color w:val="auto"/>
        </w:rPr>
      </w:pPr>
    </w:p>
    <w:p>
      <w:pPr>
        <w:ind w:right="1540"/>
        <w:spacing w:after="0" w:line="278" w:lineRule="auto"/>
        <w:rPr>
          <w:sz w:val="20"/>
          <w:szCs w:val="20"/>
          <w:color w:val="auto"/>
        </w:rPr>
      </w:pPr>
      <w:r>
        <w:rPr>
          <w:rFonts w:ascii="Arial" w:cs="Arial" w:eastAsia="Arial" w:hAnsi="Arial"/>
          <w:sz w:val="29"/>
          <w:szCs w:val="29"/>
          <w:b w:val="1"/>
          <w:bCs w:val="1"/>
          <w:color w:val="71BF43"/>
        </w:rPr>
        <w:t>ITEM 2. UNREGISTERED SALES OF EQUITY SECURITIES AND USE OF PROCEEDS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provides information about shares of common stock acquired or repurchased during the three months ended March 31, 2021 under the stock repurchase program then in effect, as well as common stock withheld by us to satisfy the minimum tax obligations of employees due upon vesting of restricted stock awards and units.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1360" w:type="dxa"/>
            <w:vAlign w:val="bottom"/>
            <w:vMerge w:val="continue"/>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vMerge w:val="continue"/>
            <w:shd w:val="clear" w:color="auto" w:fill="ACACAC"/>
          </w:tcPr>
          <w:p>
            <w:pPr>
              <w:spacing w:after="0"/>
              <w:rPr>
                <w:sz w:val="11"/>
                <w:szCs w:val="11"/>
                <w:color w:val="auto"/>
              </w:rPr>
            </w:pP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vMerge w:val="continue"/>
            <w:shd w:val="clear" w:color="auto" w:fill="ACACAC"/>
          </w:tcPr>
          <w:p>
            <w:pPr>
              <w:spacing w:after="0"/>
              <w:rPr>
                <w:sz w:val="11"/>
                <w:szCs w:val="11"/>
                <w:color w:val="auto"/>
              </w:rPr>
            </w:pP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1"/>
                <w:szCs w:val="11"/>
                <w:color w:val="auto"/>
              </w:rPr>
            </w:pPr>
          </w:p>
        </w:tc>
        <w:tc>
          <w:tcPr>
            <w:tcW w:w="460" w:type="dxa"/>
            <w:vAlign w:val="bottom"/>
            <w:shd w:val="clear" w:color="auto" w:fill="ACACAC"/>
          </w:tcPr>
          <w:p>
            <w:pPr>
              <w:spacing w:after="0"/>
              <w:rPr>
                <w:sz w:val="11"/>
                <w:szCs w:val="11"/>
                <w:color w:val="auto"/>
              </w:rPr>
            </w:pPr>
          </w:p>
        </w:tc>
        <w:tc>
          <w:tcPr>
            <w:tcW w:w="92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ACACAC"/>
          </w:tcPr>
          <w:p>
            <w:pPr>
              <w:spacing w:after="0"/>
              <w:rPr>
                <w:sz w:val="11"/>
                <w:szCs w:val="11"/>
                <w:color w:val="auto"/>
              </w:rPr>
            </w:pPr>
          </w:p>
        </w:tc>
        <w:tc>
          <w:tcPr>
            <w:tcW w:w="136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ACACAC"/>
          </w:tcPr>
          <w:p>
            <w:pPr>
              <w:spacing w:after="0"/>
              <w:rPr>
                <w:sz w:val="11"/>
                <w:szCs w:val="11"/>
                <w:color w:val="auto"/>
              </w:rPr>
            </w:pPr>
          </w:p>
        </w:tc>
        <w:tc>
          <w:tcPr>
            <w:tcW w:w="240" w:type="dxa"/>
            <w:vAlign w:val="bottom"/>
            <w:shd w:val="clear" w:color="auto" w:fill="ACACAC"/>
          </w:tcPr>
          <w:p>
            <w:pPr>
              <w:spacing w:after="0"/>
              <w:rPr>
                <w:sz w:val="11"/>
                <w:szCs w:val="11"/>
                <w:color w:val="auto"/>
              </w:rPr>
            </w:pPr>
          </w:p>
        </w:tc>
        <w:tc>
          <w:tcPr>
            <w:tcW w:w="1140" w:type="dxa"/>
            <w:vAlign w:val="bottom"/>
            <w:shd w:val="clear" w:color="auto" w:fill="ACACAC"/>
          </w:tcPr>
          <w:p>
            <w:pPr>
              <w:jc w:val="right"/>
              <w:spacing w:after="0" w:line="135" w:lineRule="exact"/>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ACACA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40" w:type="dxa"/>
            <w:vAlign w:val="bottom"/>
            <w:vMerge w:val="continue"/>
            <w:shd w:val="clear" w:color="auto" w:fill="ACACAC"/>
          </w:tcPr>
          <w:p>
            <w:pPr>
              <w:spacing w:after="0"/>
              <w:rPr>
                <w:sz w:val="16"/>
                <w:szCs w:val="16"/>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purchased</w:t>
            </w:r>
            <w:r>
              <w:rPr>
                <w:rFonts w:ascii="Arial" w:cs="Arial" w:eastAsia="Arial" w:hAnsi="Arial"/>
                <w:sz w:val="9"/>
                <w:szCs w:val="9"/>
                <w:b w:val="1"/>
                <w:bCs w:val="1"/>
                <w:color w:val="FFFFFF"/>
              </w:rPr>
              <w:t>(1)</w:t>
            </w:r>
          </w:p>
        </w:tc>
        <w:tc>
          <w:tcPr>
            <w:tcW w:w="1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ACACAC"/>
          </w:tcPr>
          <w:p>
            <w:pPr>
              <w:spacing w:after="0"/>
              <w:rPr>
                <w:sz w:val="16"/>
                <w:szCs w:val="16"/>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programs</w:t>
            </w:r>
            <w:r>
              <w:rPr>
                <w:rFonts w:ascii="Arial" w:cs="Arial" w:eastAsia="Arial" w:hAnsi="Arial"/>
                <w:sz w:val="9"/>
                <w:szCs w:val="9"/>
                <w:b w:val="1"/>
                <w:bCs w:val="1"/>
                <w:color w:val="FFFFFF"/>
              </w:rPr>
              <w:t>(2)</w:t>
            </w:r>
          </w:p>
        </w:tc>
        <w:tc>
          <w:tcPr>
            <w:tcW w:w="10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F4F4F4"/>
          </w:tcPr>
          <w:p>
            <w:pPr>
              <w:ind w:left="20"/>
              <w:spacing w:after="0"/>
              <w:rPr>
                <w:sz w:val="20"/>
                <w:szCs w:val="20"/>
                <w:color w:val="auto"/>
              </w:rPr>
            </w:pPr>
            <w:r>
              <w:rPr>
                <w:rFonts w:ascii="Arial" w:cs="Arial" w:eastAsia="Arial" w:hAnsi="Arial"/>
                <w:sz w:val="18"/>
                <w:szCs w:val="18"/>
                <w:color w:val="auto"/>
              </w:rPr>
              <w:t>Beginning balance, January 1, 2021</w:t>
            </w:r>
          </w:p>
        </w:tc>
        <w:tc>
          <w:tcPr>
            <w:tcW w:w="136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1360" w:type="dxa"/>
            <w:vAlign w:val="bottom"/>
            <w:shd w:val="clear" w:color="auto" w:fill="F4F4F4"/>
          </w:tcPr>
          <w:p>
            <w:pPr>
              <w:spacing w:after="0"/>
              <w:rPr>
                <w:sz w:val="19"/>
                <w:szCs w:val="19"/>
                <w:color w:val="auto"/>
              </w:rPr>
            </w:pP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208,999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January 1, 2021 through January 31, 2021</w:t>
            </w:r>
          </w:p>
        </w:tc>
        <w:tc>
          <w:tcPr>
            <w:tcW w:w="1360" w:type="dxa"/>
            <w:vAlign w:val="bottom"/>
          </w:tcPr>
          <w:p>
            <w:pPr>
              <w:jc w:val="right"/>
              <w:spacing w:after="0"/>
              <w:rPr>
                <w:sz w:val="20"/>
                <w:szCs w:val="20"/>
                <w:color w:val="auto"/>
              </w:rPr>
            </w:pPr>
            <w:r>
              <w:rPr>
                <w:rFonts w:ascii="Arial" w:cs="Arial" w:eastAsia="Arial" w:hAnsi="Arial"/>
                <w:sz w:val="18"/>
                <w:szCs w:val="18"/>
                <w:color w:val="auto"/>
              </w:rPr>
              <w:t>464,149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60.23</w:t>
            </w:r>
          </w:p>
        </w:tc>
        <w:tc>
          <w:tcPr>
            <w:tcW w:w="120" w:type="dxa"/>
            <w:vAlign w:val="bottom"/>
          </w:tcPr>
          <w:p>
            <w:pPr>
              <w:spacing w:after="0"/>
              <w:rPr>
                <w:sz w:val="19"/>
                <w:szCs w:val="19"/>
                <w:color w:val="auto"/>
              </w:rPr>
            </w:pPr>
          </w:p>
        </w:tc>
        <w:tc>
          <w:tcPr>
            <w:tcW w:w="1360" w:type="dxa"/>
            <w:vAlign w:val="bottom"/>
          </w:tcPr>
          <w:p>
            <w:pPr>
              <w:jc w:val="right"/>
              <w:ind w:right="2"/>
              <w:spacing w:after="0"/>
              <w:rPr>
                <w:sz w:val="20"/>
                <w:szCs w:val="20"/>
                <w:color w:val="auto"/>
              </w:rPr>
            </w:pPr>
            <w:r>
              <w:rPr>
                <w:rFonts w:ascii="Arial" w:cs="Arial" w:eastAsia="Arial" w:hAnsi="Arial"/>
                <w:sz w:val="18"/>
                <w:szCs w:val="18"/>
                <w:color w:val="auto"/>
              </w:rPr>
              <w:t>464,149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181,042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F4F4F4"/>
          </w:tcPr>
          <w:p>
            <w:pPr>
              <w:ind w:left="20"/>
              <w:spacing w:after="0"/>
              <w:rPr>
                <w:sz w:val="20"/>
                <w:szCs w:val="20"/>
                <w:color w:val="auto"/>
              </w:rPr>
            </w:pPr>
            <w:r>
              <w:rPr>
                <w:rFonts w:ascii="Arial" w:cs="Arial" w:eastAsia="Arial" w:hAnsi="Arial"/>
                <w:sz w:val="18"/>
                <w:szCs w:val="18"/>
                <w:color w:val="auto"/>
              </w:rPr>
              <w:t>February 1, 2021 through February 28, 2021</w:t>
            </w:r>
          </w:p>
        </w:tc>
        <w:tc>
          <w:tcPr>
            <w:tcW w:w="13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242,539</w:t>
            </w:r>
          </w:p>
        </w:tc>
        <w:tc>
          <w:tcPr>
            <w:tcW w:w="100" w:type="dxa"/>
            <w:vAlign w:val="bottom"/>
            <w:shd w:val="clear" w:color="auto" w:fill="F4F4F4"/>
          </w:tcPr>
          <w:p>
            <w:pPr>
              <w:spacing w:after="0"/>
              <w:rPr>
                <w:sz w:val="19"/>
                <w:szCs w:val="19"/>
                <w:color w:val="auto"/>
              </w:rPr>
            </w:pPr>
          </w:p>
        </w:tc>
        <w:tc>
          <w:tcPr>
            <w:tcW w:w="460" w:type="dxa"/>
            <w:vAlign w:val="bottom"/>
            <w:shd w:val="clear" w:color="auto" w:fill="F4F4F4"/>
          </w:tcPr>
          <w:p>
            <w:pPr>
              <w:spacing w:after="0"/>
              <w:rPr>
                <w:sz w:val="19"/>
                <w:szCs w:val="19"/>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76.42</w:t>
            </w:r>
          </w:p>
        </w:tc>
        <w:tc>
          <w:tcPr>
            <w:tcW w:w="120" w:type="dxa"/>
            <w:vAlign w:val="bottom"/>
            <w:shd w:val="clear" w:color="auto" w:fill="F4F4F4"/>
          </w:tcPr>
          <w:p>
            <w:pPr>
              <w:spacing w:after="0"/>
              <w:rPr>
                <w:sz w:val="19"/>
                <w:szCs w:val="19"/>
                <w:color w:val="auto"/>
              </w:rPr>
            </w:pPr>
          </w:p>
        </w:tc>
        <w:tc>
          <w:tcPr>
            <w:tcW w:w="136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14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180,933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March 1, 2021 through March 31, 2021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180,933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F4F4F4"/>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706,688</w:t>
            </w:r>
          </w:p>
        </w:tc>
        <w:tc>
          <w:tcPr>
            <w:tcW w:w="100" w:type="dxa"/>
            <w:vAlign w:val="bottom"/>
            <w:tcBorders>
              <w:top w:val="single" w:sz="8" w:color="F4F4F4"/>
              <w:bottom w:val="single" w:sz="8" w:color="71BF43"/>
            </w:tcBorders>
            <w:shd w:val="clear" w:color="auto" w:fill="F4F4F4"/>
          </w:tcPr>
          <w:p>
            <w:pPr>
              <w:spacing w:after="0"/>
              <w:rPr>
                <w:sz w:val="19"/>
                <w:szCs w:val="19"/>
                <w:color w:val="auto"/>
              </w:rPr>
            </w:pPr>
          </w:p>
        </w:tc>
        <w:tc>
          <w:tcPr>
            <w:tcW w:w="460" w:type="dxa"/>
            <w:vAlign w:val="bottom"/>
            <w:tcBorders>
              <w:top w:val="single" w:sz="8" w:color="auto"/>
              <w:bottom w:val="single" w:sz="8" w:color="71BF43"/>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65.79</w:t>
            </w:r>
          </w:p>
        </w:tc>
        <w:tc>
          <w:tcPr>
            <w:tcW w:w="120" w:type="dxa"/>
            <w:vAlign w:val="bottom"/>
            <w:tcBorders>
              <w:top w:val="single" w:sz="8" w:color="F4F4F4"/>
              <w:bottom w:val="single" w:sz="8" w:color="71BF43"/>
            </w:tcBorders>
            <w:shd w:val="clear" w:color="auto" w:fill="F4F4F4"/>
          </w:tcPr>
          <w:p>
            <w:pPr>
              <w:spacing w:after="0"/>
              <w:rPr>
                <w:sz w:val="19"/>
                <w:szCs w:val="19"/>
                <w:color w:val="auto"/>
              </w:rPr>
            </w:pPr>
          </w:p>
        </w:tc>
        <w:tc>
          <w:tcPr>
            <w:tcW w:w="1360" w:type="dxa"/>
            <w:vAlign w:val="bottom"/>
            <w:tcBorders>
              <w:top w:val="single" w:sz="8" w:color="auto"/>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465,821</w:t>
            </w:r>
          </w:p>
        </w:tc>
        <w:tc>
          <w:tcPr>
            <w:tcW w:w="100" w:type="dxa"/>
            <w:vAlign w:val="bottom"/>
            <w:tcBorders>
              <w:top w:val="single" w:sz="8" w:color="F4F4F4"/>
              <w:bottom w:val="single" w:sz="8" w:color="71BF43"/>
            </w:tcBorders>
            <w:shd w:val="clear" w:color="auto" w:fill="F4F4F4"/>
          </w:tcPr>
          <w:p>
            <w:pPr>
              <w:spacing w:after="0"/>
              <w:rPr>
                <w:sz w:val="19"/>
                <w:szCs w:val="19"/>
                <w:color w:val="auto"/>
              </w:rPr>
            </w:pPr>
          </w:p>
        </w:tc>
        <w:tc>
          <w:tcPr>
            <w:tcW w:w="240" w:type="dxa"/>
            <w:vAlign w:val="bottom"/>
            <w:tcBorders>
              <w:top w:val="single" w:sz="8" w:color="auto"/>
              <w:bottom w:val="single" w:sz="8" w:color="71BF43"/>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71BF43"/>
            </w:tcBorders>
            <w:shd w:val="clear" w:color="auto" w:fill="F4F4F4"/>
          </w:tcPr>
          <w:p>
            <w:pPr>
              <w:jc w:val="right"/>
              <w:ind w:right="2"/>
              <w:spacing w:after="0"/>
              <w:rPr>
                <w:sz w:val="20"/>
                <w:szCs w:val="20"/>
                <w:color w:val="auto"/>
              </w:rPr>
            </w:pPr>
            <w:r>
              <w:rPr>
                <w:rFonts w:ascii="Arial" w:cs="Arial" w:eastAsia="Arial" w:hAnsi="Arial"/>
                <w:sz w:val="18"/>
                <w:szCs w:val="18"/>
                <w:color w:val="auto"/>
              </w:rPr>
              <w:t>180,933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right="20" w:hanging="332"/>
        <w:spacing w:after="0" w:line="241"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240,867 shares in February withheld by us to satisfy the minimum tax obligations of employees due upon vesting of restricted stock awards and units. The level of this acquisition activity varies from period to period based upon the timing of award grants and vesting.</w:t>
      </w:r>
    </w:p>
    <w:p>
      <w:pPr>
        <w:ind w:left="340" w:right="20" w:hanging="332"/>
        <w:spacing w:after="0" w:line="258"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November 2020, our Board of Directors reauthorized and expanded our stock repurchase program to authorize us to purchase up to $250.0 million of our outstanding shares of common stock. The program does not have an expiration date.</w:t>
      </w:r>
    </w:p>
    <w:p>
      <w:pPr>
        <w:spacing w:after="0" w:line="296"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40</w:t>
      </w:r>
      <w:r>
        <w:rPr>
          <w:sz w:val="20"/>
          <w:szCs w:val="20"/>
          <w:color w:val="auto"/>
        </w:rPr>
        <w:tab/>
      </w:r>
      <w:r>
        <w:rPr>
          <w:sz w:val="1"/>
          <w:szCs w:val="1"/>
          <w:color w:val="auto"/>
        </w:rPr>
        <w:drawing>
          <wp:inline distT="0" distB="0" distL="0" distR="0">
            <wp:extent cx="651510" cy="1714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2021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EXHIBITS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Quarterly Report on Form 10-Q:</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4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940" w:type="dxa"/>
            <w:vAlign w:val="bottom"/>
            <w:shd w:val="clear" w:color="auto" w:fill="ACACAC"/>
          </w:tcPr>
          <w:p>
            <w:pPr>
              <w:spacing w:after="0"/>
              <w:rPr>
                <w:sz w:val="17"/>
                <w:szCs w:val="17"/>
                <w:color w:val="auto"/>
              </w:rPr>
            </w:pPr>
          </w:p>
        </w:tc>
        <w:tc>
          <w:tcPr>
            <w:tcW w:w="300" w:type="dxa"/>
            <w:vAlign w:val="bottom"/>
            <w:shd w:val="clear" w:color="auto" w:fill="ACACAC"/>
          </w:tcPr>
          <w:p>
            <w:pPr>
              <w:spacing w:after="0"/>
              <w:rPr>
                <w:sz w:val="17"/>
                <w:szCs w:val="17"/>
                <w:color w:val="auto"/>
              </w:rPr>
            </w:pPr>
          </w:p>
        </w:tc>
        <w:tc>
          <w:tcPr>
            <w:tcW w:w="2540" w:type="dxa"/>
            <w:vAlign w:val="bottom"/>
            <w:shd w:val="clear" w:color="auto" w:fill="ACACAC"/>
          </w:tcPr>
          <w:p>
            <w:pPr>
              <w:spacing w:after="0"/>
              <w:rPr>
                <w:sz w:val="17"/>
                <w:szCs w:val="17"/>
                <w:color w:val="auto"/>
              </w:rPr>
            </w:pPr>
          </w:p>
        </w:tc>
        <w:tc>
          <w:tcPr>
            <w:tcW w:w="118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1070" w:type="dxa"/>
            <w:vAlign w:val="bottom"/>
            <w:shd w:val="clear" w:color="auto" w:fill="ACACAC"/>
          </w:tcPr>
          <w:p>
            <w:pPr>
              <w:spacing w:after="0"/>
              <w:rPr>
                <w:sz w:val="17"/>
                <w:szCs w:val="17"/>
                <w:color w:val="auto"/>
              </w:rPr>
            </w:pPr>
          </w:p>
        </w:tc>
        <w:tc>
          <w:tcPr>
            <w:tcW w:w="830" w:type="dxa"/>
            <w:vAlign w:val="bottom"/>
            <w:shd w:val="clear" w:color="auto" w:fill="ACACAC"/>
          </w:tcPr>
          <w:p>
            <w:pPr>
              <w:spacing w:after="0"/>
              <w:rPr>
                <w:sz w:val="17"/>
                <w:szCs w:val="17"/>
                <w:color w:val="auto"/>
              </w:rPr>
            </w:pPr>
          </w:p>
        </w:tc>
        <w:tc>
          <w:tcPr>
            <w:tcW w:w="1440" w:type="dxa"/>
            <w:vAlign w:val="bottom"/>
            <w:shd w:val="clear" w:color="auto" w:fill="ACACAC"/>
          </w:tcPr>
          <w:p>
            <w:pPr>
              <w:ind w:left="140"/>
              <w:spacing w:after="0"/>
              <w:rPr>
                <w:sz w:val="20"/>
                <w:szCs w:val="20"/>
                <w:color w:val="auto"/>
              </w:rPr>
            </w:pPr>
            <w:r>
              <w:rPr>
                <w:rFonts w:ascii="Arial" w:cs="Arial" w:eastAsia="Arial" w:hAnsi="Arial"/>
                <w:sz w:val="14"/>
                <w:szCs w:val="14"/>
                <w:b w:val="1"/>
                <w:bCs w:val="1"/>
                <w:color w:val="FFFFFF"/>
              </w:rPr>
              <w:t>Filed In</w:t>
            </w:r>
          </w:p>
        </w:tc>
        <w:tc>
          <w:tcPr>
            <w:tcW w:w="1260" w:type="dxa"/>
            <w:vAlign w:val="bottom"/>
            <w:shd w:val="clear" w:color="auto" w:fill="ACACAC"/>
          </w:tcPr>
          <w:p>
            <w:pPr>
              <w:spacing w:after="0"/>
              <w:rPr>
                <w:sz w:val="17"/>
                <w:szCs w:val="17"/>
                <w:color w:val="auto"/>
              </w:rPr>
            </w:pPr>
          </w:p>
        </w:tc>
        <w:tc>
          <w:tcPr>
            <w:tcW w:w="40" w:type="dxa"/>
            <w:vAlign w:val="bottom"/>
            <w:tcBorders>
              <w:left w:val="single" w:sz="8" w:color="ACACA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20" w:type="dxa"/>
            <w:vAlign w:val="bottom"/>
            <w:gridSpan w:val="3"/>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Exhibit</w:t>
            </w:r>
          </w:p>
        </w:tc>
        <w:tc>
          <w:tcPr>
            <w:tcW w:w="2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300" w:type="dxa"/>
            <w:vAlign w:val="bottom"/>
            <w:shd w:val="clear" w:color="auto" w:fill="ACACAC"/>
          </w:tcPr>
          <w:p>
            <w:pPr>
              <w:spacing w:after="0"/>
              <w:rPr>
                <w:sz w:val="14"/>
                <w:szCs w:val="14"/>
                <w:color w:val="auto"/>
              </w:rPr>
            </w:pPr>
          </w:p>
        </w:tc>
        <w:tc>
          <w:tcPr>
            <w:tcW w:w="3720" w:type="dxa"/>
            <w:vAlign w:val="bottom"/>
            <w:gridSpan w:val="2"/>
            <w:vMerge w:val="restart"/>
            <w:shd w:val="clear" w:color="auto" w:fill="ACACAC"/>
          </w:tcPr>
          <w:p>
            <w:pPr>
              <w:ind w:left="520"/>
              <w:spacing w:after="0"/>
              <w:rPr>
                <w:sz w:val="20"/>
                <w:szCs w:val="20"/>
                <w:color w:val="auto"/>
              </w:rPr>
            </w:pPr>
            <w:r>
              <w:rPr>
                <w:rFonts w:ascii="Arial" w:cs="Arial" w:eastAsia="Arial" w:hAnsi="Arial"/>
                <w:sz w:val="14"/>
                <w:szCs w:val="14"/>
                <w:b w:val="1"/>
                <w:bCs w:val="1"/>
                <w:color w:val="FFFFFF"/>
              </w:rPr>
              <w:t>Description of Document</w:t>
            </w:r>
          </w:p>
        </w:tc>
        <w:tc>
          <w:tcPr>
            <w:tcW w:w="24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070" w:type="dxa"/>
            <w:vAlign w:val="bottom"/>
            <w:shd w:val="clear" w:color="auto" w:fill="ACACAC"/>
          </w:tcPr>
          <w:p>
            <w:pPr>
              <w:jc w:val="center"/>
              <w:ind w:right="43"/>
              <w:spacing w:after="0"/>
              <w:rPr>
                <w:sz w:val="20"/>
                <w:szCs w:val="20"/>
                <w:color w:val="auto"/>
              </w:rPr>
            </w:pPr>
            <w:r>
              <w:rPr>
                <w:rFonts w:ascii="Arial" w:cs="Arial" w:eastAsia="Arial" w:hAnsi="Arial"/>
                <w:sz w:val="14"/>
                <w:szCs w:val="14"/>
                <w:b w:val="1"/>
                <w:bCs w:val="1"/>
                <w:color w:val="FFFFFF"/>
              </w:rPr>
              <w:t>Filed</w:t>
            </w:r>
          </w:p>
        </w:tc>
        <w:tc>
          <w:tcPr>
            <w:tcW w:w="830" w:type="dxa"/>
            <w:vAlign w:val="bottom"/>
            <w:vMerge w:val="restart"/>
            <w:shd w:val="clear" w:color="auto" w:fill="ACACAC"/>
          </w:tcPr>
          <w:p>
            <w:pPr>
              <w:jc w:val="center"/>
              <w:ind w:left="72"/>
              <w:spacing w:after="0"/>
              <w:rPr>
                <w:sz w:val="20"/>
                <w:szCs w:val="20"/>
                <w:color w:val="auto"/>
              </w:rPr>
            </w:pPr>
            <w:r>
              <w:rPr>
                <w:rFonts w:ascii="Arial" w:cs="Arial" w:eastAsia="Arial" w:hAnsi="Arial"/>
                <w:sz w:val="14"/>
                <w:szCs w:val="14"/>
                <w:b w:val="1"/>
                <w:bCs w:val="1"/>
                <w:color w:val="FFFFFF"/>
              </w:rPr>
              <w:t>Form</w:t>
            </w:r>
          </w:p>
        </w:tc>
        <w:tc>
          <w:tcPr>
            <w:tcW w:w="1440" w:type="dxa"/>
            <w:vAlign w:val="bottom"/>
            <w:shd w:val="clear" w:color="auto" w:fill="ACACAC"/>
          </w:tcPr>
          <w:p>
            <w:pPr>
              <w:jc w:val="center"/>
              <w:ind w:left="84"/>
              <w:spacing w:after="0"/>
              <w:rPr>
                <w:sz w:val="20"/>
                <w:szCs w:val="20"/>
                <w:color w:val="auto"/>
              </w:rPr>
            </w:pPr>
            <w:r>
              <w:rPr>
                <w:rFonts w:ascii="Arial" w:cs="Arial" w:eastAsia="Arial" w:hAnsi="Arial"/>
                <w:sz w:val="14"/>
                <w:szCs w:val="14"/>
                <w:b w:val="1"/>
                <w:bCs w:val="1"/>
                <w:color w:val="FFFFFF"/>
              </w:rPr>
              <w:t>Exhibit</w:t>
            </w:r>
          </w:p>
        </w:tc>
        <w:tc>
          <w:tcPr>
            <w:tcW w:w="1260" w:type="dxa"/>
            <w:vAlign w:val="bottom"/>
            <w:vMerge w:val="restart"/>
            <w:shd w:val="clear" w:color="auto" w:fill="ACACAC"/>
          </w:tcPr>
          <w:p>
            <w:pPr>
              <w:ind w:left="260"/>
              <w:spacing w:after="0"/>
              <w:rPr>
                <w:sz w:val="20"/>
                <w:szCs w:val="20"/>
                <w:color w:val="auto"/>
              </w:rPr>
            </w:pPr>
            <w:r>
              <w:rPr>
                <w:rFonts w:ascii="Arial" w:cs="Arial" w:eastAsia="Arial" w:hAnsi="Arial"/>
                <w:sz w:val="14"/>
                <w:szCs w:val="14"/>
                <w:b w:val="1"/>
                <w:bCs w:val="1"/>
                <w:color w:val="FFFFFF"/>
              </w:rPr>
              <w:t>Filing Date</w:t>
            </w:r>
          </w:p>
        </w:tc>
        <w:tc>
          <w:tcPr>
            <w:tcW w:w="40" w:type="dxa"/>
            <w:vAlign w:val="bottom"/>
            <w:tcBorders>
              <w:left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20" w:type="dxa"/>
            <w:vAlign w:val="bottom"/>
            <w:gridSpan w:val="3"/>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Number</w:t>
            </w:r>
          </w:p>
        </w:tc>
        <w:tc>
          <w:tcPr>
            <w:tcW w:w="20" w:type="dxa"/>
            <w:vAlign w:val="bottom"/>
            <w:shd w:val="clear" w:color="auto" w:fill="ACACAC"/>
          </w:tcPr>
          <w:p>
            <w:pPr>
              <w:spacing w:after="0"/>
              <w:rPr>
                <w:sz w:val="16"/>
                <w:szCs w:val="16"/>
                <w:color w:val="auto"/>
              </w:rPr>
            </w:pPr>
          </w:p>
        </w:tc>
        <w:tc>
          <w:tcPr>
            <w:tcW w:w="94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3720" w:type="dxa"/>
            <w:vAlign w:val="bottom"/>
            <w:gridSpan w:val="2"/>
            <w:vMerge w:val="continue"/>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070" w:type="dxa"/>
            <w:vAlign w:val="bottom"/>
            <w:shd w:val="clear" w:color="auto" w:fill="ACACAC"/>
          </w:tcPr>
          <w:p>
            <w:pPr>
              <w:jc w:val="center"/>
              <w:ind w:right="23"/>
              <w:spacing w:after="0"/>
              <w:rPr>
                <w:sz w:val="20"/>
                <w:szCs w:val="20"/>
                <w:color w:val="auto"/>
              </w:rPr>
            </w:pPr>
            <w:r>
              <w:rPr>
                <w:rFonts w:ascii="Arial" w:cs="Arial" w:eastAsia="Arial" w:hAnsi="Arial"/>
                <w:sz w:val="14"/>
                <w:szCs w:val="14"/>
                <w:b w:val="1"/>
                <w:bCs w:val="1"/>
                <w:color w:val="FFFFFF"/>
              </w:rPr>
              <w:t>Herewith</w:t>
            </w:r>
          </w:p>
        </w:tc>
        <w:tc>
          <w:tcPr>
            <w:tcW w:w="830" w:type="dxa"/>
            <w:vAlign w:val="bottom"/>
            <w:vMerge w:val="continue"/>
            <w:shd w:val="clear" w:color="auto" w:fill="ACACAC"/>
          </w:tcPr>
          <w:p>
            <w:pPr>
              <w:spacing w:after="0"/>
              <w:rPr>
                <w:sz w:val="16"/>
                <w:szCs w:val="16"/>
                <w:color w:val="auto"/>
              </w:rPr>
            </w:pPr>
          </w:p>
        </w:tc>
        <w:tc>
          <w:tcPr>
            <w:tcW w:w="1440" w:type="dxa"/>
            <w:vAlign w:val="bottom"/>
            <w:shd w:val="clear" w:color="auto" w:fill="ACACAC"/>
          </w:tcPr>
          <w:p>
            <w:pPr>
              <w:jc w:val="center"/>
              <w:ind w:left="64"/>
              <w:spacing w:after="0"/>
              <w:rPr>
                <w:sz w:val="20"/>
                <w:szCs w:val="20"/>
                <w:color w:val="auto"/>
              </w:rPr>
            </w:pPr>
            <w:r>
              <w:rPr>
                <w:rFonts w:ascii="Arial" w:cs="Arial" w:eastAsia="Arial" w:hAnsi="Arial"/>
                <w:sz w:val="14"/>
                <w:szCs w:val="14"/>
                <w:b w:val="1"/>
                <w:bCs w:val="1"/>
                <w:color w:val="FFFFFF"/>
              </w:rPr>
              <w:t>Number</w:t>
            </w:r>
          </w:p>
        </w:tc>
        <w:tc>
          <w:tcPr>
            <w:tcW w:w="1260" w:type="dxa"/>
            <w:vAlign w:val="bottom"/>
            <w:vMerge w:val="continue"/>
            <w:shd w:val="clear" w:color="auto" w:fill="ACACAC"/>
          </w:tcPr>
          <w:p>
            <w:pPr>
              <w:spacing w:after="0"/>
              <w:rPr>
                <w:sz w:val="16"/>
                <w:szCs w:val="16"/>
                <w:color w:val="auto"/>
              </w:rPr>
            </w:pPr>
          </w:p>
        </w:tc>
        <w:tc>
          <w:tcPr>
            <w:tcW w:w="40" w:type="dxa"/>
            <w:vAlign w:val="bottom"/>
            <w:tcBorders>
              <w:left w:val="single" w:sz="8" w:color="ACACAC"/>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gridSpan w:val="3"/>
            <w:shd w:val="clear" w:color="auto" w:fill="F4F4F4"/>
          </w:tcPr>
          <w:p>
            <w:pPr>
              <w:jc w:val="right"/>
              <w:ind w:right="14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10.1</w:t>
              </w:r>
            </w:hyperlink>
          </w:p>
        </w:tc>
        <w:tc>
          <w:tcPr>
            <w:tcW w:w="5380" w:type="dxa"/>
            <w:vAlign w:val="bottom"/>
            <w:gridSpan w:val="9"/>
            <w:shd w:val="clear" w:color="auto" w:fill="F4F4F4"/>
          </w:tcPr>
          <w:p>
            <w:pPr>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Form of Employment Agreement between Blackbaud, Inc. and</w:t>
              </w:r>
            </w:hyperlink>
          </w:p>
        </w:tc>
        <w:tc>
          <w:tcPr>
            <w:tcW w:w="1070" w:type="dxa"/>
            <w:vAlign w:val="bottom"/>
            <w:shd w:val="clear" w:color="auto" w:fill="F4F4F4"/>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16"/>
                <w:szCs w:val="16"/>
                <w:color w:val="auto"/>
              </w:rPr>
            </w:pPr>
          </w:p>
        </w:tc>
        <w:tc>
          <w:tcPr>
            <w:tcW w:w="1440" w:type="dxa"/>
            <w:vAlign w:val="bottom"/>
            <w:shd w:val="clear" w:color="auto" w:fill="F4F4F4"/>
          </w:tcPr>
          <w:p>
            <w:pPr>
              <w:spacing w:after="0"/>
              <w:rPr>
                <w:sz w:val="16"/>
                <w:szCs w:val="16"/>
                <w:color w:val="auto"/>
              </w:rPr>
            </w:pPr>
          </w:p>
        </w:tc>
        <w:tc>
          <w:tcPr>
            <w:tcW w:w="126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40" w:type="dxa"/>
            <w:vAlign w:val="bottom"/>
            <w:tcBorders>
              <w:top w:val="single" w:sz="8" w:color="F4F4F4"/>
            </w:tcBorders>
            <w:shd w:val="clear" w:color="auto" w:fill="F4F4F4"/>
          </w:tcPr>
          <w:p>
            <w:pPr>
              <w:spacing w:after="0"/>
              <w:rPr>
                <w:sz w:val="13"/>
                <w:szCs w:val="13"/>
                <w:color w:val="auto"/>
              </w:rPr>
            </w:pPr>
          </w:p>
        </w:tc>
        <w:tc>
          <w:tcPr>
            <w:tcW w:w="340" w:type="dxa"/>
            <w:vAlign w:val="bottom"/>
            <w:tcBorders>
              <w:top w:val="single" w:sz="8" w:color="0000FF"/>
            </w:tcBorders>
            <w:shd w:val="clear" w:color="auto" w:fill="F4F4F4"/>
          </w:tcPr>
          <w:p>
            <w:pPr>
              <w:spacing w:after="0"/>
              <w:rPr>
                <w:sz w:val="13"/>
                <w:szCs w:val="13"/>
                <w:color w:val="auto"/>
              </w:rPr>
            </w:pPr>
          </w:p>
        </w:tc>
        <w:tc>
          <w:tcPr>
            <w:tcW w:w="14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4960" w:type="dxa"/>
            <w:vAlign w:val="bottom"/>
            <w:tcBorders>
              <w:top w:val="single" w:sz="8" w:color="0000FF"/>
            </w:tcBorders>
            <w:gridSpan w:val="4"/>
            <w:shd w:val="clear" w:color="auto" w:fill="F4F4F4"/>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Kevin McDearis</w:t>
              </w:r>
            </w:hyperlink>
          </w:p>
        </w:tc>
        <w:tc>
          <w:tcPr>
            <w:tcW w:w="24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0" w:type="dxa"/>
            <w:vAlign w:val="bottom"/>
            <w:tcBorders>
              <w:top w:val="single" w:sz="8" w:color="F4F4F4"/>
            </w:tcBorders>
            <w:shd w:val="clear" w:color="auto" w:fill="F4F4F4"/>
          </w:tcPr>
          <w:p>
            <w:pPr>
              <w:spacing w:after="0"/>
              <w:rPr>
                <w:sz w:val="13"/>
                <w:szCs w:val="13"/>
                <w:color w:val="auto"/>
              </w:rPr>
            </w:pPr>
          </w:p>
        </w:tc>
        <w:tc>
          <w:tcPr>
            <w:tcW w:w="1070" w:type="dxa"/>
            <w:vAlign w:val="bottom"/>
            <w:tcBorders>
              <w:top w:val="single" w:sz="8" w:color="F4F4F4"/>
            </w:tcBorders>
            <w:shd w:val="clear" w:color="auto" w:fill="F4F4F4"/>
          </w:tcPr>
          <w:p>
            <w:pPr>
              <w:spacing w:after="0"/>
              <w:rPr>
                <w:sz w:val="13"/>
                <w:szCs w:val="13"/>
                <w:color w:val="auto"/>
              </w:rPr>
            </w:pPr>
          </w:p>
        </w:tc>
        <w:tc>
          <w:tcPr>
            <w:tcW w:w="830" w:type="dxa"/>
            <w:vAlign w:val="bottom"/>
            <w:tcBorders>
              <w:top w:val="single" w:sz="8" w:color="F4F4F4"/>
            </w:tcBorders>
            <w:shd w:val="clear" w:color="auto" w:fill="F4F4F4"/>
          </w:tcPr>
          <w:p>
            <w:pPr>
              <w:spacing w:after="0"/>
              <w:rPr>
                <w:sz w:val="13"/>
                <w:szCs w:val="13"/>
                <w:color w:val="auto"/>
              </w:rPr>
            </w:pPr>
          </w:p>
        </w:tc>
        <w:tc>
          <w:tcPr>
            <w:tcW w:w="1440" w:type="dxa"/>
            <w:vAlign w:val="bottom"/>
            <w:tcBorders>
              <w:top w:val="single" w:sz="8" w:color="F4F4F4"/>
            </w:tcBorders>
            <w:shd w:val="clear" w:color="auto" w:fill="F4F4F4"/>
          </w:tcPr>
          <w:p>
            <w:pPr>
              <w:spacing w:after="0"/>
              <w:rPr>
                <w:sz w:val="13"/>
                <w:szCs w:val="13"/>
                <w:color w:val="auto"/>
              </w:rPr>
            </w:pPr>
          </w:p>
        </w:tc>
        <w:tc>
          <w:tcPr>
            <w:tcW w:w="1260" w:type="dxa"/>
            <w:vAlign w:val="bottom"/>
            <w:tcBorders>
              <w:top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F4F4F4"/>
            </w:tcBorders>
            <w:shd w:val="clear" w:color="auto" w:fill="F4F4F4"/>
          </w:tcPr>
          <w:p>
            <w:pPr>
              <w:spacing w:after="0" w:line="20" w:lineRule="exact"/>
              <w:rPr>
                <w:sz w:val="1"/>
                <w:szCs w:val="1"/>
                <w:color w:val="auto"/>
              </w:rPr>
            </w:pPr>
          </w:p>
        </w:tc>
        <w:tc>
          <w:tcPr>
            <w:tcW w:w="340" w:type="dxa"/>
            <w:vAlign w:val="bottom"/>
            <w:tcBorders>
              <w:top w:val="single" w:sz="8" w:color="F4F4F4"/>
            </w:tcBorders>
            <w:shd w:val="clear" w:color="auto" w:fill="F4F4F4"/>
          </w:tcPr>
          <w:p>
            <w:pPr>
              <w:spacing w:after="0" w:line="20" w:lineRule="exact"/>
              <w:rPr>
                <w:sz w:val="1"/>
                <w:szCs w:val="1"/>
                <w:color w:val="auto"/>
              </w:rPr>
            </w:pPr>
          </w:p>
        </w:tc>
        <w:tc>
          <w:tcPr>
            <w:tcW w:w="1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940" w:type="dxa"/>
            <w:vAlign w:val="bottom"/>
            <w:tcBorders>
              <w:top w:val="single" w:sz="8" w:color="0000FF"/>
            </w:tcBorders>
            <w:shd w:val="clear" w:color="auto" w:fill="F4F4F4"/>
          </w:tcPr>
          <w:p>
            <w:pPr>
              <w:spacing w:after="0" w:line="20" w:lineRule="exact"/>
              <w:rPr>
                <w:sz w:val="1"/>
                <w:szCs w:val="1"/>
                <w:color w:val="auto"/>
              </w:rPr>
            </w:pPr>
          </w:p>
        </w:tc>
        <w:tc>
          <w:tcPr>
            <w:tcW w:w="300" w:type="dxa"/>
            <w:vAlign w:val="bottom"/>
            <w:tcBorders>
              <w:top w:val="single" w:sz="8" w:color="0000FF"/>
            </w:tcBorders>
            <w:shd w:val="clear" w:color="auto" w:fill="F4F4F4"/>
          </w:tcPr>
          <w:p>
            <w:pPr>
              <w:spacing w:after="0" w:line="20" w:lineRule="exact"/>
              <w:rPr>
                <w:sz w:val="1"/>
                <w:szCs w:val="1"/>
                <w:color w:val="auto"/>
              </w:rPr>
            </w:pPr>
          </w:p>
        </w:tc>
        <w:tc>
          <w:tcPr>
            <w:tcW w:w="2540" w:type="dxa"/>
            <w:vAlign w:val="bottom"/>
            <w:tcBorders>
              <w:top w:val="single" w:sz="8" w:color="F4F4F4"/>
            </w:tcBorders>
            <w:shd w:val="clear" w:color="auto" w:fill="F4F4F4"/>
          </w:tcPr>
          <w:p>
            <w:pPr>
              <w:spacing w:after="0" w:line="20" w:lineRule="exact"/>
              <w:rPr>
                <w:sz w:val="1"/>
                <w:szCs w:val="1"/>
                <w:color w:val="auto"/>
              </w:rPr>
            </w:pPr>
          </w:p>
        </w:tc>
        <w:tc>
          <w:tcPr>
            <w:tcW w:w="118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1070" w:type="dxa"/>
            <w:vAlign w:val="bottom"/>
            <w:tcBorders>
              <w:top w:val="single" w:sz="8" w:color="F4F4F4"/>
            </w:tcBorders>
            <w:shd w:val="clear" w:color="auto" w:fill="F4F4F4"/>
          </w:tcPr>
          <w:p>
            <w:pPr>
              <w:spacing w:after="0" w:line="20" w:lineRule="exact"/>
              <w:rPr>
                <w:sz w:val="1"/>
                <w:szCs w:val="1"/>
                <w:color w:val="auto"/>
              </w:rPr>
            </w:pPr>
          </w:p>
        </w:tc>
        <w:tc>
          <w:tcPr>
            <w:tcW w:w="830" w:type="dxa"/>
            <w:vAlign w:val="bottom"/>
            <w:tcBorders>
              <w:top w:val="single" w:sz="8" w:color="F4F4F4"/>
            </w:tcBorders>
            <w:shd w:val="clear" w:color="auto" w:fill="F4F4F4"/>
          </w:tcPr>
          <w:p>
            <w:pPr>
              <w:spacing w:after="0" w:line="20" w:lineRule="exact"/>
              <w:rPr>
                <w:sz w:val="1"/>
                <w:szCs w:val="1"/>
                <w:color w:val="auto"/>
              </w:rPr>
            </w:pPr>
          </w:p>
        </w:tc>
        <w:tc>
          <w:tcPr>
            <w:tcW w:w="1440" w:type="dxa"/>
            <w:vAlign w:val="bottom"/>
            <w:tcBorders>
              <w:top w:val="single" w:sz="8" w:color="F4F4F4"/>
            </w:tcBorders>
            <w:shd w:val="clear" w:color="auto" w:fill="F4F4F4"/>
          </w:tcPr>
          <w:p>
            <w:pPr>
              <w:spacing w:after="0" w:line="20" w:lineRule="exact"/>
              <w:rPr>
                <w:sz w:val="1"/>
                <w:szCs w:val="1"/>
                <w:color w:val="auto"/>
              </w:rPr>
            </w:pPr>
          </w:p>
        </w:tc>
        <w:tc>
          <w:tcPr>
            <w:tcW w:w="12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gridSpan w:val="3"/>
          </w:tcPr>
          <w:p>
            <w:pPr>
              <w:jc w:val="right"/>
              <w:ind w:right="140"/>
              <w:spacing w:after="0" w:line="189" w:lineRule="exact"/>
              <w:rPr>
                <w:rFonts w:ascii="Arial" w:cs="Arial" w:eastAsia="Arial" w:hAnsi="Arial"/>
                <w:sz w:val="18"/>
                <w:szCs w:val="18"/>
                <w:color w:val="0000FF"/>
              </w:rPr>
            </w:pPr>
            <w:hyperlink r:id="rId18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5380" w:type="dxa"/>
            <w:vAlign w:val="bottom"/>
            <w:gridSpan w:val="9"/>
          </w:tcPr>
          <w:p>
            <w:pPr>
              <w:spacing w:after="0" w:line="189" w:lineRule="exact"/>
              <w:rPr>
                <w:rFonts w:ascii="Arial" w:cs="Arial" w:eastAsia="Arial" w:hAnsi="Arial"/>
                <w:sz w:val="18"/>
                <w:szCs w:val="18"/>
                <w:color w:val="0000FF"/>
              </w:rPr>
            </w:pPr>
            <w:hyperlink r:id="rId185">
              <w:r>
                <w:rPr>
                  <w:rFonts w:ascii="Arial" w:cs="Arial" w:eastAsia="Arial" w:hAnsi="Arial"/>
                  <w:sz w:val="18"/>
                  <w:szCs w:val="18"/>
                  <w:color w:val="0000FF"/>
                </w:rPr>
                <w:t>Form  of  Retention  Agreement  between  Blackbaud,  Inc.  and</w:t>
              </w:r>
            </w:hyperlink>
          </w:p>
        </w:tc>
        <w:tc>
          <w:tcPr>
            <w:tcW w:w="1070" w:type="dxa"/>
            <w:vAlign w:val="bottom"/>
          </w:tcPr>
          <w:p>
            <w:pPr>
              <w:spacing w:after="0"/>
              <w:rPr>
                <w:sz w:val="16"/>
                <w:szCs w:val="16"/>
                <w:color w:val="auto"/>
              </w:rPr>
            </w:pPr>
          </w:p>
        </w:tc>
        <w:tc>
          <w:tcPr>
            <w:tcW w:w="830" w:type="dxa"/>
            <w:vAlign w:val="bottom"/>
          </w:tcPr>
          <w:p>
            <w:pPr>
              <w:jc w:val="center"/>
              <w:ind w:left="72"/>
              <w:spacing w:after="0" w:line="189" w:lineRule="exact"/>
              <w:rPr>
                <w:sz w:val="20"/>
                <w:szCs w:val="20"/>
                <w:color w:val="auto"/>
              </w:rPr>
            </w:pPr>
            <w:r>
              <w:rPr>
                <w:rFonts w:ascii="Arial" w:cs="Arial" w:eastAsia="Arial" w:hAnsi="Arial"/>
                <w:sz w:val="18"/>
                <w:szCs w:val="18"/>
                <w:color w:val="auto"/>
                <w:w w:val="99"/>
              </w:rPr>
              <w:t>10-Q</w:t>
            </w:r>
          </w:p>
        </w:tc>
        <w:tc>
          <w:tcPr>
            <w:tcW w:w="1440" w:type="dxa"/>
            <w:vAlign w:val="bottom"/>
          </w:tcPr>
          <w:p>
            <w:pPr>
              <w:jc w:val="center"/>
              <w:ind w:left="64"/>
              <w:spacing w:after="0" w:line="189" w:lineRule="exact"/>
              <w:rPr>
                <w:sz w:val="20"/>
                <w:szCs w:val="20"/>
                <w:color w:val="auto"/>
              </w:rPr>
            </w:pPr>
            <w:r>
              <w:rPr>
                <w:rFonts w:ascii="Arial" w:cs="Arial" w:eastAsia="Arial" w:hAnsi="Arial"/>
                <w:sz w:val="18"/>
                <w:szCs w:val="18"/>
                <w:color w:val="auto"/>
              </w:rPr>
              <w:t>10.92</w:t>
            </w:r>
          </w:p>
        </w:tc>
        <w:tc>
          <w:tcPr>
            <w:tcW w:w="1260" w:type="dxa"/>
            <w:vAlign w:val="bottom"/>
          </w:tcPr>
          <w:p>
            <w:pPr>
              <w:ind w:left="280"/>
              <w:spacing w:after="0" w:line="189" w:lineRule="exact"/>
              <w:rPr>
                <w:sz w:val="20"/>
                <w:szCs w:val="20"/>
                <w:color w:val="auto"/>
              </w:rPr>
            </w:pPr>
            <w:r>
              <w:rPr>
                <w:rFonts w:ascii="Arial" w:cs="Arial" w:eastAsia="Arial" w:hAnsi="Arial"/>
                <w:sz w:val="18"/>
                <w:szCs w:val="18"/>
                <w:color w:val="auto"/>
              </w:rPr>
              <w:t>8/4/2017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85">
              <w:r>
                <w:rPr>
                  <w:rFonts w:ascii="Arial" w:cs="Arial" w:eastAsia="Arial" w:hAnsi="Arial"/>
                  <w:sz w:val="18"/>
                  <w:szCs w:val="18"/>
                  <w:color w:val="0000FF"/>
                </w:rPr>
                <w:t>Kevin McDearis</w:t>
              </w:r>
            </w:hyperlink>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70" w:type="dxa"/>
            <w:vAlign w:val="bottom"/>
          </w:tcPr>
          <w:p>
            <w:pPr>
              <w:spacing w:after="0"/>
              <w:rPr>
                <w:sz w:val="13"/>
                <w:szCs w:val="13"/>
                <w:color w:val="auto"/>
              </w:rPr>
            </w:pPr>
          </w:p>
        </w:tc>
        <w:tc>
          <w:tcPr>
            <w:tcW w:w="83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70" w:type="dxa"/>
            <w:vAlign w:val="bottom"/>
          </w:tcPr>
          <w:p>
            <w:pPr>
              <w:spacing w:after="0" w:line="20" w:lineRule="exact"/>
              <w:rPr>
                <w:sz w:val="1"/>
                <w:szCs w:val="1"/>
                <w:color w:val="auto"/>
              </w:rPr>
            </w:pPr>
          </w:p>
        </w:tc>
        <w:tc>
          <w:tcPr>
            <w:tcW w:w="83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gridSpan w:val="3"/>
            <w:shd w:val="clear" w:color="auto" w:fill="F4F4F4"/>
          </w:tcPr>
          <w:p>
            <w:pPr>
              <w:jc w:val="right"/>
              <w:ind w:right="14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980" w:type="dxa"/>
            <w:vAlign w:val="bottom"/>
            <w:gridSpan w:val="5"/>
            <w:shd w:val="clear" w:color="auto" w:fill="F4F4F4"/>
          </w:tcPr>
          <w:p>
            <w:pPr>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Certification  by  the  Chief  Executive  Officer  pursuant</w:t>
              </w:r>
            </w:hyperlink>
          </w:p>
        </w:tc>
        <w:tc>
          <w:tcPr>
            <w:tcW w:w="400" w:type="dxa"/>
            <w:vAlign w:val="bottom"/>
            <w:gridSpan w:val="4"/>
            <w:shd w:val="clear" w:color="auto" w:fill="F4F4F4"/>
          </w:tcPr>
          <w:p>
            <w:pPr>
              <w:ind w:left="100"/>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to</w:t>
              </w:r>
            </w:hyperlink>
          </w:p>
        </w:tc>
        <w:tc>
          <w:tcPr>
            <w:tcW w:w="1070" w:type="dxa"/>
            <w:vAlign w:val="bottom"/>
            <w:shd w:val="clear" w:color="auto" w:fill="F4F4F4"/>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16"/>
                <w:szCs w:val="16"/>
                <w:color w:val="auto"/>
              </w:rPr>
            </w:pPr>
          </w:p>
        </w:tc>
        <w:tc>
          <w:tcPr>
            <w:tcW w:w="1440" w:type="dxa"/>
            <w:vAlign w:val="bottom"/>
            <w:shd w:val="clear" w:color="auto" w:fill="F4F4F4"/>
          </w:tcPr>
          <w:p>
            <w:pPr>
              <w:spacing w:after="0"/>
              <w:rPr>
                <w:sz w:val="16"/>
                <w:szCs w:val="16"/>
                <w:color w:val="auto"/>
              </w:rPr>
            </w:pPr>
          </w:p>
        </w:tc>
        <w:tc>
          <w:tcPr>
            <w:tcW w:w="126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40" w:type="dxa"/>
            <w:vAlign w:val="bottom"/>
            <w:tcBorders>
              <w:top w:val="single" w:sz="8" w:color="F4F4F4"/>
            </w:tcBorders>
            <w:shd w:val="clear" w:color="auto" w:fill="F4F4F4"/>
          </w:tcPr>
          <w:p>
            <w:pPr>
              <w:spacing w:after="0"/>
              <w:rPr>
                <w:sz w:val="13"/>
                <w:szCs w:val="13"/>
                <w:color w:val="auto"/>
              </w:rPr>
            </w:pPr>
          </w:p>
        </w:tc>
        <w:tc>
          <w:tcPr>
            <w:tcW w:w="340" w:type="dxa"/>
            <w:vAlign w:val="bottom"/>
            <w:tcBorders>
              <w:top w:val="single" w:sz="8" w:color="0000FF"/>
            </w:tcBorders>
            <w:shd w:val="clear" w:color="auto" w:fill="F4F4F4"/>
          </w:tcPr>
          <w:p>
            <w:pPr>
              <w:spacing w:after="0"/>
              <w:rPr>
                <w:sz w:val="13"/>
                <w:szCs w:val="13"/>
                <w:color w:val="auto"/>
              </w:rPr>
            </w:pPr>
          </w:p>
        </w:tc>
        <w:tc>
          <w:tcPr>
            <w:tcW w:w="14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4960" w:type="dxa"/>
            <w:vAlign w:val="bottom"/>
            <w:tcBorders>
              <w:top w:val="single" w:sz="8" w:color="0000FF"/>
            </w:tcBorders>
            <w:gridSpan w:val="4"/>
            <w:shd w:val="clear" w:color="auto" w:fill="F4F4F4"/>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Section 302 of the Sarbanes-Oxley Act of 2002.</w:t>
              </w:r>
            </w:hyperlink>
          </w:p>
        </w:tc>
        <w:tc>
          <w:tcPr>
            <w:tcW w:w="240" w:type="dxa"/>
            <w:vAlign w:val="bottom"/>
            <w:tcBorders>
              <w:top w:val="single" w:sz="8" w:color="0000FF"/>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20" w:type="dxa"/>
            <w:vAlign w:val="bottom"/>
            <w:tcBorders>
              <w:top w:val="single" w:sz="8" w:color="F4F4F4"/>
            </w:tcBorders>
            <w:shd w:val="clear" w:color="auto" w:fill="F4F4F4"/>
          </w:tcPr>
          <w:p>
            <w:pPr>
              <w:spacing w:after="0"/>
              <w:rPr>
                <w:sz w:val="13"/>
                <w:szCs w:val="13"/>
                <w:color w:val="auto"/>
              </w:rPr>
            </w:pPr>
          </w:p>
        </w:tc>
        <w:tc>
          <w:tcPr>
            <w:tcW w:w="120" w:type="dxa"/>
            <w:vAlign w:val="bottom"/>
            <w:tcBorders>
              <w:top w:val="single" w:sz="8" w:color="F4F4F4"/>
            </w:tcBorders>
            <w:shd w:val="clear" w:color="auto" w:fill="F4F4F4"/>
          </w:tcPr>
          <w:p>
            <w:pPr>
              <w:spacing w:after="0"/>
              <w:rPr>
                <w:sz w:val="13"/>
                <w:szCs w:val="13"/>
                <w:color w:val="auto"/>
              </w:rPr>
            </w:pPr>
          </w:p>
        </w:tc>
        <w:tc>
          <w:tcPr>
            <w:tcW w:w="1070" w:type="dxa"/>
            <w:vAlign w:val="bottom"/>
            <w:tcBorders>
              <w:top w:val="single" w:sz="8" w:color="F4F4F4"/>
            </w:tcBorders>
            <w:shd w:val="clear" w:color="auto" w:fill="F4F4F4"/>
          </w:tcPr>
          <w:p>
            <w:pPr>
              <w:spacing w:after="0"/>
              <w:rPr>
                <w:sz w:val="13"/>
                <w:szCs w:val="13"/>
                <w:color w:val="auto"/>
              </w:rPr>
            </w:pPr>
          </w:p>
        </w:tc>
        <w:tc>
          <w:tcPr>
            <w:tcW w:w="830" w:type="dxa"/>
            <w:vAlign w:val="bottom"/>
            <w:tcBorders>
              <w:top w:val="single" w:sz="8" w:color="F4F4F4"/>
            </w:tcBorders>
            <w:shd w:val="clear" w:color="auto" w:fill="F4F4F4"/>
          </w:tcPr>
          <w:p>
            <w:pPr>
              <w:spacing w:after="0"/>
              <w:rPr>
                <w:sz w:val="13"/>
                <w:szCs w:val="13"/>
                <w:color w:val="auto"/>
              </w:rPr>
            </w:pPr>
          </w:p>
        </w:tc>
        <w:tc>
          <w:tcPr>
            <w:tcW w:w="1440" w:type="dxa"/>
            <w:vAlign w:val="bottom"/>
            <w:tcBorders>
              <w:top w:val="single" w:sz="8" w:color="F4F4F4"/>
            </w:tcBorders>
            <w:shd w:val="clear" w:color="auto" w:fill="F4F4F4"/>
          </w:tcPr>
          <w:p>
            <w:pPr>
              <w:spacing w:after="0"/>
              <w:rPr>
                <w:sz w:val="13"/>
                <w:szCs w:val="13"/>
                <w:color w:val="auto"/>
              </w:rPr>
            </w:pPr>
          </w:p>
        </w:tc>
        <w:tc>
          <w:tcPr>
            <w:tcW w:w="1260" w:type="dxa"/>
            <w:vAlign w:val="bottom"/>
            <w:tcBorders>
              <w:top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F4F4F4"/>
            </w:tcBorders>
            <w:shd w:val="clear" w:color="auto" w:fill="F4F4F4"/>
          </w:tcPr>
          <w:p>
            <w:pPr>
              <w:spacing w:after="0" w:line="20" w:lineRule="exact"/>
              <w:rPr>
                <w:sz w:val="1"/>
                <w:szCs w:val="1"/>
                <w:color w:val="auto"/>
              </w:rPr>
            </w:pPr>
          </w:p>
        </w:tc>
        <w:tc>
          <w:tcPr>
            <w:tcW w:w="340" w:type="dxa"/>
            <w:vAlign w:val="bottom"/>
            <w:tcBorders>
              <w:top w:val="single" w:sz="8" w:color="F4F4F4"/>
            </w:tcBorders>
            <w:shd w:val="clear" w:color="auto" w:fill="F4F4F4"/>
          </w:tcPr>
          <w:p>
            <w:pPr>
              <w:spacing w:after="0" w:line="20" w:lineRule="exact"/>
              <w:rPr>
                <w:sz w:val="1"/>
                <w:szCs w:val="1"/>
                <w:color w:val="auto"/>
              </w:rPr>
            </w:pPr>
          </w:p>
        </w:tc>
        <w:tc>
          <w:tcPr>
            <w:tcW w:w="1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940" w:type="dxa"/>
            <w:vAlign w:val="bottom"/>
            <w:tcBorders>
              <w:top w:val="single" w:sz="8" w:color="0000FF"/>
            </w:tcBorders>
            <w:shd w:val="clear" w:color="auto" w:fill="F4F4F4"/>
          </w:tcPr>
          <w:p>
            <w:pPr>
              <w:spacing w:after="0" w:line="20" w:lineRule="exact"/>
              <w:rPr>
                <w:sz w:val="1"/>
                <w:szCs w:val="1"/>
                <w:color w:val="auto"/>
              </w:rPr>
            </w:pPr>
          </w:p>
        </w:tc>
        <w:tc>
          <w:tcPr>
            <w:tcW w:w="300" w:type="dxa"/>
            <w:vAlign w:val="bottom"/>
            <w:tcBorders>
              <w:top w:val="single" w:sz="8" w:color="0000FF"/>
            </w:tcBorders>
            <w:shd w:val="clear" w:color="auto" w:fill="F4F4F4"/>
          </w:tcPr>
          <w:p>
            <w:pPr>
              <w:spacing w:after="0" w:line="20" w:lineRule="exact"/>
              <w:rPr>
                <w:sz w:val="1"/>
                <w:szCs w:val="1"/>
                <w:color w:val="auto"/>
              </w:rPr>
            </w:pPr>
          </w:p>
        </w:tc>
        <w:tc>
          <w:tcPr>
            <w:tcW w:w="2540" w:type="dxa"/>
            <w:vAlign w:val="bottom"/>
            <w:tcBorders>
              <w:top w:val="single" w:sz="8" w:color="0000FF"/>
            </w:tcBorders>
            <w:shd w:val="clear" w:color="auto" w:fill="F4F4F4"/>
          </w:tcPr>
          <w:p>
            <w:pPr>
              <w:spacing w:after="0" w:line="20" w:lineRule="exact"/>
              <w:rPr>
                <w:sz w:val="1"/>
                <w:szCs w:val="1"/>
                <w:color w:val="auto"/>
              </w:rPr>
            </w:pPr>
          </w:p>
        </w:tc>
        <w:tc>
          <w:tcPr>
            <w:tcW w:w="118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1070" w:type="dxa"/>
            <w:vAlign w:val="bottom"/>
            <w:tcBorders>
              <w:top w:val="single" w:sz="8" w:color="F4F4F4"/>
            </w:tcBorders>
            <w:shd w:val="clear" w:color="auto" w:fill="F4F4F4"/>
          </w:tcPr>
          <w:p>
            <w:pPr>
              <w:spacing w:after="0" w:line="20" w:lineRule="exact"/>
              <w:rPr>
                <w:sz w:val="1"/>
                <w:szCs w:val="1"/>
                <w:color w:val="auto"/>
              </w:rPr>
            </w:pPr>
          </w:p>
        </w:tc>
        <w:tc>
          <w:tcPr>
            <w:tcW w:w="830" w:type="dxa"/>
            <w:vAlign w:val="bottom"/>
            <w:tcBorders>
              <w:top w:val="single" w:sz="8" w:color="F4F4F4"/>
            </w:tcBorders>
            <w:shd w:val="clear" w:color="auto" w:fill="F4F4F4"/>
          </w:tcPr>
          <w:p>
            <w:pPr>
              <w:spacing w:after="0" w:line="20" w:lineRule="exact"/>
              <w:rPr>
                <w:sz w:val="1"/>
                <w:szCs w:val="1"/>
                <w:color w:val="auto"/>
              </w:rPr>
            </w:pPr>
          </w:p>
        </w:tc>
        <w:tc>
          <w:tcPr>
            <w:tcW w:w="1440" w:type="dxa"/>
            <w:vAlign w:val="bottom"/>
            <w:tcBorders>
              <w:top w:val="single" w:sz="8" w:color="F4F4F4"/>
            </w:tcBorders>
            <w:shd w:val="clear" w:color="auto" w:fill="F4F4F4"/>
          </w:tcPr>
          <w:p>
            <w:pPr>
              <w:spacing w:after="0" w:line="20" w:lineRule="exact"/>
              <w:rPr>
                <w:sz w:val="1"/>
                <w:szCs w:val="1"/>
                <w:color w:val="auto"/>
              </w:rPr>
            </w:pPr>
          </w:p>
        </w:tc>
        <w:tc>
          <w:tcPr>
            <w:tcW w:w="12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gridSpan w:val="3"/>
          </w:tcPr>
          <w:p>
            <w:pPr>
              <w:jc w:val="right"/>
              <w:ind w:right="140"/>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980" w:type="dxa"/>
            <w:vAlign w:val="bottom"/>
            <w:gridSpan w:val="5"/>
          </w:tcPr>
          <w:p>
            <w:pPr>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Certification  by  the  Chief  Financial  Officer  pursuant</w:t>
              </w:r>
            </w:hyperlink>
          </w:p>
        </w:tc>
        <w:tc>
          <w:tcPr>
            <w:tcW w:w="400" w:type="dxa"/>
            <w:vAlign w:val="bottom"/>
            <w:gridSpan w:val="4"/>
          </w:tcPr>
          <w:p>
            <w:pPr>
              <w:ind w:left="100"/>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to</w:t>
              </w:r>
            </w:hyperlink>
          </w:p>
        </w:tc>
        <w:tc>
          <w:tcPr>
            <w:tcW w:w="1070" w:type="dxa"/>
            <w:vAlign w:val="bottom"/>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Section 302 of the Sarbanes-Oxley Act of 2002.</w:t>
              </w:r>
            </w:hyperlink>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070" w:type="dxa"/>
            <w:vAlign w:val="bottom"/>
          </w:tcPr>
          <w:p>
            <w:pPr>
              <w:spacing w:after="0"/>
              <w:rPr>
                <w:sz w:val="13"/>
                <w:szCs w:val="13"/>
                <w:color w:val="auto"/>
              </w:rPr>
            </w:pPr>
          </w:p>
        </w:tc>
        <w:tc>
          <w:tcPr>
            <w:tcW w:w="83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70" w:type="dxa"/>
            <w:vAlign w:val="bottom"/>
          </w:tcPr>
          <w:p>
            <w:pPr>
              <w:spacing w:after="0" w:line="20" w:lineRule="exact"/>
              <w:rPr>
                <w:sz w:val="1"/>
                <w:szCs w:val="1"/>
                <w:color w:val="auto"/>
              </w:rPr>
            </w:pPr>
          </w:p>
        </w:tc>
        <w:tc>
          <w:tcPr>
            <w:tcW w:w="83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gridSpan w:val="3"/>
            <w:shd w:val="clear" w:color="auto" w:fill="F4F4F4"/>
          </w:tcPr>
          <w:p>
            <w:pPr>
              <w:jc w:val="right"/>
              <w:ind w:right="140"/>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380" w:type="dxa"/>
            <w:vAlign w:val="bottom"/>
            <w:gridSpan w:val="9"/>
            <w:shd w:val="clear" w:color="auto" w:fill="F4F4F4"/>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Certification by the Chief Executive Officer pursuant to 18 U.S.C.</w:t>
              </w:r>
            </w:hyperlink>
          </w:p>
        </w:tc>
        <w:tc>
          <w:tcPr>
            <w:tcW w:w="1070" w:type="dxa"/>
            <w:vAlign w:val="bottom"/>
            <w:shd w:val="clear" w:color="auto" w:fill="F4F4F4"/>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16"/>
                <w:szCs w:val="16"/>
                <w:color w:val="auto"/>
              </w:rPr>
            </w:pPr>
          </w:p>
        </w:tc>
        <w:tc>
          <w:tcPr>
            <w:tcW w:w="1440" w:type="dxa"/>
            <w:vAlign w:val="bottom"/>
            <w:shd w:val="clear" w:color="auto" w:fill="F4F4F4"/>
          </w:tcPr>
          <w:p>
            <w:pPr>
              <w:spacing w:after="0"/>
              <w:rPr>
                <w:sz w:val="16"/>
                <w:szCs w:val="16"/>
                <w:color w:val="auto"/>
              </w:rPr>
            </w:pPr>
          </w:p>
        </w:tc>
        <w:tc>
          <w:tcPr>
            <w:tcW w:w="126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40" w:type="dxa"/>
            <w:vAlign w:val="bottom"/>
            <w:tcBorders>
              <w:top w:val="single" w:sz="8" w:color="F4F4F4"/>
              <w:bottom w:val="single" w:sz="8" w:color="F4F4F4"/>
            </w:tcBorders>
            <w:shd w:val="clear" w:color="auto" w:fill="F4F4F4"/>
          </w:tcPr>
          <w:p>
            <w:pPr>
              <w:spacing w:after="0"/>
              <w:rPr>
                <w:sz w:val="13"/>
                <w:szCs w:val="13"/>
                <w:color w:val="auto"/>
              </w:rPr>
            </w:pPr>
          </w:p>
        </w:tc>
        <w:tc>
          <w:tcPr>
            <w:tcW w:w="340" w:type="dxa"/>
            <w:vAlign w:val="bottom"/>
            <w:tcBorders>
              <w:top w:val="single" w:sz="8" w:color="0000FF"/>
              <w:bottom w:val="single" w:sz="8" w:color="F4F4F4"/>
            </w:tcBorders>
            <w:shd w:val="clear" w:color="auto" w:fill="F4F4F4"/>
          </w:tcPr>
          <w:p>
            <w:pPr>
              <w:spacing w:after="0"/>
              <w:rPr>
                <w:sz w:val="13"/>
                <w:szCs w:val="13"/>
                <w:color w:val="auto"/>
              </w:rPr>
            </w:pPr>
          </w:p>
        </w:tc>
        <w:tc>
          <w:tcPr>
            <w:tcW w:w="140" w:type="dxa"/>
            <w:vAlign w:val="bottom"/>
            <w:tcBorders>
              <w:top w:val="single" w:sz="8" w:color="F4F4F4"/>
              <w:bottom w:val="single" w:sz="8" w:color="F4F4F4"/>
            </w:tcBorders>
            <w:shd w:val="clear" w:color="auto" w:fill="F4F4F4"/>
          </w:tcPr>
          <w:p>
            <w:pPr>
              <w:spacing w:after="0"/>
              <w:rPr>
                <w:sz w:val="13"/>
                <w:szCs w:val="13"/>
                <w:color w:val="auto"/>
              </w:rPr>
            </w:pPr>
          </w:p>
        </w:tc>
        <w:tc>
          <w:tcPr>
            <w:tcW w:w="20" w:type="dxa"/>
            <w:vAlign w:val="bottom"/>
            <w:tcBorders>
              <w:top w:val="single" w:sz="8" w:color="F4F4F4"/>
              <w:bottom w:val="single" w:sz="8" w:color="0000FF"/>
            </w:tcBorders>
            <w:shd w:val="clear" w:color="auto" w:fill="F4F4F4"/>
          </w:tcPr>
          <w:p>
            <w:pPr>
              <w:spacing w:after="0"/>
              <w:rPr>
                <w:sz w:val="13"/>
                <w:szCs w:val="13"/>
                <w:color w:val="auto"/>
              </w:rPr>
            </w:pPr>
          </w:p>
        </w:tc>
        <w:tc>
          <w:tcPr>
            <w:tcW w:w="5220" w:type="dxa"/>
            <w:vAlign w:val="bottom"/>
            <w:tcBorders>
              <w:top w:val="single" w:sz="8" w:color="0000FF"/>
              <w:bottom w:val="single" w:sz="8" w:color="0000FF"/>
            </w:tcBorders>
            <w:gridSpan w:val="6"/>
            <w:shd w:val="clear" w:color="auto" w:fill="F4F4F4"/>
          </w:tcPr>
          <w:p>
            <w:pPr>
              <w:spacing w:after="0" w:line="156" w:lineRule="exact"/>
              <w:rPr>
                <w:rFonts w:ascii="Arial" w:cs="Arial" w:eastAsia="Arial" w:hAnsi="Arial"/>
                <w:sz w:val="18"/>
                <w:szCs w:val="18"/>
                <w:color w:val="0000FF"/>
              </w:rPr>
            </w:pPr>
            <w:hyperlink w:anchor="page53">
              <w:r>
                <w:rPr>
                  <w:rFonts w:ascii="Arial" w:cs="Arial" w:eastAsia="Arial" w:hAnsi="Arial"/>
                  <w:sz w:val="18"/>
                  <w:szCs w:val="18"/>
                  <w:color w:val="0000FF"/>
                </w:rPr>
                <w:t>1350 as adopted pursuant to Section 906 of the Sarbanes-Oxley</w:t>
              </w:r>
            </w:hyperlink>
          </w:p>
        </w:tc>
        <w:tc>
          <w:tcPr>
            <w:tcW w:w="140" w:type="dxa"/>
            <w:vAlign w:val="bottom"/>
            <w:tcBorders>
              <w:top w:val="single" w:sz="8" w:color="F4F4F4"/>
              <w:bottom w:val="single" w:sz="8" w:color="F4F4F4"/>
            </w:tcBorders>
            <w:gridSpan w:val="2"/>
            <w:shd w:val="clear" w:color="auto" w:fill="F4F4F4"/>
          </w:tcPr>
          <w:p>
            <w:pPr>
              <w:spacing w:after="0"/>
              <w:rPr>
                <w:sz w:val="13"/>
                <w:szCs w:val="13"/>
                <w:color w:val="auto"/>
              </w:rPr>
            </w:pPr>
          </w:p>
        </w:tc>
        <w:tc>
          <w:tcPr>
            <w:tcW w:w="1070" w:type="dxa"/>
            <w:vAlign w:val="bottom"/>
            <w:tcBorders>
              <w:top w:val="single" w:sz="8" w:color="F4F4F4"/>
              <w:bottom w:val="single" w:sz="8" w:color="F4F4F4"/>
            </w:tcBorders>
            <w:shd w:val="clear" w:color="auto" w:fill="F4F4F4"/>
          </w:tcPr>
          <w:p>
            <w:pPr>
              <w:spacing w:after="0"/>
              <w:rPr>
                <w:sz w:val="13"/>
                <w:szCs w:val="13"/>
                <w:color w:val="auto"/>
              </w:rPr>
            </w:pPr>
          </w:p>
        </w:tc>
        <w:tc>
          <w:tcPr>
            <w:tcW w:w="830" w:type="dxa"/>
            <w:vAlign w:val="bottom"/>
            <w:tcBorders>
              <w:top w:val="single" w:sz="8" w:color="F4F4F4"/>
              <w:bottom w:val="single" w:sz="8" w:color="F4F4F4"/>
            </w:tcBorders>
            <w:shd w:val="clear" w:color="auto" w:fill="F4F4F4"/>
          </w:tcPr>
          <w:p>
            <w:pPr>
              <w:spacing w:after="0"/>
              <w:rPr>
                <w:sz w:val="13"/>
                <w:szCs w:val="13"/>
                <w:color w:val="auto"/>
              </w:rPr>
            </w:pPr>
          </w:p>
        </w:tc>
        <w:tc>
          <w:tcPr>
            <w:tcW w:w="1440" w:type="dxa"/>
            <w:vAlign w:val="bottom"/>
            <w:tcBorders>
              <w:top w:val="single" w:sz="8" w:color="F4F4F4"/>
              <w:bottom w:val="single" w:sz="8" w:color="F4F4F4"/>
            </w:tcBorders>
            <w:shd w:val="clear" w:color="auto" w:fill="F4F4F4"/>
          </w:tcPr>
          <w:p>
            <w:pPr>
              <w:spacing w:after="0"/>
              <w:rPr>
                <w:sz w:val="13"/>
                <w:szCs w:val="13"/>
                <w:color w:val="auto"/>
              </w:rPr>
            </w:pPr>
          </w:p>
        </w:tc>
        <w:tc>
          <w:tcPr>
            <w:tcW w:w="1260" w:type="dxa"/>
            <w:vAlign w:val="bottom"/>
            <w:tcBorders>
              <w:top w:val="single" w:sz="8" w:color="F4F4F4"/>
              <w:bottom w:val="single" w:sz="8" w:color="F4F4F4"/>
            </w:tcBorders>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shd w:val="clear" w:color="auto" w:fill="F4F4F4"/>
          </w:tcPr>
          <w:p>
            <w:pPr>
              <w:spacing w:after="0"/>
              <w:rPr>
                <w:sz w:val="13"/>
                <w:szCs w:val="13"/>
                <w:color w:val="auto"/>
              </w:rPr>
            </w:pPr>
          </w:p>
        </w:tc>
        <w:tc>
          <w:tcPr>
            <w:tcW w:w="340" w:type="dxa"/>
            <w:vAlign w:val="bottom"/>
            <w:shd w:val="clear" w:color="auto" w:fill="F4F4F4"/>
          </w:tcPr>
          <w:p>
            <w:pPr>
              <w:spacing w:after="0"/>
              <w:rPr>
                <w:sz w:val="13"/>
                <w:szCs w:val="13"/>
                <w:color w:val="auto"/>
              </w:rPr>
            </w:pPr>
          </w:p>
        </w:tc>
        <w:tc>
          <w:tcPr>
            <w:tcW w:w="140" w:type="dxa"/>
            <w:vAlign w:val="bottom"/>
            <w:shd w:val="clear" w:color="auto" w:fill="F4F4F4"/>
          </w:tcPr>
          <w:p>
            <w:pPr>
              <w:spacing w:after="0"/>
              <w:rPr>
                <w:sz w:val="13"/>
                <w:szCs w:val="13"/>
                <w:color w:val="auto"/>
              </w:rPr>
            </w:pPr>
          </w:p>
        </w:tc>
        <w:tc>
          <w:tcPr>
            <w:tcW w:w="4980" w:type="dxa"/>
            <w:vAlign w:val="bottom"/>
            <w:gridSpan w:val="5"/>
            <w:shd w:val="clear" w:color="auto" w:fill="F4F4F4"/>
          </w:tcPr>
          <w:p>
            <w:pPr>
              <w:spacing w:after="0" w:line="156" w:lineRule="exact"/>
              <w:rPr>
                <w:rFonts w:ascii="Arial" w:cs="Arial" w:eastAsia="Arial" w:hAnsi="Arial"/>
                <w:sz w:val="18"/>
                <w:szCs w:val="18"/>
                <w:color w:val="0000FF"/>
              </w:rPr>
            </w:pPr>
            <w:hyperlink w:anchor="page53">
              <w:r>
                <w:rPr>
                  <w:rFonts w:ascii="Arial" w:cs="Arial" w:eastAsia="Arial" w:hAnsi="Arial"/>
                  <w:sz w:val="18"/>
                  <w:szCs w:val="18"/>
                  <w:color w:val="0000FF"/>
                </w:rPr>
                <w:t>Act of 2002.</w:t>
              </w:r>
            </w:hyperlink>
          </w:p>
        </w:tc>
        <w:tc>
          <w:tcPr>
            <w:tcW w:w="24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20" w:type="dxa"/>
            <w:vAlign w:val="bottom"/>
            <w:shd w:val="clear" w:color="auto" w:fill="F4F4F4"/>
          </w:tcPr>
          <w:p>
            <w:pPr>
              <w:spacing w:after="0"/>
              <w:rPr>
                <w:sz w:val="13"/>
                <w:szCs w:val="13"/>
                <w:color w:val="auto"/>
              </w:rPr>
            </w:pPr>
          </w:p>
        </w:tc>
        <w:tc>
          <w:tcPr>
            <w:tcW w:w="120" w:type="dxa"/>
            <w:vAlign w:val="bottom"/>
            <w:shd w:val="clear" w:color="auto" w:fill="F4F4F4"/>
          </w:tcPr>
          <w:p>
            <w:pPr>
              <w:spacing w:after="0"/>
              <w:rPr>
                <w:sz w:val="13"/>
                <w:szCs w:val="13"/>
                <w:color w:val="auto"/>
              </w:rPr>
            </w:pPr>
          </w:p>
        </w:tc>
        <w:tc>
          <w:tcPr>
            <w:tcW w:w="1070" w:type="dxa"/>
            <w:vAlign w:val="bottom"/>
            <w:shd w:val="clear" w:color="auto" w:fill="F4F4F4"/>
          </w:tcPr>
          <w:p>
            <w:pPr>
              <w:spacing w:after="0"/>
              <w:rPr>
                <w:sz w:val="13"/>
                <w:szCs w:val="13"/>
                <w:color w:val="auto"/>
              </w:rPr>
            </w:pPr>
          </w:p>
        </w:tc>
        <w:tc>
          <w:tcPr>
            <w:tcW w:w="830" w:type="dxa"/>
            <w:vAlign w:val="bottom"/>
            <w:shd w:val="clear" w:color="auto" w:fill="F4F4F4"/>
          </w:tcPr>
          <w:p>
            <w:pPr>
              <w:spacing w:after="0"/>
              <w:rPr>
                <w:sz w:val="13"/>
                <w:szCs w:val="13"/>
                <w:color w:val="auto"/>
              </w:rPr>
            </w:pPr>
          </w:p>
        </w:tc>
        <w:tc>
          <w:tcPr>
            <w:tcW w:w="1440" w:type="dxa"/>
            <w:vAlign w:val="bottom"/>
            <w:shd w:val="clear" w:color="auto" w:fill="F4F4F4"/>
          </w:tcPr>
          <w:p>
            <w:pPr>
              <w:spacing w:after="0"/>
              <w:rPr>
                <w:sz w:val="13"/>
                <w:szCs w:val="13"/>
                <w:color w:val="auto"/>
              </w:rPr>
            </w:pPr>
          </w:p>
        </w:tc>
        <w:tc>
          <w:tcPr>
            <w:tcW w:w="1260" w:type="dxa"/>
            <w:vAlign w:val="bottom"/>
            <w:shd w:val="clear" w:color="auto" w:fill="F4F4F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F4F4F4"/>
            </w:tcBorders>
            <w:shd w:val="clear" w:color="auto" w:fill="F4F4F4"/>
          </w:tcPr>
          <w:p>
            <w:pPr>
              <w:spacing w:after="0" w:line="20" w:lineRule="exact"/>
              <w:rPr>
                <w:sz w:val="1"/>
                <w:szCs w:val="1"/>
                <w:color w:val="auto"/>
              </w:rPr>
            </w:pPr>
          </w:p>
        </w:tc>
        <w:tc>
          <w:tcPr>
            <w:tcW w:w="340" w:type="dxa"/>
            <w:vAlign w:val="bottom"/>
            <w:tcBorders>
              <w:top w:val="single" w:sz="8" w:color="F4F4F4"/>
            </w:tcBorders>
            <w:shd w:val="clear" w:color="auto" w:fill="F4F4F4"/>
          </w:tcPr>
          <w:p>
            <w:pPr>
              <w:spacing w:after="0" w:line="20" w:lineRule="exact"/>
              <w:rPr>
                <w:sz w:val="1"/>
                <w:szCs w:val="1"/>
                <w:color w:val="auto"/>
              </w:rPr>
            </w:pPr>
          </w:p>
        </w:tc>
        <w:tc>
          <w:tcPr>
            <w:tcW w:w="1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940" w:type="dxa"/>
            <w:vAlign w:val="bottom"/>
            <w:tcBorders>
              <w:top w:val="single" w:sz="8" w:color="0000FF"/>
            </w:tcBorders>
            <w:shd w:val="clear" w:color="auto" w:fill="F4F4F4"/>
          </w:tcPr>
          <w:p>
            <w:pPr>
              <w:spacing w:after="0" w:line="20" w:lineRule="exact"/>
              <w:rPr>
                <w:sz w:val="1"/>
                <w:szCs w:val="1"/>
                <w:color w:val="auto"/>
              </w:rPr>
            </w:pPr>
          </w:p>
        </w:tc>
        <w:tc>
          <w:tcPr>
            <w:tcW w:w="300" w:type="dxa"/>
            <w:vAlign w:val="bottom"/>
            <w:tcBorders>
              <w:top w:val="single" w:sz="8" w:color="F4F4F4"/>
            </w:tcBorders>
            <w:shd w:val="clear" w:color="auto" w:fill="F4F4F4"/>
          </w:tcPr>
          <w:p>
            <w:pPr>
              <w:spacing w:after="0" w:line="20" w:lineRule="exact"/>
              <w:rPr>
                <w:sz w:val="1"/>
                <w:szCs w:val="1"/>
                <w:color w:val="auto"/>
              </w:rPr>
            </w:pPr>
          </w:p>
        </w:tc>
        <w:tc>
          <w:tcPr>
            <w:tcW w:w="2540" w:type="dxa"/>
            <w:vAlign w:val="bottom"/>
            <w:tcBorders>
              <w:top w:val="single" w:sz="8" w:color="F4F4F4"/>
            </w:tcBorders>
            <w:shd w:val="clear" w:color="auto" w:fill="F4F4F4"/>
          </w:tcPr>
          <w:p>
            <w:pPr>
              <w:spacing w:after="0" w:line="20" w:lineRule="exact"/>
              <w:rPr>
                <w:sz w:val="1"/>
                <w:szCs w:val="1"/>
                <w:color w:val="auto"/>
              </w:rPr>
            </w:pPr>
          </w:p>
        </w:tc>
        <w:tc>
          <w:tcPr>
            <w:tcW w:w="1180" w:type="dxa"/>
            <w:vAlign w:val="bottom"/>
            <w:tcBorders>
              <w:top w:val="single" w:sz="8" w:color="F4F4F4"/>
            </w:tcBorders>
            <w:shd w:val="clear" w:color="auto" w:fill="F4F4F4"/>
          </w:tcPr>
          <w:p>
            <w:pPr>
              <w:spacing w:after="0" w:line="20" w:lineRule="exact"/>
              <w:rPr>
                <w:sz w:val="1"/>
                <w:szCs w:val="1"/>
                <w:color w:val="auto"/>
              </w:rPr>
            </w:pPr>
          </w:p>
        </w:tc>
        <w:tc>
          <w:tcPr>
            <w:tcW w:w="24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20" w:type="dxa"/>
            <w:vAlign w:val="bottom"/>
            <w:tcBorders>
              <w:top w:val="single" w:sz="8" w:color="F4F4F4"/>
            </w:tcBorders>
            <w:shd w:val="clear" w:color="auto" w:fill="F4F4F4"/>
          </w:tcPr>
          <w:p>
            <w:pPr>
              <w:spacing w:after="0" w:line="20" w:lineRule="exact"/>
              <w:rPr>
                <w:sz w:val="1"/>
                <w:szCs w:val="1"/>
                <w:color w:val="auto"/>
              </w:rPr>
            </w:pPr>
          </w:p>
        </w:tc>
        <w:tc>
          <w:tcPr>
            <w:tcW w:w="120" w:type="dxa"/>
            <w:vAlign w:val="bottom"/>
            <w:tcBorders>
              <w:top w:val="single" w:sz="8" w:color="F4F4F4"/>
            </w:tcBorders>
            <w:shd w:val="clear" w:color="auto" w:fill="F4F4F4"/>
          </w:tcPr>
          <w:p>
            <w:pPr>
              <w:spacing w:after="0" w:line="20" w:lineRule="exact"/>
              <w:rPr>
                <w:sz w:val="1"/>
                <w:szCs w:val="1"/>
                <w:color w:val="auto"/>
              </w:rPr>
            </w:pPr>
          </w:p>
        </w:tc>
        <w:tc>
          <w:tcPr>
            <w:tcW w:w="1070" w:type="dxa"/>
            <w:vAlign w:val="bottom"/>
            <w:tcBorders>
              <w:top w:val="single" w:sz="8" w:color="F4F4F4"/>
            </w:tcBorders>
            <w:shd w:val="clear" w:color="auto" w:fill="F4F4F4"/>
          </w:tcPr>
          <w:p>
            <w:pPr>
              <w:spacing w:after="0" w:line="20" w:lineRule="exact"/>
              <w:rPr>
                <w:sz w:val="1"/>
                <w:szCs w:val="1"/>
                <w:color w:val="auto"/>
              </w:rPr>
            </w:pPr>
          </w:p>
        </w:tc>
        <w:tc>
          <w:tcPr>
            <w:tcW w:w="830" w:type="dxa"/>
            <w:vAlign w:val="bottom"/>
            <w:tcBorders>
              <w:top w:val="single" w:sz="8" w:color="F4F4F4"/>
            </w:tcBorders>
            <w:shd w:val="clear" w:color="auto" w:fill="F4F4F4"/>
          </w:tcPr>
          <w:p>
            <w:pPr>
              <w:spacing w:after="0" w:line="20" w:lineRule="exact"/>
              <w:rPr>
                <w:sz w:val="1"/>
                <w:szCs w:val="1"/>
                <w:color w:val="auto"/>
              </w:rPr>
            </w:pPr>
          </w:p>
        </w:tc>
        <w:tc>
          <w:tcPr>
            <w:tcW w:w="1440" w:type="dxa"/>
            <w:vAlign w:val="bottom"/>
            <w:tcBorders>
              <w:top w:val="single" w:sz="8" w:color="F4F4F4"/>
            </w:tcBorders>
            <w:shd w:val="clear" w:color="auto" w:fill="F4F4F4"/>
          </w:tcPr>
          <w:p>
            <w:pPr>
              <w:spacing w:after="0" w:line="20" w:lineRule="exact"/>
              <w:rPr>
                <w:sz w:val="1"/>
                <w:szCs w:val="1"/>
                <w:color w:val="auto"/>
              </w:rPr>
            </w:pPr>
          </w:p>
        </w:tc>
        <w:tc>
          <w:tcPr>
            <w:tcW w:w="1260" w:type="dxa"/>
            <w:vAlign w:val="bottom"/>
            <w:tcBorders>
              <w:top w:val="single" w:sz="8" w:color="F4F4F4"/>
            </w:tcBorders>
            <w:shd w:val="clear" w:color="auto" w:fill="F4F4F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gridSpan w:val="3"/>
          </w:tcPr>
          <w:p>
            <w:pPr>
              <w:jc w:val="right"/>
              <w:ind w:right="140"/>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5380" w:type="dxa"/>
            <w:vAlign w:val="bottom"/>
            <w:gridSpan w:val="9"/>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Certification by the Chief Financial Officer pursuant to 18 U.S.C.</w:t>
              </w:r>
            </w:hyperlink>
          </w:p>
        </w:tc>
        <w:tc>
          <w:tcPr>
            <w:tcW w:w="1070" w:type="dxa"/>
            <w:vAlign w:val="bottom"/>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1350 as adopted pursuant to Section 906 of the Sarbanes-Oxley</w:t>
              </w:r>
            </w:hyperlink>
          </w:p>
        </w:tc>
        <w:tc>
          <w:tcPr>
            <w:tcW w:w="160" w:type="dxa"/>
            <w:vAlign w:val="bottom"/>
            <w:gridSpan w:val="3"/>
          </w:tcPr>
          <w:p>
            <w:pPr>
              <w:spacing w:after="0"/>
              <w:rPr>
                <w:sz w:val="13"/>
                <w:szCs w:val="13"/>
                <w:color w:val="auto"/>
              </w:rPr>
            </w:pPr>
          </w:p>
        </w:tc>
        <w:tc>
          <w:tcPr>
            <w:tcW w:w="1070" w:type="dxa"/>
            <w:vAlign w:val="bottom"/>
          </w:tcPr>
          <w:p>
            <w:pPr>
              <w:spacing w:after="0"/>
              <w:rPr>
                <w:sz w:val="13"/>
                <w:szCs w:val="13"/>
                <w:color w:val="auto"/>
              </w:rPr>
            </w:pPr>
          </w:p>
        </w:tc>
        <w:tc>
          <w:tcPr>
            <w:tcW w:w="83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Act of 2002.</w:t>
              </w:r>
            </w:hyperlink>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70" w:type="dxa"/>
            <w:vAlign w:val="bottom"/>
          </w:tcPr>
          <w:p>
            <w:pPr>
              <w:spacing w:after="0"/>
              <w:rPr>
                <w:sz w:val="13"/>
                <w:szCs w:val="13"/>
                <w:color w:val="auto"/>
              </w:rPr>
            </w:pPr>
          </w:p>
        </w:tc>
        <w:tc>
          <w:tcPr>
            <w:tcW w:w="83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70" w:type="dxa"/>
            <w:vAlign w:val="bottom"/>
          </w:tcPr>
          <w:p>
            <w:pPr>
              <w:spacing w:after="0" w:line="20" w:lineRule="exact"/>
              <w:rPr>
                <w:sz w:val="1"/>
                <w:szCs w:val="1"/>
                <w:color w:val="auto"/>
              </w:rPr>
            </w:pPr>
          </w:p>
        </w:tc>
        <w:tc>
          <w:tcPr>
            <w:tcW w:w="83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20" w:type="dxa"/>
            <w:vAlign w:val="bottom"/>
            <w:gridSpan w:val="3"/>
            <w:shd w:val="clear" w:color="auto" w:fill="F4F4F4"/>
          </w:tcPr>
          <w:p>
            <w:pPr>
              <w:jc w:val="right"/>
              <w:ind w:right="140"/>
              <w:spacing w:after="0" w:line="189" w:lineRule="exact"/>
              <w:rPr>
                <w:sz w:val="20"/>
                <w:szCs w:val="20"/>
                <w:color w:val="auto"/>
              </w:rPr>
            </w:pPr>
            <w:r>
              <w:rPr>
                <w:rFonts w:ascii="Arial" w:cs="Arial" w:eastAsia="Arial" w:hAnsi="Arial"/>
                <w:sz w:val="18"/>
                <w:szCs w:val="18"/>
                <w:color w:val="auto"/>
              </w:rPr>
              <w:t>101.INS</w:t>
            </w:r>
          </w:p>
        </w:tc>
        <w:tc>
          <w:tcPr>
            <w:tcW w:w="5380" w:type="dxa"/>
            <w:vAlign w:val="bottom"/>
            <w:gridSpan w:val="9"/>
            <w:shd w:val="clear" w:color="auto" w:fill="F4F4F4"/>
          </w:tcPr>
          <w:p>
            <w:pPr>
              <w:spacing w:after="0" w:line="189" w:lineRule="exact"/>
              <w:rPr>
                <w:sz w:val="20"/>
                <w:szCs w:val="20"/>
                <w:color w:val="auto"/>
              </w:rPr>
            </w:pPr>
            <w:r>
              <w:rPr>
                <w:rFonts w:ascii="Arial" w:cs="Arial" w:eastAsia="Arial" w:hAnsi="Arial"/>
                <w:sz w:val="18"/>
                <w:szCs w:val="18"/>
                <w:color w:val="auto"/>
              </w:rPr>
              <w:t>Inline XBRL Instance Document - the Instance Document does</w:t>
            </w:r>
          </w:p>
        </w:tc>
        <w:tc>
          <w:tcPr>
            <w:tcW w:w="1070" w:type="dxa"/>
            <w:vAlign w:val="bottom"/>
            <w:shd w:val="clear" w:color="auto" w:fill="F4F4F4"/>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16"/>
                <w:szCs w:val="16"/>
                <w:color w:val="auto"/>
              </w:rPr>
            </w:pPr>
          </w:p>
        </w:tc>
        <w:tc>
          <w:tcPr>
            <w:tcW w:w="1440" w:type="dxa"/>
            <w:vAlign w:val="bottom"/>
            <w:shd w:val="clear" w:color="auto" w:fill="F4F4F4"/>
          </w:tcPr>
          <w:p>
            <w:pPr>
              <w:spacing w:after="0"/>
              <w:rPr>
                <w:sz w:val="16"/>
                <w:szCs w:val="16"/>
                <w:color w:val="auto"/>
              </w:rPr>
            </w:pPr>
          </w:p>
        </w:tc>
        <w:tc>
          <w:tcPr>
            <w:tcW w:w="126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0" w:type="dxa"/>
            <w:vAlign w:val="bottom"/>
            <w:shd w:val="clear" w:color="auto" w:fill="F4F4F4"/>
          </w:tcPr>
          <w:p>
            <w:pPr>
              <w:spacing w:after="0"/>
              <w:rPr>
                <w:sz w:val="15"/>
                <w:szCs w:val="15"/>
                <w:color w:val="auto"/>
              </w:rPr>
            </w:pPr>
          </w:p>
        </w:tc>
        <w:tc>
          <w:tcPr>
            <w:tcW w:w="340" w:type="dxa"/>
            <w:vAlign w:val="bottom"/>
            <w:shd w:val="clear" w:color="auto" w:fill="F4F4F4"/>
          </w:tcPr>
          <w:p>
            <w:pPr>
              <w:spacing w:after="0"/>
              <w:rPr>
                <w:sz w:val="15"/>
                <w:szCs w:val="15"/>
                <w:color w:val="auto"/>
              </w:rPr>
            </w:pPr>
          </w:p>
        </w:tc>
        <w:tc>
          <w:tcPr>
            <w:tcW w:w="140" w:type="dxa"/>
            <w:vAlign w:val="bottom"/>
            <w:shd w:val="clear" w:color="auto" w:fill="F4F4F4"/>
          </w:tcPr>
          <w:p>
            <w:pPr>
              <w:spacing w:after="0"/>
              <w:rPr>
                <w:sz w:val="15"/>
                <w:szCs w:val="15"/>
                <w:color w:val="auto"/>
              </w:rPr>
            </w:pPr>
          </w:p>
        </w:tc>
        <w:tc>
          <w:tcPr>
            <w:tcW w:w="5380" w:type="dxa"/>
            <w:vAlign w:val="bottom"/>
            <w:gridSpan w:val="9"/>
            <w:shd w:val="clear" w:color="auto" w:fill="F4F4F4"/>
          </w:tcPr>
          <w:p>
            <w:pPr>
              <w:spacing w:after="0" w:line="176" w:lineRule="exact"/>
              <w:rPr>
                <w:sz w:val="20"/>
                <w:szCs w:val="20"/>
                <w:color w:val="auto"/>
              </w:rPr>
            </w:pPr>
            <w:r>
              <w:rPr>
                <w:rFonts w:ascii="Arial" w:cs="Arial" w:eastAsia="Arial" w:hAnsi="Arial"/>
                <w:sz w:val="18"/>
                <w:szCs w:val="18"/>
                <w:color w:val="auto"/>
              </w:rPr>
              <w:t>not appear in the interactive data file because its XBRL tags are</w:t>
            </w:r>
          </w:p>
        </w:tc>
        <w:tc>
          <w:tcPr>
            <w:tcW w:w="1070" w:type="dxa"/>
            <w:vAlign w:val="bottom"/>
            <w:shd w:val="clear" w:color="auto" w:fill="F4F4F4"/>
          </w:tcPr>
          <w:p>
            <w:pPr>
              <w:spacing w:after="0"/>
              <w:rPr>
                <w:sz w:val="15"/>
                <w:szCs w:val="15"/>
                <w:color w:val="auto"/>
              </w:rPr>
            </w:pPr>
          </w:p>
        </w:tc>
        <w:tc>
          <w:tcPr>
            <w:tcW w:w="830" w:type="dxa"/>
            <w:vAlign w:val="bottom"/>
            <w:shd w:val="clear" w:color="auto" w:fill="F4F4F4"/>
          </w:tcPr>
          <w:p>
            <w:pPr>
              <w:spacing w:after="0"/>
              <w:rPr>
                <w:sz w:val="15"/>
                <w:szCs w:val="15"/>
                <w:color w:val="auto"/>
              </w:rPr>
            </w:pPr>
          </w:p>
        </w:tc>
        <w:tc>
          <w:tcPr>
            <w:tcW w:w="1440" w:type="dxa"/>
            <w:vAlign w:val="bottom"/>
            <w:shd w:val="clear" w:color="auto" w:fill="F4F4F4"/>
          </w:tcPr>
          <w:p>
            <w:pPr>
              <w:spacing w:after="0"/>
              <w:rPr>
                <w:sz w:val="15"/>
                <w:szCs w:val="15"/>
                <w:color w:val="auto"/>
              </w:rPr>
            </w:pPr>
          </w:p>
        </w:tc>
        <w:tc>
          <w:tcPr>
            <w:tcW w:w="1260" w:type="dxa"/>
            <w:vAlign w:val="bottom"/>
            <w:shd w:val="clear" w:color="auto" w:fill="F4F4F4"/>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40" w:type="dxa"/>
            <w:vAlign w:val="bottom"/>
            <w:shd w:val="clear" w:color="auto" w:fill="F4F4F4"/>
          </w:tcPr>
          <w:p>
            <w:pPr>
              <w:spacing w:after="0"/>
              <w:rPr>
                <w:sz w:val="18"/>
                <w:szCs w:val="18"/>
                <w:color w:val="auto"/>
              </w:rPr>
            </w:pPr>
          </w:p>
        </w:tc>
        <w:tc>
          <w:tcPr>
            <w:tcW w:w="340" w:type="dxa"/>
            <w:vAlign w:val="bottom"/>
            <w:shd w:val="clear" w:color="auto" w:fill="F4F4F4"/>
          </w:tcPr>
          <w:p>
            <w:pPr>
              <w:spacing w:after="0"/>
              <w:rPr>
                <w:sz w:val="18"/>
                <w:szCs w:val="18"/>
                <w:color w:val="auto"/>
              </w:rPr>
            </w:pPr>
          </w:p>
        </w:tc>
        <w:tc>
          <w:tcPr>
            <w:tcW w:w="140" w:type="dxa"/>
            <w:vAlign w:val="bottom"/>
            <w:shd w:val="clear" w:color="auto" w:fill="F4F4F4"/>
          </w:tcPr>
          <w:p>
            <w:pPr>
              <w:spacing w:after="0"/>
              <w:rPr>
                <w:sz w:val="18"/>
                <w:szCs w:val="18"/>
                <w:color w:val="auto"/>
              </w:rPr>
            </w:pPr>
          </w:p>
        </w:tc>
        <w:tc>
          <w:tcPr>
            <w:tcW w:w="4980" w:type="dxa"/>
            <w:vAlign w:val="bottom"/>
            <w:gridSpan w:val="5"/>
            <w:shd w:val="clear" w:color="auto" w:fill="F4F4F4"/>
          </w:tcPr>
          <w:p>
            <w:pPr>
              <w:spacing w:after="0"/>
              <w:rPr>
                <w:sz w:val="20"/>
                <w:szCs w:val="20"/>
                <w:color w:val="auto"/>
              </w:rPr>
            </w:pPr>
            <w:r>
              <w:rPr>
                <w:rFonts w:ascii="Arial" w:cs="Arial" w:eastAsia="Arial" w:hAnsi="Arial"/>
                <w:sz w:val="18"/>
                <w:szCs w:val="18"/>
                <w:color w:val="auto"/>
              </w:rPr>
              <w:t>embedded within the Inline XBRL Document.</w:t>
            </w:r>
          </w:p>
        </w:tc>
        <w:tc>
          <w:tcPr>
            <w:tcW w:w="24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120" w:type="dxa"/>
            <w:vAlign w:val="bottom"/>
            <w:shd w:val="clear" w:color="auto" w:fill="F4F4F4"/>
          </w:tcPr>
          <w:p>
            <w:pPr>
              <w:spacing w:after="0"/>
              <w:rPr>
                <w:sz w:val="18"/>
                <w:szCs w:val="18"/>
                <w:color w:val="auto"/>
              </w:rPr>
            </w:pPr>
          </w:p>
        </w:tc>
        <w:tc>
          <w:tcPr>
            <w:tcW w:w="1070" w:type="dxa"/>
            <w:vAlign w:val="bottom"/>
            <w:shd w:val="clear" w:color="auto" w:fill="F4F4F4"/>
          </w:tcPr>
          <w:p>
            <w:pPr>
              <w:spacing w:after="0"/>
              <w:rPr>
                <w:sz w:val="18"/>
                <w:szCs w:val="18"/>
                <w:color w:val="auto"/>
              </w:rPr>
            </w:pPr>
          </w:p>
        </w:tc>
        <w:tc>
          <w:tcPr>
            <w:tcW w:w="830" w:type="dxa"/>
            <w:vAlign w:val="bottom"/>
            <w:shd w:val="clear" w:color="auto" w:fill="F4F4F4"/>
          </w:tcPr>
          <w:p>
            <w:pPr>
              <w:spacing w:after="0"/>
              <w:rPr>
                <w:sz w:val="18"/>
                <w:szCs w:val="18"/>
                <w:color w:val="auto"/>
              </w:rPr>
            </w:pPr>
          </w:p>
        </w:tc>
        <w:tc>
          <w:tcPr>
            <w:tcW w:w="1440" w:type="dxa"/>
            <w:vAlign w:val="bottom"/>
            <w:shd w:val="clear" w:color="auto" w:fill="F4F4F4"/>
          </w:tcPr>
          <w:p>
            <w:pPr>
              <w:spacing w:after="0"/>
              <w:rPr>
                <w:sz w:val="18"/>
                <w:szCs w:val="18"/>
                <w:color w:val="auto"/>
              </w:rPr>
            </w:pPr>
          </w:p>
        </w:tc>
        <w:tc>
          <w:tcPr>
            <w:tcW w:w="1260" w:type="dxa"/>
            <w:vAlign w:val="bottom"/>
            <w:shd w:val="clear" w:color="auto" w:fill="F4F4F4"/>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101.SCH</w:t>
            </w:r>
          </w:p>
        </w:tc>
        <w:tc>
          <w:tcPr>
            <w:tcW w:w="49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70" w:type="dxa"/>
            <w:vAlign w:val="bottom"/>
          </w:tcPr>
          <w:p>
            <w:pPr>
              <w:jc w:val="center"/>
              <w:ind w:right="63"/>
              <w:spacing w:after="0"/>
              <w:rPr>
                <w:sz w:val="20"/>
                <w:szCs w:val="20"/>
                <w:color w:val="auto"/>
              </w:rPr>
            </w:pPr>
            <w:r>
              <w:rPr>
                <w:rFonts w:ascii="Arial" w:cs="Arial" w:eastAsia="Arial" w:hAnsi="Arial"/>
                <w:sz w:val="18"/>
                <w:szCs w:val="18"/>
                <w:color w:val="auto"/>
                <w:w w:val="99"/>
              </w:rPr>
              <w:t>X</w:t>
            </w:r>
          </w:p>
        </w:tc>
        <w:tc>
          <w:tcPr>
            <w:tcW w:w="83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220" w:type="dxa"/>
            <w:vAlign w:val="bottom"/>
            <w:gridSpan w:val="3"/>
            <w:shd w:val="clear" w:color="auto" w:fill="F4F4F4"/>
          </w:tcPr>
          <w:p>
            <w:pPr>
              <w:jc w:val="right"/>
              <w:ind w:right="140"/>
              <w:spacing w:after="0" w:line="189" w:lineRule="exact"/>
              <w:rPr>
                <w:sz w:val="20"/>
                <w:szCs w:val="20"/>
                <w:color w:val="auto"/>
              </w:rPr>
            </w:pPr>
            <w:r>
              <w:rPr>
                <w:rFonts w:ascii="Arial" w:cs="Arial" w:eastAsia="Arial" w:hAnsi="Arial"/>
                <w:sz w:val="18"/>
                <w:szCs w:val="18"/>
                <w:color w:val="auto"/>
              </w:rPr>
              <w:t>101.CAL</w:t>
            </w:r>
          </w:p>
        </w:tc>
        <w:tc>
          <w:tcPr>
            <w:tcW w:w="4980" w:type="dxa"/>
            <w:vAlign w:val="bottom"/>
            <w:gridSpan w:val="5"/>
            <w:shd w:val="clear" w:color="auto" w:fill="F4F4F4"/>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24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20" w:type="dxa"/>
            <w:vAlign w:val="bottom"/>
            <w:shd w:val="clear" w:color="auto" w:fill="F4F4F4"/>
          </w:tcPr>
          <w:p>
            <w:pPr>
              <w:spacing w:after="0"/>
              <w:rPr>
                <w:sz w:val="16"/>
                <w:szCs w:val="16"/>
                <w:color w:val="auto"/>
              </w:rPr>
            </w:pPr>
          </w:p>
        </w:tc>
        <w:tc>
          <w:tcPr>
            <w:tcW w:w="120" w:type="dxa"/>
            <w:vAlign w:val="bottom"/>
            <w:shd w:val="clear" w:color="auto" w:fill="F4F4F4"/>
          </w:tcPr>
          <w:p>
            <w:pPr>
              <w:spacing w:after="0"/>
              <w:rPr>
                <w:sz w:val="16"/>
                <w:szCs w:val="16"/>
                <w:color w:val="auto"/>
              </w:rPr>
            </w:pPr>
          </w:p>
        </w:tc>
        <w:tc>
          <w:tcPr>
            <w:tcW w:w="1070" w:type="dxa"/>
            <w:vAlign w:val="bottom"/>
            <w:shd w:val="clear" w:color="auto" w:fill="F4F4F4"/>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16"/>
                <w:szCs w:val="16"/>
                <w:color w:val="auto"/>
              </w:rPr>
            </w:pPr>
          </w:p>
        </w:tc>
        <w:tc>
          <w:tcPr>
            <w:tcW w:w="1440" w:type="dxa"/>
            <w:vAlign w:val="bottom"/>
            <w:shd w:val="clear" w:color="auto" w:fill="F4F4F4"/>
          </w:tcPr>
          <w:p>
            <w:pPr>
              <w:spacing w:after="0"/>
              <w:rPr>
                <w:sz w:val="16"/>
                <w:szCs w:val="16"/>
                <w:color w:val="auto"/>
              </w:rPr>
            </w:pPr>
          </w:p>
        </w:tc>
        <w:tc>
          <w:tcPr>
            <w:tcW w:w="126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0" w:type="dxa"/>
            <w:vAlign w:val="bottom"/>
            <w:shd w:val="clear" w:color="auto" w:fill="F4F4F4"/>
          </w:tcPr>
          <w:p>
            <w:pPr>
              <w:spacing w:after="0"/>
              <w:rPr>
                <w:sz w:val="18"/>
                <w:szCs w:val="18"/>
                <w:color w:val="auto"/>
              </w:rPr>
            </w:pPr>
          </w:p>
        </w:tc>
        <w:tc>
          <w:tcPr>
            <w:tcW w:w="340" w:type="dxa"/>
            <w:vAlign w:val="bottom"/>
            <w:shd w:val="clear" w:color="auto" w:fill="F4F4F4"/>
          </w:tcPr>
          <w:p>
            <w:pPr>
              <w:spacing w:after="0"/>
              <w:rPr>
                <w:sz w:val="18"/>
                <w:szCs w:val="18"/>
                <w:color w:val="auto"/>
              </w:rPr>
            </w:pPr>
          </w:p>
        </w:tc>
        <w:tc>
          <w:tcPr>
            <w:tcW w:w="140" w:type="dxa"/>
            <w:vAlign w:val="bottom"/>
            <w:shd w:val="clear" w:color="auto" w:fill="F4F4F4"/>
          </w:tcPr>
          <w:p>
            <w:pPr>
              <w:spacing w:after="0"/>
              <w:rPr>
                <w:sz w:val="18"/>
                <w:szCs w:val="18"/>
                <w:color w:val="auto"/>
              </w:rPr>
            </w:pPr>
          </w:p>
        </w:tc>
        <w:tc>
          <w:tcPr>
            <w:tcW w:w="4980" w:type="dxa"/>
            <w:vAlign w:val="bottom"/>
            <w:gridSpan w:val="5"/>
            <w:shd w:val="clear" w:color="auto" w:fill="F4F4F4"/>
          </w:tcPr>
          <w:p>
            <w:pPr>
              <w:spacing w:after="0"/>
              <w:rPr>
                <w:sz w:val="20"/>
                <w:szCs w:val="20"/>
                <w:color w:val="auto"/>
              </w:rPr>
            </w:pPr>
            <w:r>
              <w:rPr>
                <w:rFonts w:ascii="Arial" w:cs="Arial" w:eastAsia="Arial" w:hAnsi="Arial"/>
                <w:sz w:val="18"/>
                <w:szCs w:val="18"/>
                <w:color w:val="auto"/>
              </w:rPr>
              <w:t>Document.</w:t>
            </w:r>
          </w:p>
        </w:tc>
        <w:tc>
          <w:tcPr>
            <w:tcW w:w="24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20" w:type="dxa"/>
            <w:vAlign w:val="bottom"/>
            <w:shd w:val="clear" w:color="auto" w:fill="F4F4F4"/>
          </w:tcPr>
          <w:p>
            <w:pPr>
              <w:spacing w:after="0"/>
              <w:rPr>
                <w:sz w:val="18"/>
                <w:szCs w:val="18"/>
                <w:color w:val="auto"/>
              </w:rPr>
            </w:pPr>
          </w:p>
        </w:tc>
        <w:tc>
          <w:tcPr>
            <w:tcW w:w="120" w:type="dxa"/>
            <w:vAlign w:val="bottom"/>
            <w:shd w:val="clear" w:color="auto" w:fill="F4F4F4"/>
          </w:tcPr>
          <w:p>
            <w:pPr>
              <w:spacing w:after="0"/>
              <w:rPr>
                <w:sz w:val="18"/>
                <w:szCs w:val="18"/>
                <w:color w:val="auto"/>
              </w:rPr>
            </w:pPr>
          </w:p>
        </w:tc>
        <w:tc>
          <w:tcPr>
            <w:tcW w:w="1070" w:type="dxa"/>
            <w:vAlign w:val="bottom"/>
            <w:shd w:val="clear" w:color="auto" w:fill="F4F4F4"/>
          </w:tcPr>
          <w:p>
            <w:pPr>
              <w:spacing w:after="0"/>
              <w:rPr>
                <w:sz w:val="18"/>
                <w:szCs w:val="18"/>
                <w:color w:val="auto"/>
              </w:rPr>
            </w:pPr>
          </w:p>
        </w:tc>
        <w:tc>
          <w:tcPr>
            <w:tcW w:w="830" w:type="dxa"/>
            <w:vAlign w:val="bottom"/>
            <w:shd w:val="clear" w:color="auto" w:fill="F4F4F4"/>
          </w:tcPr>
          <w:p>
            <w:pPr>
              <w:spacing w:after="0"/>
              <w:rPr>
                <w:sz w:val="18"/>
                <w:szCs w:val="18"/>
                <w:color w:val="auto"/>
              </w:rPr>
            </w:pPr>
          </w:p>
        </w:tc>
        <w:tc>
          <w:tcPr>
            <w:tcW w:w="1440" w:type="dxa"/>
            <w:vAlign w:val="bottom"/>
            <w:shd w:val="clear" w:color="auto" w:fill="F4F4F4"/>
          </w:tcPr>
          <w:p>
            <w:pPr>
              <w:spacing w:after="0"/>
              <w:rPr>
                <w:sz w:val="18"/>
                <w:szCs w:val="18"/>
                <w:color w:val="auto"/>
              </w:rPr>
            </w:pPr>
          </w:p>
        </w:tc>
        <w:tc>
          <w:tcPr>
            <w:tcW w:w="1260" w:type="dxa"/>
            <w:vAlign w:val="bottom"/>
            <w:shd w:val="clear" w:color="auto" w:fill="F4F4F4"/>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101.DEF</w:t>
            </w:r>
          </w:p>
        </w:tc>
        <w:tc>
          <w:tcPr>
            <w:tcW w:w="53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70" w:type="dxa"/>
            <w:vAlign w:val="bottom"/>
          </w:tcPr>
          <w:p>
            <w:pPr>
              <w:jc w:val="center"/>
              <w:ind w:right="63"/>
              <w:spacing w:after="0"/>
              <w:rPr>
                <w:sz w:val="20"/>
                <w:szCs w:val="20"/>
                <w:color w:val="auto"/>
              </w:rPr>
            </w:pPr>
            <w:r>
              <w:rPr>
                <w:rFonts w:ascii="Arial" w:cs="Arial" w:eastAsia="Arial" w:hAnsi="Arial"/>
                <w:sz w:val="18"/>
                <w:szCs w:val="18"/>
                <w:color w:val="auto"/>
                <w:w w:val="99"/>
              </w:rPr>
              <w:t>X</w:t>
            </w:r>
          </w:p>
        </w:tc>
        <w:tc>
          <w:tcPr>
            <w:tcW w:w="83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gridSpan w:val="3"/>
            <w:shd w:val="clear" w:color="auto" w:fill="F4F4F4"/>
          </w:tcPr>
          <w:p>
            <w:pPr>
              <w:jc w:val="right"/>
              <w:ind w:right="140"/>
              <w:spacing w:after="0"/>
              <w:rPr>
                <w:sz w:val="20"/>
                <w:szCs w:val="20"/>
                <w:color w:val="auto"/>
              </w:rPr>
            </w:pPr>
            <w:r>
              <w:rPr>
                <w:rFonts w:ascii="Arial" w:cs="Arial" w:eastAsia="Arial" w:hAnsi="Arial"/>
                <w:sz w:val="18"/>
                <w:szCs w:val="18"/>
                <w:color w:val="auto"/>
              </w:rPr>
              <w:t>101.LAB</w:t>
            </w:r>
          </w:p>
        </w:tc>
        <w:tc>
          <w:tcPr>
            <w:tcW w:w="4980" w:type="dxa"/>
            <w:vAlign w:val="bottom"/>
            <w:gridSpan w:val="5"/>
            <w:shd w:val="clear" w:color="auto" w:fill="F4F4F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4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20" w:type="dxa"/>
            <w:vAlign w:val="bottom"/>
            <w:shd w:val="clear" w:color="auto" w:fill="F4F4F4"/>
          </w:tcPr>
          <w:p>
            <w:pPr>
              <w:spacing w:after="0"/>
              <w:rPr>
                <w:sz w:val="19"/>
                <w:szCs w:val="19"/>
                <w:color w:val="auto"/>
              </w:rPr>
            </w:pPr>
          </w:p>
        </w:tc>
        <w:tc>
          <w:tcPr>
            <w:tcW w:w="120" w:type="dxa"/>
            <w:vAlign w:val="bottom"/>
            <w:shd w:val="clear" w:color="auto" w:fill="F4F4F4"/>
          </w:tcPr>
          <w:p>
            <w:pPr>
              <w:spacing w:after="0"/>
              <w:rPr>
                <w:sz w:val="19"/>
                <w:szCs w:val="19"/>
                <w:color w:val="auto"/>
              </w:rPr>
            </w:pPr>
          </w:p>
        </w:tc>
        <w:tc>
          <w:tcPr>
            <w:tcW w:w="1070" w:type="dxa"/>
            <w:vAlign w:val="bottom"/>
            <w:shd w:val="clear" w:color="auto" w:fill="F4F4F4"/>
          </w:tcPr>
          <w:p>
            <w:pPr>
              <w:jc w:val="center"/>
              <w:ind w:right="63"/>
              <w:spacing w:after="0"/>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19"/>
                <w:szCs w:val="19"/>
                <w:color w:val="auto"/>
              </w:rPr>
            </w:pPr>
          </w:p>
        </w:tc>
        <w:tc>
          <w:tcPr>
            <w:tcW w:w="1440" w:type="dxa"/>
            <w:vAlign w:val="bottom"/>
            <w:shd w:val="clear" w:color="auto" w:fill="F4F4F4"/>
          </w:tcPr>
          <w:p>
            <w:pPr>
              <w:spacing w:after="0"/>
              <w:rPr>
                <w:sz w:val="19"/>
                <w:szCs w:val="19"/>
                <w:color w:val="auto"/>
              </w:rPr>
            </w:pPr>
          </w:p>
        </w:tc>
        <w:tc>
          <w:tcPr>
            <w:tcW w:w="1260" w:type="dxa"/>
            <w:vAlign w:val="bottom"/>
            <w:shd w:val="clear" w:color="auto" w:fill="F4F4F4"/>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220" w:type="dxa"/>
            <w:vAlign w:val="bottom"/>
            <w:gridSpan w:val="3"/>
          </w:tcPr>
          <w:p>
            <w:pPr>
              <w:jc w:val="right"/>
              <w:ind w:right="140"/>
              <w:spacing w:after="0" w:line="189" w:lineRule="exact"/>
              <w:rPr>
                <w:sz w:val="20"/>
                <w:szCs w:val="20"/>
                <w:color w:val="auto"/>
              </w:rPr>
            </w:pPr>
            <w:r>
              <w:rPr>
                <w:rFonts w:ascii="Arial" w:cs="Arial" w:eastAsia="Arial" w:hAnsi="Arial"/>
                <w:sz w:val="18"/>
                <w:szCs w:val="18"/>
                <w:color w:val="auto"/>
              </w:rPr>
              <w:t>101.PRE</w:t>
            </w:r>
          </w:p>
        </w:tc>
        <w:tc>
          <w:tcPr>
            <w:tcW w:w="4980" w:type="dxa"/>
            <w:vAlign w:val="bottom"/>
            <w:gridSpan w:val="5"/>
          </w:tcPr>
          <w:p>
            <w:pPr>
              <w:spacing w:after="0" w:line="189" w:lineRule="exact"/>
              <w:rPr>
                <w:sz w:val="20"/>
                <w:szCs w:val="20"/>
                <w:color w:val="auto"/>
              </w:rPr>
            </w:pPr>
            <w:r>
              <w:rPr>
                <w:rFonts w:ascii="Arial" w:cs="Arial" w:eastAsia="Arial" w:hAnsi="Arial"/>
                <w:sz w:val="18"/>
                <w:szCs w:val="18"/>
                <w:color w:val="auto"/>
              </w:rPr>
              <w:t>Inline XBRL Taxonomy Extension Presentation Linkbase</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70" w:type="dxa"/>
            <w:vAlign w:val="bottom"/>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70" w:type="dxa"/>
            <w:vAlign w:val="bottom"/>
          </w:tcPr>
          <w:p>
            <w:pPr>
              <w:spacing w:after="0"/>
              <w:rPr>
                <w:sz w:val="18"/>
                <w:szCs w:val="18"/>
                <w:color w:val="auto"/>
              </w:rPr>
            </w:pPr>
          </w:p>
        </w:tc>
        <w:tc>
          <w:tcPr>
            <w:tcW w:w="83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20" w:type="dxa"/>
            <w:vAlign w:val="bottom"/>
            <w:gridSpan w:val="3"/>
            <w:shd w:val="clear" w:color="auto" w:fill="F4F4F4"/>
          </w:tcPr>
          <w:p>
            <w:pPr>
              <w:jc w:val="right"/>
              <w:ind w:right="140"/>
              <w:spacing w:after="0" w:line="189" w:lineRule="exact"/>
              <w:rPr>
                <w:sz w:val="20"/>
                <w:szCs w:val="20"/>
                <w:color w:val="auto"/>
              </w:rPr>
            </w:pPr>
            <w:r>
              <w:rPr>
                <w:rFonts w:ascii="Arial" w:cs="Arial" w:eastAsia="Arial" w:hAnsi="Arial"/>
                <w:sz w:val="18"/>
                <w:szCs w:val="18"/>
                <w:color w:val="auto"/>
              </w:rPr>
              <w:t>104</w:t>
            </w:r>
          </w:p>
        </w:tc>
        <w:tc>
          <w:tcPr>
            <w:tcW w:w="5380" w:type="dxa"/>
            <w:vAlign w:val="bottom"/>
            <w:gridSpan w:val="9"/>
            <w:shd w:val="clear" w:color="auto" w:fill="F4F4F4"/>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w:t>
            </w:r>
          </w:p>
        </w:tc>
        <w:tc>
          <w:tcPr>
            <w:tcW w:w="1070" w:type="dxa"/>
            <w:vAlign w:val="bottom"/>
            <w:shd w:val="clear" w:color="auto" w:fill="F4F4F4"/>
          </w:tcPr>
          <w:p>
            <w:pPr>
              <w:jc w:val="center"/>
              <w:ind w:right="63"/>
              <w:spacing w:after="0" w:line="189" w:lineRule="exact"/>
              <w:rPr>
                <w:sz w:val="20"/>
                <w:szCs w:val="20"/>
                <w:color w:val="auto"/>
              </w:rPr>
            </w:pPr>
            <w:r>
              <w:rPr>
                <w:rFonts w:ascii="Arial" w:cs="Arial" w:eastAsia="Arial" w:hAnsi="Arial"/>
                <w:sz w:val="18"/>
                <w:szCs w:val="18"/>
                <w:color w:val="auto"/>
                <w:w w:val="99"/>
              </w:rPr>
              <w:t>X</w:t>
            </w:r>
          </w:p>
        </w:tc>
        <w:tc>
          <w:tcPr>
            <w:tcW w:w="830" w:type="dxa"/>
            <w:vAlign w:val="bottom"/>
            <w:shd w:val="clear" w:color="auto" w:fill="F4F4F4"/>
          </w:tcPr>
          <w:p>
            <w:pPr>
              <w:spacing w:after="0"/>
              <w:rPr>
                <w:sz w:val="16"/>
                <w:szCs w:val="16"/>
                <w:color w:val="auto"/>
              </w:rPr>
            </w:pPr>
          </w:p>
        </w:tc>
        <w:tc>
          <w:tcPr>
            <w:tcW w:w="1440" w:type="dxa"/>
            <w:vAlign w:val="bottom"/>
            <w:shd w:val="clear" w:color="auto" w:fill="F4F4F4"/>
          </w:tcPr>
          <w:p>
            <w:pPr>
              <w:spacing w:after="0"/>
              <w:rPr>
                <w:sz w:val="16"/>
                <w:szCs w:val="16"/>
                <w:color w:val="auto"/>
              </w:rPr>
            </w:pPr>
          </w:p>
        </w:tc>
        <w:tc>
          <w:tcPr>
            <w:tcW w:w="1260" w:type="dxa"/>
            <w:vAlign w:val="bottom"/>
            <w:shd w:val="clear" w:color="auto" w:fill="F4F4F4"/>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0" w:type="dxa"/>
            <w:vAlign w:val="bottom"/>
            <w:tcBorders>
              <w:bottom w:val="single" w:sz="8" w:color="71BF43"/>
            </w:tcBorders>
            <w:shd w:val="clear" w:color="auto" w:fill="F4F4F4"/>
          </w:tcPr>
          <w:p>
            <w:pPr>
              <w:spacing w:after="0"/>
              <w:rPr>
                <w:sz w:val="18"/>
                <w:szCs w:val="18"/>
                <w:color w:val="auto"/>
              </w:rPr>
            </w:pPr>
          </w:p>
        </w:tc>
        <w:tc>
          <w:tcPr>
            <w:tcW w:w="340" w:type="dxa"/>
            <w:vAlign w:val="bottom"/>
            <w:tcBorders>
              <w:bottom w:val="single" w:sz="8" w:color="71BF43"/>
            </w:tcBorders>
            <w:shd w:val="clear" w:color="auto" w:fill="F4F4F4"/>
          </w:tcPr>
          <w:p>
            <w:pPr>
              <w:spacing w:after="0"/>
              <w:rPr>
                <w:sz w:val="18"/>
                <w:szCs w:val="18"/>
                <w:color w:val="auto"/>
              </w:rPr>
            </w:pPr>
          </w:p>
        </w:tc>
        <w:tc>
          <w:tcPr>
            <w:tcW w:w="140" w:type="dxa"/>
            <w:vAlign w:val="bottom"/>
            <w:tcBorders>
              <w:bottom w:val="single" w:sz="8" w:color="71BF43"/>
            </w:tcBorders>
            <w:shd w:val="clear" w:color="auto" w:fill="F4F4F4"/>
          </w:tcPr>
          <w:p>
            <w:pPr>
              <w:spacing w:after="0"/>
              <w:rPr>
                <w:sz w:val="18"/>
                <w:szCs w:val="18"/>
                <w:color w:val="auto"/>
              </w:rPr>
            </w:pPr>
          </w:p>
        </w:tc>
        <w:tc>
          <w:tcPr>
            <w:tcW w:w="4980" w:type="dxa"/>
            <w:vAlign w:val="bottom"/>
            <w:tcBorders>
              <w:bottom w:val="single" w:sz="8" w:color="71BF43"/>
            </w:tcBorders>
            <w:gridSpan w:val="5"/>
            <w:shd w:val="clear" w:color="auto" w:fill="F4F4F4"/>
          </w:tcPr>
          <w:p>
            <w:pPr>
              <w:spacing w:after="0"/>
              <w:rPr>
                <w:sz w:val="20"/>
                <w:szCs w:val="20"/>
                <w:color w:val="auto"/>
              </w:rPr>
            </w:pPr>
            <w:r>
              <w:rPr>
                <w:rFonts w:ascii="Arial" w:cs="Arial" w:eastAsia="Arial" w:hAnsi="Arial"/>
                <w:sz w:val="18"/>
                <w:szCs w:val="18"/>
                <w:color w:val="auto"/>
              </w:rPr>
              <w:t>contained in Exhibit 101).</w:t>
            </w:r>
          </w:p>
        </w:tc>
        <w:tc>
          <w:tcPr>
            <w:tcW w:w="240" w:type="dxa"/>
            <w:vAlign w:val="bottom"/>
            <w:tcBorders>
              <w:bottom w:val="single" w:sz="8" w:color="71BF43"/>
            </w:tcBorders>
            <w:shd w:val="clear" w:color="auto" w:fill="F4F4F4"/>
          </w:tcPr>
          <w:p>
            <w:pPr>
              <w:spacing w:after="0"/>
              <w:rPr>
                <w:sz w:val="18"/>
                <w:szCs w:val="18"/>
                <w:color w:val="auto"/>
              </w:rPr>
            </w:pPr>
          </w:p>
        </w:tc>
        <w:tc>
          <w:tcPr>
            <w:tcW w:w="20" w:type="dxa"/>
            <w:vAlign w:val="bottom"/>
            <w:tcBorders>
              <w:bottom w:val="single" w:sz="8" w:color="71BF43"/>
            </w:tcBorders>
            <w:shd w:val="clear" w:color="auto" w:fill="F4F4F4"/>
          </w:tcPr>
          <w:p>
            <w:pPr>
              <w:spacing w:after="0"/>
              <w:rPr>
                <w:sz w:val="18"/>
                <w:szCs w:val="18"/>
                <w:color w:val="auto"/>
              </w:rPr>
            </w:pPr>
          </w:p>
        </w:tc>
        <w:tc>
          <w:tcPr>
            <w:tcW w:w="20" w:type="dxa"/>
            <w:vAlign w:val="bottom"/>
            <w:tcBorders>
              <w:bottom w:val="single" w:sz="8" w:color="71BF43"/>
            </w:tcBorders>
            <w:shd w:val="clear" w:color="auto" w:fill="F4F4F4"/>
          </w:tcPr>
          <w:p>
            <w:pPr>
              <w:spacing w:after="0"/>
              <w:rPr>
                <w:sz w:val="18"/>
                <w:szCs w:val="18"/>
                <w:color w:val="auto"/>
              </w:rPr>
            </w:pPr>
          </w:p>
        </w:tc>
        <w:tc>
          <w:tcPr>
            <w:tcW w:w="120" w:type="dxa"/>
            <w:vAlign w:val="bottom"/>
            <w:tcBorders>
              <w:bottom w:val="single" w:sz="8" w:color="71BF43"/>
            </w:tcBorders>
            <w:shd w:val="clear" w:color="auto" w:fill="F4F4F4"/>
          </w:tcPr>
          <w:p>
            <w:pPr>
              <w:spacing w:after="0"/>
              <w:rPr>
                <w:sz w:val="18"/>
                <w:szCs w:val="18"/>
                <w:color w:val="auto"/>
              </w:rPr>
            </w:pPr>
          </w:p>
        </w:tc>
        <w:tc>
          <w:tcPr>
            <w:tcW w:w="1070" w:type="dxa"/>
            <w:vAlign w:val="bottom"/>
            <w:tcBorders>
              <w:bottom w:val="single" w:sz="8" w:color="71BF43"/>
            </w:tcBorders>
            <w:shd w:val="clear" w:color="auto" w:fill="F4F4F4"/>
          </w:tcPr>
          <w:p>
            <w:pPr>
              <w:spacing w:after="0"/>
              <w:rPr>
                <w:sz w:val="18"/>
                <w:szCs w:val="18"/>
                <w:color w:val="auto"/>
              </w:rPr>
            </w:pPr>
          </w:p>
        </w:tc>
        <w:tc>
          <w:tcPr>
            <w:tcW w:w="830" w:type="dxa"/>
            <w:vAlign w:val="bottom"/>
            <w:tcBorders>
              <w:bottom w:val="single" w:sz="8" w:color="71BF43"/>
            </w:tcBorders>
            <w:shd w:val="clear" w:color="auto" w:fill="F4F4F4"/>
          </w:tcPr>
          <w:p>
            <w:pPr>
              <w:spacing w:after="0"/>
              <w:rPr>
                <w:sz w:val="18"/>
                <w:szCs w:val="18"/>
                <w:color w:val="auto"/>
              </w:rPr>
            </w:pPr>
          </w:p>
        </w:tc>
        <w:tc>
          <w:tcPr>
            <w:tcW w:w="1440" w:type="dxa"/>
            <w:vAlign w:val="bottom"/>
            <w:tcBorders>
              <w:bottom w:val="single" w:sz="8" w:color="71BF43"/>
            </w:tcBorders>
            <w:shd w:val="clear" w:color="auto" w:fill="F4F4F4"/>
          </w:tcPr>
          <w:p>
            <w:pPr>
              <w:spacing w:after="0"/>
              <w:rPr>
                <w:sz w:val="18"/>
                <w:szCs w:val="18"/>
                <w:color w:val="auto"/>
              </w:rPr>
            </w:pPr>
          </w:p>
        </w:tc>
        <w:tc>
          <w:tcPr>
            <w:tcW w:w="1260" w:type="dxa"/>
            <w:vAlign w:val="bottom"/>
            <w:tcBorders>
              <w:bottom w:val="single" w:sz="8" w:color="71BF43"/>
            </w:tcBorders>
            <w:shd w:val="clear" w:color="auto" w:fill="F4F4F4"/>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0"/>
        </w:trPr>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270" w:type="dxa"/>
            <w:vAlign w:val="bottom"/>
            <w:gridSpan w:val="2"/>
          </w:tcPr>
          <w:p>
            <w:pPr>
              <w:ind w:left="10"/>
              <w:spacing w:after="0"/>
              <w:rPr>
                <w:sz w:val="20"/>
                <w:szCs w:val="20"/>
                <w:color w:val="auto"/>
              </w:rPr>
            </w:pPr>
            <w:r>
              <w:rPr>
                <w:rFonts w:ascii="Arial" w:cs="Arial" w:eastAsia="Arial" w:hAnsi="Arial"/>
                <w:sz w:val="14"/>
                <w:szCs w:val="14"/>
                <w:color w:val="auto"/>
              </w:rPr>
              <w:t>First Quarter 2021 Form 10-Q</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03"/>
        </w:trPr>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70" w:type="dxa"/>
            <w:vAlign w:val="bottom"/>
            <w:tcBorders>
              <w:bottom w:val="single" w:sz="8" w:color="9A9A9A"/>
            </w:tcBorders>
          </w:tcPr>
          <w:p>
            <w:pPr>
              <w:spacing w:after="0"/>
              <w:rPr>
                <w:sz w:val="24"/>
                <w:szCs w:val="24"/>
                <w:color w:val="auto"/>
              </w:rPr>
            </w:pPr>
          </w:p>
        </w:tc>
        <w:tc>
          <w:tcPr>
            <w:tcW w:w="83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-4234180</wp:posOffset>
            </wp:positionV>
            <wp:extent cx="29400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94005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sz w:val="1"/>
          <w:szCs w:val="1"/>
          <w:color w:val="auto"/>
        </w:rPr>
        <w:drawing>
          <wp:inline distT="0" distB="0" distL="0" distR="0">
            <wp:extent cx="171450" cy="22288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71450" cy="222885"/>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500" w:type="dxa"/>
            <w:vAlign w:val="bottom"/>
            <w:gridSpan w:val="2"/>
          </w:tcPr>
          <w:p>
            <w:pPr>
              <w:ind w:left="1160"/>
              <w:spacing w:after="0"/>
              <w:rPr>
                <w:sz w:val="20"/>
                <w:szCs w:val="20"/>
                <w:color w:val="auto"/>
              </w:rPr>
            </w:pPr>
            <w:r>
              <w:rPr>
                <w:rFonts w:ascii="Arial" w:cs="Arial" w:eastAsia="Arial" w:hAnsi="Arial"/>
                <w:sz w:val="18"/>
                <w:szCs w:val="18"/>
                <w:b w:val="1"/>
                <w:bCs w:val="1"/>
                <w:color w:val="auto"/>
              </w:rPr>
              <w:t>BLACKBAUD, INC.</w:t>
            </w:r>
          </w:p>
        </w:tc>
      </w:tr>
      <w:tr>
        <w:trPr>
          <w:trHeight w:val="499"/>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140" w:type="dxa"/>
            <w:vAlign w:val="bottom"/>
          </w:tcPr>
          <w:p>
            <w:pPr>
              <w:ind w:left="100"/>
              <w:spacing w:after="0"/>
              <w:rPr>
                <w:sz w:val="20"/>
                <w:szCs w:val="20"/>
                <w:color w:val="auto"/>
              </w:rPr>
            </w:pPr>
            <w:r>
              <w:rPr>
                <w:rFonts w:ascii="Arial" w:cs="Arial" w:eastAsia="Arial" w:hAnsi="Arial"/>
                <w:sz w:val="18"/>
                <w:szCs w:val="18"/>
                <w:color w:val="auto"/>
              </w:rPr>
              <w:t>May 4, 2021</w:t>
            </w:r>
          </w:p>
        </w:tc>
        <w:tc>
          <w:tcPr>
            <w:tcW w:w="1600" w:type="dxa"/>
            <w:vAlign w:val="bottom"/>
          </w:tcPr>
          <w:p>
            <w:pPr>
              <w:ind w:left="11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Gianoni</w:t>
            </w:r>
          </w:p>
        </w:tc>
      </w:tr>
      <w:tr>
        <w:trPr>
          <w:trHeight w:val="223"/>
        </w:trPr>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Michael P. Gianoni</w:t>
            </w:r>
          </w:p>
        </w:tc>
      </w:tr>
      <w:tr>
        <w:trPr>
          <w:trHeight w:val="229"/>
        </w:trPr>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83"/>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4140" w:type="dxa"/>
            <w:vAlign w:val="bottom"/>
          </w:tcPr>
          <w:p>
            <w:pPr>
              <w:ind w:left="100"/>
              <w:spacing w:after="0"/>
              <w:rPr>
                <w:sz w:val="20"/>
                <w:szCs w:val="20"/>
                <w:color w:val="auto"/>
              </w:rPr>
            </w:pPr>
            <w:r>
              <w:rPr>
                <w:rFonts w:ascii="Arial" w:cs="Arial" w:eastAsia="Arial" w:hAnsi="Arial"/>
                <w:sz w:val="18"/>
                <w:szCs w:val="18"/>
                <w:color w:val="auto"/>
              </w:rPr>
              <w:t>May 4, 2021</w:t>
            </w:r>
          </w:p>
        </w:tc>
        <w:tc>
          <w:tcPr>
            <w:tcW w:w="1600" w:type="dxa"/>
            <w:vAlign w:val="bottom"/>
          </w:tcPr>
          <w:p>
            <w:pPr>
              <w:ind w:left="116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W. Boor</w:t>
            </w:r>
          </w:p>
        </w:tc>
      </w:tr>
      <w:tr>
        <w:trPr>
          <w:trHeight w:val="223"/>
        </w:trPr>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Anthony W. Boor</w:t>
            </w:r>
          </w:p>
        </w:tc>
      </w:tr>
      <w:tr>
        <w:trPr>
          <w:trHeight w:val="229"/>
        </w:trPr>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60"/>
        </w:trPr>
        <w:tc>
          <w:tcPr>
            <w:tcW w:w="560" w:type="dxa"/>
            <w:vAlign w:val="bottom"/>
          </w:tcPr>
          <w:p>
            <w:pPr>
              <w:spacing w:after="0"/>
              <w:rPr>
                <w:sz w:val="20"/>
                <w:szCs w:val="20"/>
                <w:color w:val="auto"/>
              </w:rPr>
            </w:pPr>
            <w:r>
              <w:rPr>
                <w:rFonts w:ascii="Arial" w:cs="Arial" w:eastAsia="Arial" w:hAnsi="Arial"/>
                <w:sz w:val="14"/>
                <w:szCs w:val="14"/>
                <w:color w:val="auto"/>
              </w:rPr>
              <w:t>42</w:t>
            </w:r>
          </w:p>
        </w:tc>
        <w:tc>
          <w:tcPr>
            <w:tcW w:w="4140" w:type="dxa"/>
            <w:vAlign w:val="bottom"/>
          </w:tcPr>
          <w:p>
            <w:pPr>
              <w:ind w:left="1060"/>
              <w:spacing w:after="0"/>
              <w:rPr>
                <w:sz w:val="20"/>
                <w:szCs w:val="20"/>
                <w:color w:val="auto"/>
              </w:rPr>
            </w:pPr>
            <w:r>
              <w:rPr>
                <w:rFonts w:ascii="Arial" w:cs="Arial" w:eastAsia="Arial" w:hAnsi="Arial"/>
                <w:sz w:val="14"/>
                <w:szCs w:val="14"/>
                <w:color w:val="auto"/>
              </w:rPr>
              <w:t>First Quarter 2021 Form 10-Q</w:t>
            </w:r>
          </w:p>
        </w:tc>
        <w:tc>
          <w:tcPr>
            <w:tcW w:w="160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-172085</wp:posOffset>
            </wp:positionV>
            <wp:extent cx="65151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560"/>
        <w:spacing w:after="0"/>
        <w:rPr>
          <w:sz w:val="20"/>
          <w:szCs w:val="20"/>
          <w:color w:val="auto"/>
        </w:rPr>
      </w:pPr>
      <w:r>
        <w:rPr>
          <w:rFonts w:ascii="Arial" w:cs="Arial" w:eastAsia="Arial" w:hAnsi="Arial"/>
          <w:sz w:val="14"/>
          <w:szCs w:val="14"/>
          <w:b w:val="1"/>
          <w:bCs w:val="1"/>
          <w:u w:val="single" w:color="auto"/>
          <w:color w:val="auto"/>
        </w:rPr>
        <w:t>THIS CONTRACT IS SUBJECT TO ARBITRATION PURSUANT TO SECTION 13 BELOW</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EMPLOYEE AGREEMENT</w:t>
      </w:r>
    </w:p>
    <w:p>
      <w:pPr>
        <w:spacing w:after="0" w:line="340"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This EMPLOYEE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by and between BLACKBAUD, INC.</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Company</w:t>
      </w:r>
      <w:r>
        <w:rPr>
          <w:rFonts w:ascii="Arial" w:cs="Arial" w:eastAsia="Arial" w:hAnsi="Arial"/>
          <w:sz w:val="20"/>
          <w:szCs w:val="20"/>
          <w:color w:val="auto"/>
        </w:rPr>
        <w:t>"), and Kevin McDearis ("</w:t>
      </w:r>
      <w:r>
        <w:rPr>
          <w:rFonts w:ascii="Arial" w:cs="Arial" w:eastAsia="Arial" w:hAnsi="Arial"/>
          <w:sz w:val="20"/>
          <w:szCs w:val="20"/>
          <w:u w:val="single" w:color="auto"/>
          <w:color w:val="auto"/>
        </w:rPr>
        <w:t>Employee</w:t>
      </w:r>
      <w:r>
        <w:rPr>
          <w:rFonts w:ascii="Arial" w:cs="Arial" w:eastAsia="Arial" w:hAnsi="Arial"/>
          <w:sz w:val="20"/>
          <w:szCs w:val="20"/>
          <w:color w:val="auto"/>
        </w:rPr>
        <w:t>").</w:t>
      </w:r>
    </w:p>
    <w:p>
      <w:pPr>
        <w:spacing w:after="0" w:line="213" w:lineRule="exact"/>
        <w:rPr>
          <w:sz w:val="20"/>
          <w:szCs w:val="20"/>
          <w:color w:val="auto"/>
        </w:rPr>
      </w:pPr>
    </w:p>
    <w:p>
      <w:pPr>
        <w:jc w:val="both"/>
        <w:ind w:left="360" w:right="480" w:firstLine="629"/>
        <w:spacing w:after="0" w:line="250" w:lineRule="auto"/>
        <w:rPr>
          <w:sz w:val="20"/>
          <w:szCs w:val="20"/>
          <w:color w:val="auto"/>
        </w:rPr>
      </w:pPr>
      <w:r>
        <w:rPr>
          <w:rFonts w:ascii="Arial" w:cs="Arial" w:eastAsia="Arial" w:hAnsi="Arial"/>
          <w:sz w:val="20"/>
          <w:szCs w:val="20"/>
          <w:color w:val="auto"/>
        </w:rPr>
        <w:t>WHEREAS, in connection with Employee's employment with the Company, Employee will have access to valuable, confidential, privileged and/or proprietary information relating to the Company's business, customers, processes, vendors and relationships;</w:t>
      </w:r>
    </w:p>
    <w:p>
      <w:pPr>
        <w:spacing w:after="0" w:line="226" w:lineRule="exact"/>
        <w:rPr>
          <w:sz w:val="20"/>
          <w:szCs w:val="20"/>
          <w:color w:val="auto"/>
        </w:rPr>
      </w:pPr>
    </w:p>
    <w:p>
      <w:pPr>
        <w:jc w:val="both"/>
        <w:ind w:left="360" w:right="480" w:firstLine="615"/>
        <w:spacing w:after="0" w:line="316" w:lineRule="auto"/>
        <w:rPr>
          <w:sz w:val="20"/>
          <w:szCs w:val="20"/>
          <w:color w:val="auto"/>
        </w:rPr>
      </w:pPr>
      <w:r>
        <w:rPr>
          <w:rFonts w:ascii="Arial" w:cs="Arial" w:eastAsia="Arial" w:hAnsi="Arial"/>
          <w:sz w:val="18"/>
          <w:szCs w:val="18"/>
          <w:color w:val="auto"/>
        </w:rPr>
        <w:t>WHEREAS, the parties agree that this Agreement and the consideration provided in connection therewith provides sufficient consideration for restrictions, covenants, promises, and other terms contained herein; and</w:t>
      </w:r>
    </w:p>
    <w:p>
      <w:pPr>
        <w:spacing w:after="0" w:line="157" w:lineRule="exact"/>
        <w:rPr>
          <w:sz w:val="20"/>
          <w:szCs w:val="20"/>
          <w:color w:val="auto"/>
        </w:rPr>
      </w:pPr>
    </w:p>
    <w:p>
      <w:pPr>
        <w:jc w:val="both"/>
        <w:ind w:left="360" w:right="480" w:firstLine="622"/>
        <w:spacing w:after="0" w:line="246" w:lineRule="auto"/>
        <w:rPr>
          <w:sz w:val="20"/>
          <w:szCs w:val="20"/>
          <w:color w:val="auto"/>
        </w:rPr>
      </w:pPr>
      <w:r>
        <w:rPr>
          <w:rFonts w:ascii="Arial" w:cs="Arial" w:eastAsia="Arial" w:hAnsi="Arial"/>
          <w:sz w:val="20"/>
          <w:szCs w:val="20"/>
          <w:color w:val="auto"/>
        </w:rPr>
        <w:t>WHEREAS, the Company and Employee desire to memorialize certain terms relating to non-disclosure, non-solicitation, and non-competition.</w:t>
      </w:r>
    </w:p>
    <w:p>
      <w:pPr>
        <w:spacing w:after="0" w:line="204" w:lineRule="exact"/>
        <w:rPr>
          <w:sz w:val="20"/>
          <w:szCs w:val="20"/>
          <w:color w:val="auto"/>
        </w:rPr>
      </w:pPr>
    </w:p>
    <w:p>
      <w:pPr>
        <w:jc w:val="both"/>
        <w:ind w:left="340" w:right="500" w:firstLine="629"/>
        <w:spacing w:after="0" w:line="269" w:lineRule="auto"/>
        <w:rPr>
          <w:sz w:val="20"/>
          <w:szCs w:val="20"/>
          <w:color w:val="auto"/>
        </w:rPr>
      </w:pPr>
      <w:r>
        <w:rPr>
          <w:rFonts w:ascii="Arial" w:cs="Arial" w:eastAsia="Arial" w:hAnsi="Arial"/>
          <w:sz w:val="19"/>
          <w:szCs w:val="19"/>
          <w:color w:val="auto"/>
        </w:rPr>
        <w:t>Now, THEREFORE, in consideration of the Company's agreement to employ Employee, the mutual promises and covenants of the parties, and other good and valuable consideration, the receipt and legal sufficiency of which is hereby acknowledged, the Company and Employee stipulate and agree as follows:</w:t>
      </w:r>
    </w:p>
    <w:p>
      <w:pPr>
        <w:spacing w:after="0" w:line="164" w:lineRule="exact"/>
        <w:rPr>
          <w:sz w:val="20"/>
          <w:szCs w:val="20"/>
          <w:color w:val="auto"/>
        </w:rPr>
      </w:pPr>
    </w:p>
    <w:p>
      <w:pPr>
        <w:ind w:left="960" w:right="500" w:hanging="609"/>
        <w:spacing w:after="0" w:line="280" w:lineRule="auto"/>
        <w:tabs>
          <w:tab w:leader="none" w:pos="761" w:val="left"/>
        </w:tabs>
        <w:numPr>
          <w:ilvl w:val="1"/>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Nature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the "</w:t>
      </w:r>
      <w:r>
        <w:rPr>
          <w:rFonts w:ascii="Arial" w:cs="Arial" w:eastAsia="Arial" w:hAnsi="Arial"/>
          <w:sz w:val="18"/>
          <w:szCs w:val="18"/>
          <w:u w:val="single" w:color="auto"/>
          <w:color w:val="auto"/>
        </w:rPr>
        <w:t>Business</w:t>
      </w:r>
      <w:r>
        <w:rPr>
          <w:rFonts w:ascii="Arial" w:cs="Arial" w:eastAsia="Arial" w:hAnsi="Arial"/>
          <w:sz w:val="18"/>
          <w:szCs w:val="18"/>
          <w:color w:val="auto"/>
        </w:rPr>
        <w:t>" shall be defined as products and/or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services that are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(1) related to the design, development, marketing, sale or servicing of software, software applications, internet applications, donor research and management, prospective donor analysis or e-commerce solutions, or consulting with respect thereto;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(2) used by non-profit organizations in connection with fund raising, e-commerce, accounting, school administration or ticketing.</w:t>
      </w:r>
    </w:p>
    <w:p>
      <w:pPr>
        <w:spacing w:after="0" w:line="183" w:lineRule="exact"/>
        <w:rPr>
          <w:rFonts w:ascii="Arial" w:cs="Arial" w:eastAsia="Arial" w:hAnsi="Arial"/>
          <w:sz w:val="18"/>
          <w:szCs w:val="18"/>
          <w:color w:val="auto"/>
        </w:rPr>
      </w:pPr>
    </w:p>
    <w:p>
      <w:pPr>
        <w:ind w:left="960" w:right="500" w:hanging="615"/>
        <w:spacing w:after="0" w:line="272" w:lineRule="auto"/>
        <w:tabs>
          <w:tab w:leader="none" w:pos="709" w:val="left"/>
        </w:tabs>
        <w:numPr>
          <w:ilvl w:val="1"/>
          <w:numId w:val="37"/>
        </w:numPr>
        <w:rPr>
          <w:rFonts w:ascii="Arial" w:cs="Arial" w:eastAsia="Arial" w:hAnsi="Arial"/>
          <w:sz w:val="17"/>
          <w:szCs w:val="17"/>
          <w:color w:val="auto"/>
        </w:rPr>
      </w:pPr>
      <w:r>
        <w:rPr>
          <w:rFonts w:ascii="Arial" w:cs="Arial" w:eastAsia="Arial" w:hAnsi="Arial"/>
          <w:sz w:val="19"/>
          <w:szCs w:val="19"/>
          <w:b w:val="1"/>
          <w:bCs w:val="1"/>
          <w:u w:val="single" w:color="auto"/>
          <w:color w:val="auto"/>
        </w:rPr>
        <w:t>Consideration</w:t>
      </w:r>
      <w:r>
        <w:rPr>
          <w:rFonts w:ascii="Arial" w:cs="Arial" w:eastAsia="Arial" w:hAnsi="Arial"/>
          <w:sz w:val="19"/>
          <w:szCs w:val="19"/>
          <w:b w:val="1"/>
          <w:bCs w:val="1"/>
          <w:color w:val="auto"/>
        </w:rPr>
        <w:t xml:space="preserve">. </w:t>
      </w:r>
      <w:r>
        <w:rPr>
          <w:rFonts w:ascii="Arial" w:cs="Arial" w:eastAsia="Arial" w:hAnsi="Arial"/>
          <w:sz w:val="16"/>
          <w:szCs w:val="16"/>
          <w:color w:val="auto"/>
        </w:rPr>
        <w:t>It</w:t>
      </w:r>
      <w:r>
        <w:rPr>
          <w:rFonts w:ascii="Arial" w:cs="Arial" w:eastAsia="Arial" w:hAnsi="Arial"/>
          <w:sz w:val="19"/>
          <w:szCs w:val="19"/>
          <w:b w:val="1"/>
          <w:bCs w:val="1"/>
          <w:color w:val="auto"/>
        </w:rPr>
        <w:t xml:space="preserve"> </w:t>
      </w:r>
      <w:r>
        <w:rPr>
          <w:rFonts w:ascii="Arial" w:cs="Arial" w:eastAsia="Arial" w:hAnsi="Arial"/>
          <w:sz w:val="19"/>
          <w:szCs w:val="19"/>
          <w:color w:val="auto"/>
        </w:rPr>
        <w:t>is stipulated and agreed that this Agreement is being entered at the inception of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with the Company. Employee expressly acknowledges that signing this Agreement was a material inducement for the Company to enter into the employment relationship.</w:t>
      </w:r>
    </w:p>
    <w:p>
      <w:pPr>
        <w:spacing w:after="0" w:line="188" w:lineRule="exact"/>
        <w:rPr>
          <w:rFonts w:ascii="Arial" w:cs="Arial" w:eastAsia="Arial" w:hAnsi="Arial"/>
          <w:sz w:val="17"/>
          <w:szCs w:val="17"/>
          <w:color w:val="auto"/>
        </w:rPr>
      </w:pPr>
    </w:p>
    <w:p>
      <w:pPr>
        <w:ind w:left="660" w:hanging="319"/>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Covenants Not to Use or Disclose Confidential Information.</w:t>
      </w:r>
    </w:p>
    <w:p>
      <w:pPr>
        <w:spacing w:after="0" w:line="262" w:lineRule="exact"/>
        <w:rPr>
          <w:sz w:val="20"/>
          <w:szCs w:val="20"/>
          <w:color w:val="auto"/>
        </w:rPr>
      </w:pPr>
    </w:p>
    <w:p>
      <w:pPr>
        <w:jc w:val="both"/>
        <w:ind w:left="960" w:right="480" w:firstLine="8"/>
        <w:spacing w:after="0" w:line="272" w:lineRule="auto"/>
        <w:rPr>
          <w:sz w:val="20"/>
          <w:szCs w:val="20"/>
          <w:color w:val="auto"/>
        </w:rPr>
      </w:pPr>
      <w:r>
        <w:rPr>
          <w:rFonts w:ascii="Arial" w:cs="Arial" w:eastAsia="Arial" w:hAnsi="Arial"/>
          <w:sz w:val="18"/>
          <w:szCs w:val="18"/>
          <w:color w:val="auto"/>
        </w:rPr>
        <w:t>It is stipulated and agreed that as a result of Employee's employment by the Company, Employee has and. will have access to valuable, highly confidential, privileged and proprietary information not generally available in the public domain relating to the Company's Business (the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the Company's, or its affiliated companies', trade secrets; patents; copyrights; software (including, without limitation, all progran1s, specifications, applications, routines, subroutines, techniques, algorithms, and ideas for formulae); products and/or services; concepts; inventions; know-how; data; drawings; designs; documents; names and/or lists of clients, customers, client and/or customer usage, prospective clients and/or customers, employees, agents, contractors, and suppliers; marketing information; business plans; business methodologies and processes;</w:t>
      </w:r>
    </w:p>
    <w:p>
      <w:pPr>
        <w:sectPr>
          <w:pgSz w:w="11900" w:h="16838" w:orient="portrait"/>
          <w:cols w:equalWidth="0" w:num="1">
            <w:col w:w="10120"/>
          </w:cols>
          <w:pgMar w:left="1440" w:top="12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000" w:right="360"/>
        <w:spacing w:after="0" w:line="243" w:lineRule="auto"/>
        <w:rPr>
          <w:sz w:val="20"/>
          <w:szCs w:val="20"/>
          <w:color w:val="auto"/>
        </w:rPr>
      </w:pPr>
      <w:r>
        <w:rPr>
          <w:rFonts w:ascii="Arial" w:cs="Arial" w:eastAsia="Arial" w:hAnsi="Arial"/>
          <w:sz w:val="20"/>
          <w:szCs w:val="20"/>
          <w:color w:val="auto"/>
        </w:rPr>
        <w:t>strategies; financial information and other business records; and all copies of any of the foregoing, including notes, extracts, memoranda shared with, prepared or suffered or directed to be prepared by Employee based on any Confidential Information. It is further acknowledged and agreed that the unauthorized use or disclosure by Employee of any of the Confidential Information would seriously damage the Company in its Business. Confidential Information does not include generalized skills or knowledge acquired by Employee in the course of his/her duties.</w:t>
      </w:r>
    </w:p>
    <w:p>
      <w:pPr>
        <w:spacing w:after="0" w:line="182" w:lineRule="exact"/>
        <w:rPr>
          <w:sz w:val="20"/>
          <w:szCs w:val="20"/>
          <w:color w:val="auto"/>
        </w:rPr>
      </w:pPr>
    </w:p>
    <w:p>
      <w:pPr>
        <w:jc w:val="both"/>
        <w:ind w:left="1040" w:right="360"/>
        <w:spacing w:after="0" w:line="278" w:lineRule="auto"/>
        <w:rPr>
          <w:sz w:val="20"/>
          <w:szCs w:val="20"/>
          <w:color w:val="auto"/>
        </w:rPr>
      </w:pPr>
      <w:r>
        <w:rPr>
          <w:rFonts w:ascii="Arial" w:cs="Arial" w:eastAsia="Arial" w:hAnsi="Arial"/>
          <w:sz w:val="18"/>
          <w:szCs w:val="18"/>
          <w:color w:val="auto"/>
        </w:rPr>
        <w:t>As a consequence of the above, with respect to any Confidential Information that is obtained by Employee during or as the result of Employee's perfom1ance of services for the Company and/or its customers, affiliated companies, vendors, suppliers and distributors, whatever its nature and form and whether obtained orally, by observation, from written materials or otherwise, Employee agrees that during the term of Employee's employment and after the termination of Employee's employment for any reason:</w:t>
      </w:r>
    </w:p>
    <w:p>
      <w:pPr>
        <w:spacing w:after="0" w:line="205" w:lineRule="exact"/>
        <w:rPr>
          <w:sz w:val="20"/>
          <w:szCs w:val="20"/>
          <w:color w:val="auto"/>
        </w:rPr>
      </w:pPr>
    </w:p>
    <w:p>
      <w:pPr>
        <w:ind w:left="1680" w:right="340" w:hanging="625"/>
        <w:spacing w:after="0" w:line="250" w:lineRule="auto"/>
        <w:tabs>
          <w:tab w:leader="none" w:pos="1513" w:val="left"/>
        </w:tabs>
        <w:numPr>
          <w:ilvl w:val="0"/>
          <w:numId w:val="39"/>
        </w:numPr>
        <w:rPr>
          <w:rFonts w:ascii="Arial" w:cs="Arial" w:eastAsia="Arial" w:hAnsi="Arial"/>
          <w:sz w:val="20"/>
          <w:szCs w:val="20"/>
          <w:color w:val="auto"/>
        </w:rPr>
      </w:pPr>
      <w:r>
        <w:rPr>
          <w:rFonts w:ascii="Arial" w:cs="Arial" w:eastAsia="Arial" w:hAnsi="Arial"/>
          <w:sz w:val="20"/>
          <w:szCs w:val="20"/>
          <w:color w:val="auto"/>
        </w:rPr>
        <w:t>Employee will hold all Confidential Information in strict confidence and will not use, publish, divulge or otherwise reveal or allow to be revealed any portion thereof to any third person, company or other entity, except to or with the prior written consent of the Company;</w:t>
      </w:r>
    </w:p>
    <w:p>
      <w:pPr>
        <w:spacing w:after="0" w:line="172" w:lineRule="exact"/>
        <w:rPr>
          <w:rFonts w:ascii="Arial" w:cs="Arial" w:eastAsia="Arial" w:hAnsi="Arial"/>
          <w:sz w:val="20"/>
          <w:szCs w:val="20"/>
          <w:color w:val="auto"/>
        </w:rPr>
      </w:pPr>
    </w:p>
    <w:p>
      <w:pPr>
        <w:ind w:left="1680" w:right="340" w:hanging="619"/>
        <w:spacing w:after="0" w:line="246" w:lineRule="auto"/>
        <w:tabs>
          <w:tab w:leader="none" w:pos="1533" w:val="left"/>
        </w:tabs>
        <w:numPr>
          <w:ilvl w:val="0"/>
          <w:numId w:val="39"/>
        </w:numPr>
        <w:rPr>
          <w:rFonts w:ascii="Arial" w:cs="Arial" w:eastAsia="Arial" w:hAnsi="Arial"/>
          <w:sz w:val="20"/>
          <w:szCs w:val="20"/>
          <w:color w:val="auto"/>
        </w:rPr>
      </w:pPr>
      <w:r>
        <w:rPr>
          <w:rFonts w:ascii="Arial" w:cs="Arial" w:eastAsia="Arial" w:hAnsi="Arial"/>
          <w:sz w:val="20"/>
          <w:szCs w:val="20"/>
          <w:color w:val="auto"/>
        </w:rPr>
        <w:t>Employee will use his/her best efforts to assure that all Confidential Information is properly protected and kept from unauthorized persons or entities, and will immediately report to the Company any misuse of Confidential Information by another person or entity that Employee may encounter or of which Employee may become aware;</w:t>
      </w:r>
    </w:p>
    <w:p>
      <w:pPr>
        <w:spacing w:after="0" w:line="164" w:lineRule="exact"/>
        <w:rPr>
          <w:rFonts w:ascii="Arial" w:cs="Arial" w:eastAsia="Arial" w:hAnsi="Arial"/>
          <w:sz w:val="20"/>
          <w:szCs w:val="20"/>
          <w:color w:val="auto"/>
        </w:rPr>
      </w:pPr>
    </w:p>
    <w:p>
      <w:pPr>
        <w:ind w:left="1700" w:right="360" w:hanging="639"/>
        <w:spacing w:after="0" w:line="260" w:lineRule="auto"/>
        <w:tabs>
          <w:tab w:leader="none" w:pos="1608" w:val="left"/>
        </w:tabs>
        <w:numPr>
          <w:ilvl w:val="0"/>
          <w:numId w:val="39"/>
        </w:numPr>
        <w:rPr>
          <w:rFonts w:ascii="Arial" w:cs="Arial" w:eastAsia="Arial" w:hAnsi="Arial"/>
          <w:sz w:val="20"/>
          <w:szCs w:val="20"/>
          <w:color w:val="auto"/>
        </w:rPr>
      </w:pPr>
      <w:r>
        <w:rPr>
          <w:rFonts w:ascii="Arial" w:cs="Arial" w:eastAsia="Arial" w:hAnsi="Arial"/>
          <w:sz w:val="20"/>
          <w:szCs w:val="20"/>
          <w:color w:val="auto"/>
        </w:rPr>
        <w:t>Employee will make no use of any Confidential Information except such use as is required in the performance of Employee's services for the Company; and</w:t>
      </w:r>
    </w:p>
    <w:p>
      <w:pPr>
        <w:spacing w:after="0" w:line="149" w:lineRule="exact"/>
        <w:rPr>
          <w:rFonts w:ascii="Arial" w:cs="Arial" w:eastAsia="Arial" w:hAnsi="Arial"/>
          <w:sz w:val="20"/>
          <w:szCs w:val="20"/>
          <w:color w:val="auto"/>
        </w:rPr>
      </w:pPr>
    </w:p>
    <w:p>
      <w:pPr>
        <w:ind w:left="1700" w:right="340" w:hanging="639"/>
        <w:spacing w:after="0" w:line="246" w:lineRule="auto"/>
        <w:tabs>
          <w:tab w:leader="none" w:pos="1510" w:val="left"/>
        </w:tabs>
        <w:numPr>
          <w:ilvl w:val="0"/>
          <w:numId w:val="39"/>
        </w:numPr>
        <w:rPr>
          <w:rFonts w:ascii="Arial" w:cs="Arial" w:eastAsia="Arial" w:hAnsi="Arial"/>
          <w:sz w:val="20"/>
          <w:szCs w:val="20"/>
          <w:color w:val="auto"/>
        </w:rPr>
      </w:pPr>
      <w:r>
        <w:rPr>
          <w:rFonts w:ascii="Arial" w:cs="Arial" w:eastAsia="Arial" w:hAnsi="Arial"/>
          <w:sz w:val="20"/>
          <w:szCs w:val="20"/>
          <w:color w:val="auto"/>
        </w:rPr>
        <w:t>Upon termination of Employee's employment with the Company for any reason, or upon the Company's request, Employee will in1mediately deliver to the Company all documents, software, hardware, written materials and other items of any kind, and any copies thereof that contain Confidential Information.</w:t>
      </w:r>
    </w:p>
    <w:p>
      <w:pPr>
        <w:spacing w:after="0" w:line="293" w:lineRule="exact"/>
        <w:rPr>
          <w:sz w:val="20"/>
          <w:szCs w:val="20"/>
          <w:color w:val="auto"/>
        </w:rPr>
      </w:pPr>
    </w:p>
    <w:p>
      <w:pPr>
        <w:ind w:left="780" w:hanging="344"/>
        <w:spacing w:after="0"/>
        <w:tabs>
          <w:tab w:leader="none" w:pos="78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Covenant Not to Compete or Solicit Customers.</w:t>
      </w:r>
    </w:p>
    <w:p>
      <w:pPr>
        <w:spacing w:after="0" w:line="195" w:lineRule="exact"/>
        <w:rPr>
          <w:sz w:val="20"/>
          <w:szCs w:val="20"/>
          <w:color w:val="auto"/>
        </w:rPr>
      </w:pPr>
    </w:p>
    <w:p>
      <w:pPr>
        <w:jc w:val="both"/>
        <w:ind w:left="1060" w:right="340"/>
        <w:spacing w:after="0" w:line="278" w:lineRule="auto"/>
        <w:rPr>
          <w:sz w:val="20"/>
          <w:szCs w:val="20"/>
          <w:color w:val="auto"/>
        </w:rPr>
      </w:pPr>
      <w:r>
        <w:rPr>
          <w:rFonts w:ascii="Arial" w:cs="Arial" w:eastAsia="Arial" w:hAnsi="Arial"/>
          <w:sz w:val="18"/>
          <w:szCs w:val="18"/>
          <w:color w:val="auto"/>
        </w:rPr>
        <w:t>Ancillary to the Confidentiality/Non-Disclosure agreement contained herein and signed at the inception of employment, and in order to protect the substantial time, money and effort invested by the Company in the training and development of its employees, the research and development of its products, its selling, marketing, pricing and servicing strategies, the development of good will among its members and vendors and other legitimate business interests, the Company and Employee further agree as follows:</w:t>
      </w:r>
    </w:p>
    <w:p>
      <w:pPr>
        <w:spacing w:after="0" w:line="205" w:lineRule="exact"/>
        <w:rPr>
          <w:sz w:val="20"/>
          <w:szCs w:val="20"/>
          <w:color w:val="auto"/>
        </w:rPr>
      </w:pPr>
    </w:p>
    <w:p>
      <w:pPr>
        <w:ind w:left="1700" w:right="320" w:hanging="626"/>
        <w:spacing w:after="0" w:line="246" w:lineRule="auto"/>
        <w:tabs>
          <w:tab w:leader="none" w:pos="1556" w:val="left"/>
        </w:tabs>
        <w:numPr>
          <w:ilvl w:val="0"/>
          <w:numId w:val="41"/>
        </w:numPr>
        <w:rPr>
          <w:rFonts w:ascii="Arial" w:cs="Arial" w:eastAsia="Arial" w:hAnsi="Arial"/>
          <w:sz w:val="20"/>
          <w:szCs w:val="20"/>
          <w:color w:val="auto"/>
        </w:rPr>
      </w:pPr>
      <w:r>
        <w:rPr>
          <w:rFonts w:ascii="Arial" w:cs="Arial" w:eastAsia="Arial" w:hAnsi="Arial"/>
          <w:sz w:val="20"/>
          <w:szCs w:val="20"/>
          <w:color w:val="auto"/>
        </w:rPr>
        <w:t>During the term of Employee's employment and for one (1) year following the termination of his/her employment (the "Restricted Period"), Employee will not, either directly or indirectly, for himself/herself or on behalf of any other person, business, enterprise or entity, compete with the Company by providing services</w:t>
      </w:r>
    </w:p>
    <w:p>
      <w:pPr>
        <w:sectPr>
          <w:pgSz w:w="11900" w:h="16838" w:orient="portrait"/>
          <w:cols w:equalWidth="0" w:num="1">
            <w:col w:w="10120"/>
          </w:cols>
          <w:pgMar w:left="1440" w:top="12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620" w:right="460" w:hanging="3"/>
        <w:spacing w:after="0" w:line="260" w:lineRule="auto"/>
        <w:rPr>
          <w:sz w:val="20"/>
          <w:szCs w:val="20"/>
          <w:color w:val="auto"/>
        </w:rPr>
      </w:pPr>
      <w:r>
        <w:rPr>
          <w:rFonts w:ascii="Arial" w:cs="Arial" w:eastAsia="Arial" w:hAnsi="Arial"/>
          <w:sz w:val="20"/>
          <w:szCs w:val="20"/>
          <w:color w:val="auto"/>
        </w:rPr>
        <w:t>similar to the Business of the Company to any other person, business, enterprise or entity that competes with the Company.</w:t>
      </w:r>
    </w:p>
    <w:p>
      <w:pPr>
        <w:spacing w:after="0" w:line="217" w:lineRule="exact"/>
        <w:rPr>
          <w:sz w:val="20"/>
          <w:szCs w:val="20"/>
          <w:color w:val="auto"/>
        </w:rPr>
      </w:pPr>
    </w:p>
    <w:p>
      <w:pPr>
        <w:jc w:val="both"/>
        <w:ind w:left="1600" w:right="460" w:firstLine="12"/>
        <w:spacing w:after="0" w:line="269" w:lineRule="auto"/>
        <w:rPr>
          <w:sz w:val="20"/>
          <w:szCs w:val="20"/>
          <w:color w:val="auto"/>
        </w:rPr>
      </w:pPr>
      <w:r>
        <w:rPr>
          <w:rFonts w:ascii="Arial" w:cs="Arial" w:eastAsia="Arial" w:hAnsi="Arial"/>
          <w:sz w:val="18"/>
          <w:szCs w:val="18"/>
          <w:color w:val="auto"/>
        </w:rPr>
        <w:t>Employee acknowledges that the Company has a national presence and that although headquartered in Charleston, South Carolina, the Company does business not only throughout South Carolina but also throughout the United States. The parties acknowledge that their sole intention in this Section 4 is to prohibit direct competition in relation to the Business that could affect the Company's business with existing or potential customers for the limited period described. Employee acknowledges that the covenant set forth in this paragraph is reasonable and necessary to protect the legitimate interests and goodwill of the Company due to the national nature of the Company's business and its national customer base. Before entering into this Agreement, Employee has considered the limitations that the covenant in this paragraph could impose on his ability to find other employment and has determined that the covenant would not cause undue hardship to Employee or his or her family. Employee also agrees that the Business constitutes a small part of the market for Employee's services, that Employee's employment opportunities and livelihood are not limited to the provision of services relating to the Business, and that the covenant will not create undue hardship for Employee or his family. It is the desire and intent of the parties that the provisions of this paragraph be enforced to the fullest extent permitted under the laws and public policies of each jurisdiction in which enforcement is sought.</w:t>
      </w:r>
    </w:p>
    <w:p>
      <w:pPr>
        <w:spacing w:after="0" w:line="203" w:lineRule="exact"/>
        <w:rPr>
          <w:sz w:val="20"/>
          <w:szCs w:val="20"/>
          <w:color w:val="auto"/>
        </w:rPr>
      </w:pPr>
    </w:p>
    <w:p>
      <w:pPr>
        <w:ind w:left="1580" w:right="480" w:hanging="610"/>
        <w:spacing w:after="0" w:line="254" w:lineRule="auto"/>
        <w:tabs>
          <w:tab w:leader="none" w:pos="1457" w:val="left"/>
        </w:tabs>
        <w:numPr>
          <w:ilvl w:val="1"/>
          <w:numId w:val="42"/>
        </w:numPr>
        <w:rPr>
          <w:rFonts w:ascii="Arial" w:cs="Arial" w:eastAsia="Arial" w:hAnsi="Arial"/>
          <w:sz w:val="19"/>
          <w:szCs w:val="19"/>
          <w:color w:val="auto"/>
        </w:rPr>
      </w:pPr>
      <w:r>
        <w:rPr>
          <w:rFonts w:ascii="Arial" w:cs="Arial" w:eastAsia="Arial" w:hAnsi="Arial"/>
          <w:sz w:val="19"/>
          <w:szCs w:val="19"/>
          <w:color w:val="auto"/>
        </w:rPr>
        <w:t xml:space="preserve">In addition to, but not in limitation of the restrictions set forth above, the Employee further promises and agrees that unless the Company has given its prior written consent, which can be withheld in its sole discretion, he/she will not advertise or market services as a Company employee or former Company employee or as an expert in any Company products or services or any similar designation in connection with the foregoing. During the term of Employee's employment and for one (I) year following termination of his/her employment, he/she will not, directly or indirectly, either on behalf of himself/herself or any other person, business, enterprise or entity, (i) solicit the Company's Customers for any business purpose in competition with or in conflict with tl1e Business of the Company or (ii) divert business. away from the Company with respect to the Company's Customers. For purposes of this Agreement </w:t>
      </w:r>
      <w:r>
        <w:rPr>
          <w:rFonts w:ascii="Arial" w:cs="Arial" w:eastAsia="Arial" w:hAnsi="Arial"/>
          <w:sz w:val="19"/>
          <w:szCs w:val="19"/>
          <w:u w:val="single" w:color="auto"/>
          <w:color w:val="auto"/>
        </w:rPr>
        <w:t>"Customers"</w:t>
      </w:r>
      <w:r>
        <w:rPr>
          <w:rFonts w:ascii="Arial" w:cs="Arial" w:eastAsia="Arial" w:hAnsi="Arial"/>
          <w:sz w:val="19"/>
          <w:szCs w:val="19"/>
          <w:color w:val="auto"/>
        </w:rPr>
        <w:t xml:space="preserve"> shall mean any current customer or prospective customer of the Company (1) with whom Employee had contact directly or indirectly in connection with Employee's employment with the Company during the two (2) years prior to the termination of Employee's employment with the Company; or (ii) about whom Employee had access to proprietary, confidential, or commercially advantageous information through Employee's employment by the Company during the two (2) year period prior to the termination of Employee's employment with the Company.</w:t>
      </w:r>
    </w:p>
    <w:p>
      <w:pPr>
        <w:spacing w:after="0" w:line="290" w:lineRule="exact"/>
        <w:rPr>
          <w:rFonts w:ascii="Arial" w:cs="Arial" w:eastAsia="Arial" w:hAnsi="Arial"/>
          <w:sz w:val="19"/>
          <w:szCs w:val="19"/>
          <w:color w:val="auto"/>
        </w:rPr>
      </w:pPr>
    </w:p>
    <w:p>
      <w:pPr>
        <w:ind w:left="960" w:right="500" w:hanging="626"/>
        <w:spacing w:after="0" w:line="248" w:lineRule="auto"/>
        <w:tabs>
          <w:tab w:leader="none" w:pos="707" w:val="left"/>
        </w:tabs>
        <w:numPr>
          <w:ilvl w:val="0"/>
          <w:numId w:val="43"/>
        </w:numPr>
        <w:rPr>
          <w:rFonts w:ascii="Arial" w:cs="Arial" w:eastAsia="Arial" w:hAnsi="Arial"/>
          <w:sz w:val="18"/>
          <w:szCs w:val="18"/>
          <w:color w:val="auto"/>
        </w:rPr>
      </w:pPr>
      <w:r>
        <w:rPr>
          <w:rFonts w:ascii="Arial" w:cs="Arial" w:eastAsia="Arial" w:hAnsi="Arial"/>
          <w:sz w:val="20"/>
          <w:szCs w:val="20"/>
          <w:b w:val="1"/>
          <w:bCs w:val="1"/>
          <w:u w:val="single" w:color="auto"/>
          <w:color w:val="auto"/>
        </w:rPr>
        <w:t>CovenantNot to Solicit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Employee's employment hereunder is terminated, for a period</w:t>
      </w:r>
      <w:r>
        <w:rPr>
          <w:rFonts w:ascii="Arial" w:cs="Arial" w:eastAsia="Arial" w:hAnsi="Arial"/>
          <w:sz w:val="20"/>
          <w:szCs w:val="20"/>
          <w:b w:val="1"/>
          <w:bCs w:val="1"/>
          <w:color w:val="auto"/>
        </w:rPr>
        <w:t xml:space="preserve"> </w:t>
      </w:r>
      <w:r>
        <w:rPr>
          <w:rFonts w:ascii="Arial" w:cs="Arial" w:eastAsia="Arial" w:hAnsi="Arial"/>
          <w:sz w:val="20"/>
          <w:szCs w:val="20"/>
          <w:color w:val="auto"/>
        </w:rPr>
        <w:t>of one (1) year after the termination Employee will not, directly or indirectly, either on behalf of himself/herself or any other person, business, enterprise or entity, solicit for employment, employ, hire, contract with, or otherwise engage any</w:t>
      </w:r>
    </w:p>
    <w:p>
      <w:pPr>
        <w:sectPr>
          <w:pgSz w:w="11900" w:h="16838" w:orient="portrait"/>
          <w:cols w:equalWidth="0" w:num="1">
            <w:col w:w="10120"/>
          </w:cols>
          <w:pgMar w:left="1440" w:top="12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60" w:right="360" w:hanging="2"/>
        <w:spacing w:after="0" w:line="275" w:lineRule="auto"/>
        <w:rPr>
          <w:sz w:val="20"/>
          <w:szCs w:val="20"/>
          <w:color w:val="auto"/>
        </w:rPr>
      </w:pPr>
      <w:r>
        <w:rPr>
          <w:rFonts w:ascii="Arial" w:cs="Arial" w:eastAsia="Arial" w:hAnsi="Arial"/>
          <w:sz w:val="18"/>
          <w:szCs w:val="18"/>
          <w:color w:val="auto"/>
        </w:rPr>
        <w:t xml:space="preserve">Applicable Personnel. For purposes of this Section, </w:t>
      </w:r>
      <w:r>
        <w:rPr>
          <w:rFonts w:ascii="Arial" w:cs="Arial" w:eastAsia="Arial" w:hAnsi="Arial"/>
          <w:sz w:val="18"/>
          <w:szCs w:val="18"/>
          <w:u w:val="single" w:color="auto"/>
          <w:color w:val="auto"/>
        </w:rPr>
        <w:t>"Applicable Personnel"</w:t>
      </w:r>
      <w:r>
        <w:rPr>
          <w:rFonts w:ascii="Arial" w:cs="Arial" w:eastAsia="Arial" w:hAnsi="Arial"/>
          <w:sz w:val="18"/>
          <w:szCs w:val="18"/>
          <w:color w:val="auto"/>
        </w:rPr>
        <w:t xml:space="preserve"> means any person that was employed or engaged as an employee or independent contractor of the Company at any time during the six</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(6) month period prior to termination of Employee's employment with the Company.</w:t>
      </w:r>
    </w:p>
    <w:p>
      <w:pPr>
        <w:spacing w:after="0" w:line="153" w:lineRule="exact"/>
        <w:rPr>
          <w:sz w:val="20"/>
          <w:szCs w:val="20"/>
          <w:color w:val="auto"/>
        </w:rPr>
      </w:pPr>
    </w:p>
    <w:p>
      <w:pPr>
        <w:ind w:left="1060" w:right="340" w:hanging="636"/>
        <w:spacing w:after="0" w:line="259" w:lineRule="auto"/>
        <w:tabs>
          <w:tab w:leader="none" w:pos="802"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Exclusive Emplovment.</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shall not without the express prior written consent of the Company, 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or indirectly, during Employee's employment with the Company, render professional services to any person or fim1 for compensation or engage in any activity competitive with and/or adverse to the Company's purposes, mission or interests, whetl1er alone, as a partner or member, or as an officer, director, employee or shareholder of any other corporation or entity or as a trustee, fiduciary or other representative of any other activity or entity, except with the express written approval of the Company, which the Company may revoke at any time in its sole discretion.</w:t>
      </w:r>
    </w:p>
    <w:p>
      <w:pPr>
        <w:spacing w:after="0" w:line="158" w:lineRule="exact"/>
        <w:rPr>
          <w:rFonts w:ascii="Arial" w:cs="Arial" w:eastAsia="Arial" w:hAnsi="Arial"/>
          <w:sz w:val="19"/>
          <w:szCs w:val="19"/>
          <w:color w:val="auto"/>
        </w:rPr>
      </w:pPr>
    </w:p>
    <w:p>
      <w:pPr>
        <w:ind w:left="1060" w:right="320" w:hanging="628"/>
        <w:spacing w:after="0" w:line="255" w:lineRule="auto"/>
        <w:tabs>
          <w:tab w:leader="none" w:pos="874" w:val="left"/>
        </w:tabs>
        <w:numPr>
          <w:ilvl w:val="0"/>
          <w:numId w:val="44"/>
        </w:numPr>
        <w:rPr>
          <w:rFonts w:ascii="Arial" w:cs="Arial" w:eastAsia="Arial" w:hAnsi="Arial"/>
          <w:sz w:val="19"/>
          <w:szCs w:val="19"/>
          <w:color w:val="auto"/>
        </w:rPr>
      </w:pPr>
      <w:r>
        <w:rPr>
          <w:rFonts w:ascii="Arial" w:cs="Arial" w:eastAsia="Arial" w:hAnsi="Arial"/>
          <w:sz w:val="19"/>
          <w:szCs w:val="19"/>
          <w:b w:val="1"/>
          <w:bCs w:val="1"/>
          <w:u w:val="single" w:color="auto"/>
          <w:color w:val="auto"/>
        </w:rPr>
        <w:t>Ownership and Assignment of Inventions.</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understands and agrees that Employee is perfom1ing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work for hire for the Company and that any Inventions (as defined below) developed or conceived by Employee during Employee's employment with the Company are the sole property of the Company. </w:t>
      </w:r>
      <w:r>
        <w:rPr>
          <w:rFonts w:ascii="Arial" w:cs="Arial" w:eastAsia="Arial" w:hAnsi="Arial"/>
          <w:sz w:val="19"/>
          <w:szCs w:val="19"/>
          <w:u w:val="single" w:color="auto"/>
          <w:color w:val="auto"/>
        </w:rPr>
        <w:t>"Inventions"</w:t>
      </w:r>
      <w:r>
        <w:rPr>
          <w:rFonts w:ascii="Arial" w:cs="Arial" w:eastAsia="Arial" w:hAnsi="Arial"/>
          <w:sz w:val="19"/>
          <w:szCs w:val="19"/>
          <w:color w:val="auto"/>
        </w:rPr>
        <w:t xml:space="preserve"> shall include any inventions, improvements, developments, discoveries, programs, designs, products, processes, information systems and software, as well as any other concepts, works and ideas, whether patentable or not, relating to any present or prospective activities or Business of the Company. Employee agrees to make the Company aware of all such Inventions. To the maximum extent permitted by applicable law, Employee farther agrees to assign and does hereby assign to the Company all rights, title and interest in and to all such Inventions hereafter made by Employee. This Section does not apply to any Invention for which Employee affim1atively proves that: (a) no equipment, supplies, facility, trade secrets, or Confidential Information of the Company was used; (b) the Invention was developed entirely on Employee's own time; and (c) the Invention did not result, either directly or indirectly, from any work performed by Employee for the Company.</w:t>
      </w:r>
    </w:p>
    <w:p>
      <w:pPr>
        <w:spacing w:after="0" w:line="154" w:lineRule="exact"/>
        <w:rPr>
          <w:rFonts w:ascii="Arial" w:cs="Arial" w:eastAsia="Arial" w:hAnsi="Arial"/>
          <w:sz w:val="19"/>
          <w:szCs w:val="19"/>
          <w:color w:val="auto"/>
        </w:rPr>
      </w:pPr>
    </w:p>
    <w:p>
      <w:pPr>
        <w:ind w:left="1080" w:right="300" w:hanging="634"/>
        <w:spacing w:after="0" w:line="271" w:lineRule="auto"/>
        <w:tabs>
          <w:tab w:leader="none" w:pos="811"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It is stipulated and agreed that a breach by Employee of any of the covenants contained in Sections 3,</w:t>
      </w:r>
      <w:r>
        <w:rPr>
          <w:rFonts w:ascii="Arial" w:cs="Arial" w:eastAsia="Arial" w:hAnsi="Arial"/>
          <w:sz w:val="18"/>
          <w:szCs w:val="18"/>
          <w:b w:val="1"/>
          <w:bCs w:val="1"/>
          <w:color w:val="auto"/>
        </w:rPr>
        <w:t xml:space="preserve"> </w:t>
      </w:r>
      <w:r>
        <w:rPr>
          <w:rFonts w:ascii="Arial" w:cs="Arial" w:eastAsia="Arial" w:hAnsi="Arial"/>
          <w:sz w:val="18"/>
          <w:szCs w:val="18"/>
          <w:color w:val="auto"/>
        </w:rPr>
        <w:t>4, 5, 6 or 7 of this Agreement would cause irreparable damage to the Company. The Company, in addition to any other rights or remedies that the Company may have, shall be entitled to an injunction restraining Employee from violating or continuing any violation of such covenants. Such right to obtain injunctive relief maybe exercised at the option of the Company, concurrently with, prior to, after, or in lieu of the exercise of any other rights or remedies that the Company may have as a result of any such breach or threatened breach of this Agreement. Employee agrees that upon breach of any of the covenants contained in Sections 3, 4, 5, 6 or 7 of this Agreement, the Company shall be entitled to an accounting and repayment of all profits, royalties, compensation, and/or other benefits that Employee directly or indirectly has realized or may realize as a result of, or in connection with, any such breach. Employee further agrees that she will be liable for any expenses the Company may incur, including attorneys' fees, to enforce the terms of this Agreement.</w:t>
      </w:r>
    </w:p>
    <w:p>
      <w:pPr>
        <w:sectPr>
          <w:pgSz w:w="11900" w:h="16838" w:orient="portrait"/>
          <w:cols w:equalWidth="0" w:num="1">
            <w:col w:w="10120"/>
          </w:cols>
          <w:pgMar w:left="1440" w:top="12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980" w:right="480" w:hanging="607"/>
        <w:spacing w:after="0" w:line="280" w:lineRule="auto"/>
        <w:tabs>
          <w:tab w:leader="none" w:pos="721" w:val="left"/>
        </w:tabs>
        <w:numPr>
          <w:ilvl w:val="2"/>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No Effect on Trade Secret Laws.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herein to the contrary, nothing in this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alter, limit (temporally, geographically, or otherwise), or have any effect whatsoever on Employee's obligation to refrain from disclosing the Company's trade secrets. Nothing in this Agreement shall limit or otherwise affect the Company's remedies for any violation of applicable trade secrets laws, all of which shall be cumulative to any remedies available to the Company for a breach of this Agreement.</w:t>
      </w:r>
    </w:p>
    <w:p>
      <w:pPr>
        <w:spacing w:after="0" w:line="183" w:lineRule="exact"/>
        <w:rPr>
          <w:rFonts w:ascii="Arial" w:cs="Arial" w:eastAsia="Arial" w:hAnsi="Arial"/>
          <w:sz w:val="18"/>
          <w:szCs w:val="18"/>
          <w:color w:val="auto"/>
        </w:rPr>
      </w:pPr>
    </w:p>
    <w:p>
      <w:pPr>
        <w:jc w:val="both"/>
        <w:ind w:left="960" w:right="480" w:hanging="587"/>
        <w:spacing w:after="0" w:line="270" w:lineRule="auto"/>
        <w:tabs>
          <w:tab w:leader="none" w:pos="1050" w:val="left"/>
        </w:tabs>
        <w:numPr>
          <w:ilvl w:val="2"/>
          <w:numId w:val="45"/>
        </w:numPr>
        <w:rPr>
          <w:rFonts w:ascii="Arial" w:cs="Arial" w:eastAsia="Arial" w:hAnsi="Arial"/>
          <w:sz w:val="16"/>
          <w:szCs w:val="16"/>
          <w:color w:val="auto"/>
        </w:rPr>
      </w:pPr>
      <w:r>
        <w:rPr>
          <w:rFonts w:ascii="Arial" w:cs="Arial" w:eastAsia="Arial" w:hAnsi="Arial"/>
          <w:sz w:val="18"/>
          <w:szCs w:val="18"/>
          <w:b w:val="1"/>
          <w:bCs w:val="1"/>
          <w:u w:val="single" w:color="auto"/>
          <w:color w:val="auto"/>
        </w:rPr>
        <w:t>Other Agreements/Warranties.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warrants that Employee is not bound by the terms of a</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agreement or non-competition agreement or any other agreement with a former employer or other third party that would preclude Employee from accepting employment with the Company or that would preclude Employee from effectively performing Employee's duties for the Company. Employee further warrants that Employee has the right to make all disclosures that Employee will make to the Company during the course of Employee's employment with the Company. Employee agrees that Employee shall not disclose to the Company, or seek to induce the Company to use, any confidential information in the nature of trade secrets or other proprietary information belonging to others and that in the event that the Company directs Employee to perform tasks that would result in the disclosure or use of any such confidential information, that Employee shall notify the Company in advance of any such disclosure. Employee agrees to defend, indemnify, and hold harmless the Company for any losses that it incurs as a result of the Employee's violation of any non-competition, non- solicitation, non-disclosure, or trade secret obligations that she may have to any other party during her Employment with the Company.</w:t>
      </w:r>
    </w:p>
    <w:p>
      <w:pPr>
        <w:spacing w:after="0" w:line="212" w:lineRule="exact"/>
        <w:rPr>
          <w:rFonts w:ascii="Arial" w:cs="Arial" w:eastAsia="Arial" w:hAnsi="Arial"/>
          <w:sz w:val="16"/>
          <w:szCs w:val="16"/>
          <w:color w:val="auto"/>
        </w:rPr>
      </w:pPr>
    </w:p>
    <w:p>
      <w:pPr>
        <w:jc w:val="both"/>
        <w:ind w:left="960" w:right="500" w:hanging="599"/>
        <w:spacing w:after="0" w:line="275" w:lineRule="auto"/>
        <w:tabs>
          <w:tab w:leader="none" w:pos="923" w:val="left"/>
        </w:tabs>
        <w:numPr>
          <w:ilvl w:val="1"/>
          <w:numId w:val="46"/>
        </w:numPr>
        <w:rPr>
          <w:rFonts w:ascii="Arial" w:cs="Arial" w:eastAsia="Arial" w:hAnsi="Arial"/>
          <w:sz w:val="16"/>
          <w:szCs w:val="16"/>
          <w:color w:val="auto"/>
        </w:rPr>
      </w:pPr>
      <w:r>
        <w:rPr>
          <w:rFonts w:ascii="Arial" w:cs="Arial" w:eastAsia="Arial" w:hAnsi="Arial"/>
          <w:sz w:val="18"/>
          <w:szCs w:val="18"/>
          <w:b w:val="1"/>
          <w:bCs w:val="1"/>
          <w:u w:val="single" w:color="auto"/>
          <w:color w:val="auto"/>
        </w:rPr>
        <w:t>Acknowledgment of Reasonableness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has carefully read and considered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has had the opportunity to consult with an attorney of Employee's choice, and agrees that the restrictions and remedies set forth herein are fair and reasonably required for the protection of the Company. In the event that any provision relating to the scope of the restrictions shall be declared by a court of competent jurisdiction to exceed the maximum scope that such court deems reasonable and enforceable under applicable law, the Company and Employee agree that the scope of the restriction held reasonable and enforceable by the court shall thereafter be the scope of this Agreement.</w:t>
      </w:r>
    </w:p>
    <w:p>
      <w:pPr>
        <w:spacing w:after="0" w:line="189" w:lineRule="exact"/>
        <w:rPr>
          <w:rFonts w:ascii="Arial" w:cs="Arial" w:eastAsia="Arial" w:hAnsi="Arial"/>
          <w:sz w:val="16"/>
          <w:szCs w:val="16"/>
          <w:color w:val="auto"/>
        </w:rPr>
      </w:pPr>
    </w:p>
    <w:p>
      <w:pPr>
        <w:jc w:val="both"/>
        <w:ind w:left="960" w:right="500" w:hanging="615"/>
        <w:spacing w:after="0" w:line="259" w:lineRule="auto"/>
        <w:tabs>
          <w:tab w:leader="none" w:pos="988" w:val="left"/>
        </w:tabs>
        <w:numPr>
          <w:ilvl w:val="0"/>
          <w:numId w:val="47"/>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Severabilitv; Survival.</w:t>
      </w:r>
      <w:r>
        <w:rPr>
          <w:rFonts w:ascii="Arial" w:cs="Arial" w:eastAsia="Arial" w:hAnsi="Arial"/>
          <w:sz w:val="19"/>
          <w:szCs w:val="19"/>
          <w:b w:val="1"/>
          <w:bCs w:val="1"/>
          <w:color w:val="auto"/>
        </w:rPr>
        <w:t xml:space="preserve"> </w:t>
      </w:r>
      <w:r>
        <w:rPr>
          <w:rFonts w:ascii="Arial" w:cs="Arial" w:eastAsia="Arial" w:hAnsi="Arial"/>
          <w:sz w:val="19"/>
          <w:szCs w:val="19"/>
          <w:color w:val="auto"/>
        </w:rPr>
        <w:t>The covenants described herein and all provisions and sub provisions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intended to be severable. If any term, covenant, provision, sub-provision, or portion thereof is held to be invalid, void or unenforceable by a court of competent jurisdiction for any reason whatsoever, such ruling shall not affect the remainder of this Agreement, which shall remain in full force and effect Any provision of this Agreement that contemplates performance or observance subsequent to termination of this Agreement, regardless of the date, cause or manner of such termination, shall survive such termination and shall continue in full force and effect.</w:t>
      </w:r>
    </w:p>
    <w:p>
      <w:pPr>
        <w:spacing w:after="0" w:line="212" w:lineRule="exact"/>
        <w:rPr>
          <w:rFonts w:ascii="Arial" w:cs="Arial" w:eastAsia="Arial" w:hAnsi="Arial"/>
          <w:sz w:val="19"/>
          <w:szCs w:val="19"/>
          <w:color w:val="auto"/>
        </w:rPr>
      </w:pPr>
    </w:p>
    <w:p>
      <w:pPr>
        <w:ind w:left="940" w:right="540" w:hanging="601"/>
        <w:spacing w:after="0" w:line="253" w:lineRule="auto"/>
        <w:tabs>
          <w:tab w:leader="none" w:pos="787" w:val="left"/>
        </w:tabs>
        <w:numPr>
          <w:ilvl w:val="0"/>
          <w:numId w:val="47"/>
        </w:numPr>
        <w:rPr>
          <w:rFonts w:ascii="Arial" w:cs="Arial" w:eastAsia="Arial" w:hAnsi="Arial"/>
          <w:sz w:val="20"/>
          <w:szCs w:val="20"/>
          <w:color w:val="auto"/>
        </w:rPr>
      </w:pPr>
      <w:r>
        <w:rPr>
          <w:rFonts w:ascii="Arial" w:cs="Arial" w:eastAsia="Arial" w:hAnsi="Arial"/>
          <w:sz w:val="20"/>
          <w:szCs w:val="20"/>
          <w:b w:val="1"/>
          <w:bCs w:val="1"/>
          <w:u w:val="single" w:color="auto"/>
          <w:color w:val="auto"/>
        </w:rPr>
        <w:t>Dispute Resolution; Applicable Law.</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set forth in Section 8 above, the parties agree that</w:t>
      </w:r>
      <w:r>
        <w:rPr>
          <w:rFonts w:ascii="Arial" w:cs="Arial" w:eastAsia="Arial" w:hAnsi="Arial"/>
          <w:sz w:val="20"/>
          <w:szCs w:val="20"/>
          <w:b w:val="1"/>
          <w:bCs w:val="1"/>
          <w:color w:val="auto"/>
        </w:rPr>
        <w:t xml:space="preserve"> </w:t>
      </w:r>
      <w:r>
        <w:rPr>
          <w:rFonts w:ascii="Arial" w:cs="Arial" w:eastAsia="Arial" w:hAnsi="Arial"/>
          <w:sz w:val="20"/>
          <w:szCs w:val="20"/>
          <w:color w:val="auto"/>
        </w:rPr>
        <w:t>all disputes, claims and controversies arising out of this Agreement shall be settled by arbitration in accordance with the American Arbitration Association</w:t>
      </w:r>
    </w:p>
    <w:p>
      <w:pPr>
        <w:sectPr>
          <w:pgSz w:w="11900" w:h="16838" w:orient="portrait"/>
          <w:cols w:equalWidth="0" w:num="1">
            <w:col w:w="10120"/>
          </w:cols>
          <w:pgMar w:left="1440" w:top="12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040" w:right="360" w:firstLine="11"/>
        <w:spacing w:after="0" w:line="244" w:lineRule="auto"/>
        <w:rPr>
          <w:sz w:val="20"/>
          <w:szCs w:val="20"/>
          <w:color w:val="auto"/>
        </w:rPr>
      </w:pPr>
      <w:r>
        <w:rPr>
          <w:rFonts w:ascii="Arial" w:cs="Arial" w:eastAsia="Arial" w:hAnsi="Arial"/>
          <w:sz w:val="20"/>
          <w:szCs w:val="20"/>
          <w:color w:val="auto"/>
        </w:rPr>
        <w:t>rules, such arbitration to take place in the location of the Company office to which Employee is assigned, and judgment upon the award rendered in any such arbitration may be entered in any court, state or federal, having jurisdiction. This Agreement and any dispute or controversy arising out of or relating to this Agreement shall, in all respects, be governed by and construed according to the laws of the State of South Carolina, without regard to its conflict of law principles.</w:t>
      </w:r>
    </w:p>
    <w:p>
      <w:pPr>
        <w:spacing w:after="0" w:line="175" w:lineRule="exact"/>
        <w:rPr>
          <w:sz w:val="20"/>
          <w:szCs w:val="20"/>
          <w:color w:val="auto"/>
        </w:rPr>
      </w:pPr>
    </w:p>
    <w:p>
      <w:pPr>
        <w:ind w:left="1040" w:right="360" w:hanging="611"/>
        <w:spacing w:after="0" w:line="245" w:lineRule="auto"/>
        <w:tabs>
          <w:tab w:leader="none" w:pos="965"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b w:val="1"/>
          <w:bCs w:val="1"/>
          <w:color w:val="auto"/>
        </w:rPr>
        <w:t xml:space="preserve"> </w:t>
      </w:r>
      <w:r>
        <w:rPr>
          <w:rFonts w:ascii="Arial" w:cs="Arial" w:eastAsia="Arial" w:hAnsi="Arial"/>
          <w:sz w:val="20"/>
          <w:szCs w:val="20"/>
          <w:color w:val="auto"/>
        </w:rPr>
        <w:t>Any waiver of a breach of any provision of this Agreement must be in writing and signed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waiving party. Any waiver of a breach of any provision of this Agreement shall not operate or be construed as a waiver of, or estoppel with respect to, any subsequent breach of such provision or any other provision of this Agreement. The failure of a party to insist upon strict adherence to any term of this Agreement on any occasion shall not deprive that party of its right thereafter to insist upon strict adherence to that term or any other term of this Agreement.</w:t>
      </w:r>
    </w:p>
    <w:p>
      <w:pPr>
        <w:spacing w:after="0" w:line="170" w:lineRule="exact"/>
        <w:rPr>
          <w:rFonts w:ascii="Arial" w:cs="Arial" w:eastAsia="Arial" w:hAnsi="Arial"/>
          <w:sz w:val="20"/>
          <w:szCs w:val="20"/>
          <w:color w:val="auto"/>
        </w:rPr>
      </w:pPr>
    </w:p>
    <w:p>
      <w:pPr>
        <w:ind w:left="1040" w:right="340" w:hanging="605"/>
        <w:spacing w:after="0" w:line="253" w:lineRule="auto"/>
        <w:tabs>
          <w:tab w:leader="none" w:pos="924"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Employment At-Will.</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this Agreement shall be interpreted to create a contract of employment for</w:t>
      </w:r>
      <w:r>
        <w:rPr>
          <w:rFonts w:ascii="Arial" w:cs="Arial" w:eastAsia="Arial" w:hAnsi="Arial"/>
          <w:sz w:val="20"/>
          <w:szCs w:val="20"/>
          <w:b w:val="1"/>
          <w:bCs w:val="1"/>
          <w:color w:val="auto"/>
        </w:rPr>
        <w:t xml:space="preserve"> </w:t>
      </w:r>
      <w:r>
        <w:rPr>
          <w:rFonts w:ascii="Arial" w:cs="Arial" w:eastAsia="Arial" w:hAnsi="Arial"/>
          <w:sz w:val="20"/>
          <w:szCs w:val="20"/>
          <w:color w:val="auto"/>
        </w:rPr>
        <w:t>any specific time. Employee is and shall remain an employee at-will, and either party may terminate the employment relationship at any time for any reason or no reason at all.</w:t>
      </w:r>
    </w:p>
    <w:p>
      <w:pPr>
        <w:spacing w:after="0" w:line="150" w:lineRule="exact"/>
        <w:rPr>
          <w:rFonts w:ascii="Arial" w:cs="Arial" w:eastAsia="Arial" w:hAnsi="Arial"/>
          <w:sz w:val="20"/>
          <w:szCs w:val="20"/>
          <w:color w:val="auto"/>
        </w:rPr>
      </w:pPr>
    </w:p>
    <w:p>
      <w:pPr>
        <w:ind w:left="1060" w:right="340" w:hanging="618"/>
        <w:spacing w:after="0" w:line="262" w:lineRule="auto"/>
        <w:tabs>
          <w:tab w:leader="none" w:pos="932" w:val="left"/>
        </w:tabs>
        <w:numPr>
          <w:ilvl w:val="1"/>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constitutes the entire agreement between the parties as of the date hereof</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subject matter hereof and supersedes any previous understandings, representations, statements and agreements, whether oral or written, between or among the parties with respect to the subject matter hereof. This Agreement may be modified only by written agreement, signed by all of the parties and expressly purporting to modify this Agreement.</w:t>
      </w:r>
    </w:p>
    <w:p>
      <w:pPr>
        <w:spacing w:after="0" w:line="157" w:lineRule="exact"/>
        <w:rPr>
          <w:rFonts w:ascii="Arial" w:cs="Arial" w:eastAsia="Arial" w:hAnsi="Arial"/>
          <w:sz w:val="19"/>
          <w:szCs w:val="19"/>
          <w:color w:val="auto"/>
        </w:rPr>
      </w:pPr>
    </w:p>
    <w:p>
      <w:pPr>
        <w:jc w:val="both"/>
        <w:ind w:left="1060" w:right="340" w:hanging="612"/>
        <w:spacing w:after="0" w:line="272" w:lineRule="auto"/>
        <w:tabs>
          <w:tab w:leader="none" w:pos="1015" w:val="left"/>
        </w:tabs>
        <w:numPr>
          <w:ilvl w:val="1"/>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No Assignment/ Binding Effect.</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may not assign this Agreement to any other person or entity</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the Company's express written consent, which may be withheld for any reason or no reason at all. This Agreement shall be binding on Employee's heirs, successors, and permitted assigns.</w:t>
      </w:r>
    </w:p>
    <w:p>
      <w:pPr>
        <w:spacing w:after="0" w:line="134" w:lineRule="exact"/>
        <w:rPr>
          <w:rFonts w:ascii="Arial" w:cs="Arial" w:eastAsia="Arial" w:hAnsi="Arial"/>
          <w:sz w:val="19"/>
          <w:szCs w:val="19"/>
          <w:color w:val="auto"/>
        </w:rPr>
      </w:pPr>
    </w:p>
    <w:p>
      <w:pPr>
        <w:ind w:left="1080" w:right="340" w:hanging="632"/>
        <w:spacing w:after="0" w:line="267" w:lineRule="auto"/>
        <w:tabs>
          <w:tab w:leader="none" w:pos="902" w:val="left"/>
        </w:tabs>
        <w:numPr>
          <w:ilvl w:val="1"/>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Tolling.</w:t>
      </w:r>
      <w:r>
        <w:rPr>
          <w:rFonts w:ascii="Arial" w:cs="Arial" w:eastAsia="Arial" w:hAnsi="Arial"/>
          <w:sz w:val="20"/>
          <w:szCs w:val="20"/>
          <w:b w:val="1"/>
          <w:bCs w:val="1"/>
          <w:color w:val="auto"/>
        </w:rPr>
        <w:t xml:space="preserve"> </w:t>
      </w:r>
      <w:r>
        <w:rPr>
          <w:rFonts w:ascii="Arial" w:cs="Arial" w:eastAsia="Arial" w:hAnsi="Arial"/>
          <w:sz w:val="20"/>
          <w:szCs w:val="20"/>
          <w:color w:val="auto"/>
        </w:rPr>
        <w:t>The Restricted Period shall be tolled for any period(s) of violation, including period(s) of time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for litigation to enforce the covenants of this Agreement.</w:t>
      </w:r>
    </w:p>
    <w:p>
      <w:pPr>
        <w:spacing w:after="0" w:line="149" w:lineRule="exact"/>
        <w:rPr>
          <w:rFonts w:ascii="Arial" w:cs="Arial" w:eastAsia="Arial" w:hAnsi="Arial"/>
          <w:sz w:val="20"/>
          <w:szCs w:val="20"/>
          <w:color w:val="auto"/>
        </w:rPr>
      </w:pPr>
    </w:p>
    <w:p>
      <w:pPr>
        <w:ind w:left="1080" w:right="320" w:hanging="625"/>
        <w:spacing w:after="0" w:line="293" w:lineRule="auto"/>
        <w:tabs>
          <w:tab w:leader="none" w:pos="1055" w:val="left"/>
        </w:tabs>
        <w:numPr>
          <w:ilvl w:val="2"/>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executed simultaneously in counterparts, each of which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an original, but all of which together shall constitute one and the same Agreement.</w:t>
      </w:r>
    </w:p>
    <w:p>
      <w:pPr>
        <w:spacing w:after="0" w:line="18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[SIGNATURES FOLLOW]</w:t>
      </w:r>
    </w:p>
    <w:p>
      <w:pPr>
        <w:sectPr>
          <w:pgSz w:w="11900" w:h="16838" w:orient="portrait"/>
          <w:cols w:equalWidth="0" w:num="1">
            <w:col w:w="10120"/>
          </w:cols>
          <w:pgMar w:left="1440" w:top="12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10.01</w:t>
      </w:r>
    </w:p>
    <w:p>
      <w:pPr>
        <w:spacing w:after="0" w:line="325" w:lineRule="exact"/>
        <w:rPr>
          <w:sz w:val="20"/>
          <w:szCs w:val="20"/>
          <w:color w:val="auto"/>
        </w:rPr>
      </w:pPr>
    </w:p>
    <w:p>
      <w:pPr>
        <w:ind w:left="180" w:right="480" w:firstLine="198"/>
        <w:spacing w:after="0" w:line="260" w:lineRule="auto"/>
        <w:rPr>
          <w:sz w:val="20"/>
          <w:szCs w:val="20"/>
          <w:color w:val="auto"/>
        </w:rPr>
      </w:pPr>
      <w:r>
        <w:rPr>
          <w:rFonts w:ascii="Arial" w:cs="Arial" w:eastAsia="Arial" w:hAnsi="Arial"/>
          <w:sz w:val="20"/>
          <w:szCs w:val="20"/>
          <w:color w:val="auto"/>
        </w:rPr>
        <w:t>IN WITNESS WHEREOF, the parties hereto have executed this Agreement to be effective as of the date first written above.</w:t>
      </w:r>
    </w:p>
    <w:p>
      <w:pPr>
        <w:spacing w:after="0" w:line="200" w:lineRule="exact"/>
        <w:rPr>
          <w:sz w:val="20"/>
          <w:szCs w:val="20"/>
          <w:color w:val="auto"/>
        </w:rPr>
      </w:pPr>
    </w:p>
    <w:p>
      <w:pPr>
        <w:spacing w:after="0" w:line="30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EMPLOYEE:</w:t>
      </w:r>
    </w:p>
    <w:p>
      <w:pPr>
        <w:spacing w:after="0" w:line="33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 Kevin McDearis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24130</wp:posOffset>
            </wp:positionV>
            <wp:extent cx="21170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5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Kevin McDearis</w:t>
      </w:r>
    </w:p>
    <w:p>
      <w:pPr>
        <w:spacing w:after="0" w:line="200" w:lineRule="exact"/>
        <w:rPr>
          <w:sz w:val="20"/>
          <w:szCs w:val="20"/>
          <w:color w:val="auto"/>
        </w:rPr>
      </w:pPr>
    </w:p>
    <w:p>
      <w:pPr>
        <w:spacing w:after="0" w:line="392"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BLACKBAUD, INC.</w:t>
      </w:r>
    </w:p>
    <w:p>
      <w:pPr>
        <w:spacing w:after="0" w:line="33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 John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24130</wp:posOffset>
            </wp:positionV>
            <wp:extent cx="21170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51" w:lineRule="exact"/>
        <w:rPr>
          <w:sz w:val="20"/>
          <w:szCs w:val="20"/>
          <w:color w:val="auto"/>
        </w:rPr>
      </w:pPr>
    </w:p>
    <w:p>
      <w:pPr>
        <w:ind w:left="4680"/>
        <w:spacing w:after="0"/>
        <w:tabs>
          <w:tab w:leader="none" w:pos="5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John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24130</wp:posOffset>
            </wp:positionV>
            <wp:extent cx="16630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51" w:lineRule="exact"/>
        <w:rPr>
          <w:sz w:val="20"/>
          <w:szCs w:val="20"/>
          <w:color w:val="auto"/>
        </w:rPr>
      </w:pPr>
    </w:p>
    <w:p>
      <w:pPr>
        <w:ind w:left="4680"/>
        <w:spacing w:after="0"/>
        <w:tabs>
          <w:tab w:leader="none" w:pos="53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SVP HR</w:t>
      </w:r>
    </w:p>
    <w:p>
      <w:pPr>
        <w:sectPr>
          <w:pgSz w:w="11900" w:h="16838" w:orient="portrait"/>
          <w:cols w:equalWidth="0" w:num="1">
            <w:col w:w="10120"/>
          </w:cols>
          <w:pgMar w:left="1440" w:top="12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  May 4, 2021</w:t>
            </w:r>
          </w:p>
        </w:tc>
        <w:tc>
          <w:tcPr>
            <w:tcW w:w="2580" w:type="dxa"/>
            <w:vAlign w:val="bottom"/>
          </w:tcPr>
          <w:p>
            <w:pPr>
              <w:ind w:left="20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Gianoni</w:t>
            </w:r>
          </w:p>
        </w:tc>
      </w:tr>
      <w:tr>
        <w:trPr>
          <w:trHeight w:val="223"/>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  May 4, 2021</w:t>
            </w: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By:   /s/ Anthony W. Boor</w:t>
            </w:r>
          </w:p>
        </w:tc>
      </w:tr>
      <w:tr>
        <w:trPr>
          <w:trHeight w:val="223"/>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March 31, 2021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  May 4, 2021</w:t>
            </w:r>
          </w:p>
        </w:tc>
        <w:tc>
          <w:tcPr>
            <w:tcW w:w="7500" w:type="dxa"/>
            <w:vAlign w:val="bottom"/>
            <w:gridSpan w:val="2"/>
          </w:tcPr>
          <w:p>
            <w:pPr>
              <w:ind w:left="2080"/>
              <w:spacing w:after="0"/>
              <w:rPr>
                <w:sz w:val="20"/>
                <w:szCs w:val="20"/>
                <w:color w:val="auto"/>
              </w:rPr>
            </w:pPr>
            <w:r>
              <w:rPr>
                <w:rFonts w:ascii="Arial" w:cs="Arial" w:eastAsia="Arial" w:hAnsi="Arial"/>
                <w:sz w:val="18"/>
                <w:szCs w:val="18"/>
                <w:color w:val="auto"/>
              </w:rPr>
              <w:t>By:   /s/ Michael P. Gianoni</w:t>
            </w:r>
          </w:p>
        </w:tc>
      </w:tr>
      <w:tr>
        <w:trPr>
          <w:trHeight w:val="223"/>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March 31, 2021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  May 4, 2021</w:t>
            </w:r>
          </w:p>
        </w:tc>
        <w:tc>
          <w:tcPr>
            <w:tcW w:w="7500" w:type="dxa"/>
            <w:vAlign w:val="bottom"/>
            <w:gridSpan w:val="2"/>
          </w:tcPr>
          <w:p>
            <w:pPr>
              <w:ind w:left="2080"/>
              <w:spacing w:after="0"/>
              <w:rPr>
                <w:sz w:val="20"/>
                <w:szCs w:val="20"/>
                <w:color w:val="auto"/>
              </w:rPr>
            </w:pPr>
            <w:r>
              <w:rPr>
                <w:rFonts w:ascii="Arial" w:cs="Arial" w:eastAsia="Arial" w:hAnsi="Arial"/>
                <w:sz w:val="18"/>
                <w:szCs w:val="18"/>
                <w:color w:val="auto"/>
              </w:rPr>
              <w:t>By:   /s/ Anthony W. Boor</w:t>
            </w:r>
          </w:p>
        </w:tc>
      </w:tr>
      <w:tr>
        <w:trPr>
          <w:trHeight w:val="223"/>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6"/>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2"/>
      <w:numFmt w:val="bullet"/>
      <w:start w:val="1"/>
    </w:lvl>
  </w:abstractNum>
  <w:abstractNum w:abstractNumId="10">
    <w:nsid w:val="737B8DDC"/>
    <w:multiLevelType w:val="hybridMultilevel"/>
    <w:lvl w:ilvl="0">
      <w:lvlJc w:val="left"/>
      <w:lvlText w:val="%1."/>
      <w:numFmt w:val="decimal"/>
    </w:lvl>
    <w:lvl w:ilvl="1">
      <w:lvlJc w:val="left"/>
      <w:lvlText w:val="3"/>
      <w:numFmt w:val="bullet"/>
      <w:start w:val="1"/>
    </w:lvl>
  </w:abstractNum>
  <w:abstractNum w:abstractNumId="11">
    <w:nsid w:val="6CEAF087"/>
    <w:multiLevelType w:val="hybridMultilevel"/>
    <w:lvl w:ilvl="0">
      <w:lvlJc w:val="left"/>
      <w:lvlText w:val="%1."/>
      <w:numFmt w:val="decimal"/>
      <w:start w:val="2"/>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lvl w:ilvl="1">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lvl w:ilvl="1">
      <w:lvlJc w:val="left"/>
      <w:lvlText w:val="%2."/>
      <w:numFmt w:val="decimal"/>
      <w:start w:val="1"/>
    </w:lvl>
  </w:abstractNum>
  <w:abstractNum w:abstractNumId="37">
    <w:nsid w:val="57E4CCAF"/>
    <w:multiLevelType w:val="hybridMultilevel"/>
    <w:lvl w:ilvl="0">
      <w:lvlJc w:val="left"/>
      <w:lvlText w:val="%1."/>
      <w:numFmt w:val="decimal"/>
      <w:start w:val="3"/>
    </w:lvl>
    <w:lvl w:ilvl="1">
      <w:lvlJc w:val="left"/>
      <w:lvlText w:val="%2"/>
      <w:numFmt w:val="decimal"/>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decimal"/>
      <w:start w:val="1"/>
    </w:lvl>
    <w:lvl w:ilvl="1">
      <w:lvlJc w:val="left"/>
      <w:lvlText w:val="(%2)"/>
      <w:numFmt w:val="lowerLetter"/>
      <w:start w:val="2"/>
    </w:lvl>
  </w:abstractNum>
  <w:abstractNum w:abstractNumId="42">
    <w:nsid w:val="38437FDB"/>
    <w:multiLevelType w:val="hybridMultilevel"/>
    <w:lvl w:ilvl="0">
      <w:lvlJc w:val="left"/>
      <w:lvlText w:val="%1."/>
      <w:numFmt w:val="decimal"/>
      <w:start w:val="5"/>
    </w:lvl>
    <w:lvl w:ilvl="1">
      <w:lvlJc w:val="left"/>
      <w:lvlText w:val="%2"/>
      <w:numFmt w:val="lowerLetter"/>
      <w:start w:val="1"/>
    </w:lvl>
  </w:abstractNum>
  <w:abstractNum w:abstractNumId="43">
    <w:nsid w:val="7644A45C"/>
    <w:multiLevelType w:val="hybridMultilevel"/>
    <w:lvl w:ilvl="0">
      <w:lvlJc w:val="left"/>
      <w:lvlText w:val="%1."/>
      <w:numFmt w:val="decimal"/>
      <w:start w:val="6"/>
    </w:lvl>
    <w:lvl w:ilvl="1">
      <w:lvlJc w:val="left"/>
      <w:lvlText w:val="%2."/>
      <w:numFmt w:val="decimal"/>
      <w:start w:val="8"/>
    </w:lvl>
  </w:abstractNum>
  <w:abstractNum w:abstractNumId="44">
    <w:nsid w:val="32FFF902"/>
    <w:multiLevelType w:val="hybridMultilevel"/>
    <w:lvl w:ilvl="0">
      <w:lvlJc w:val="left"/>
      <w:lvlText w:val="%1"/>
      <w:numFmt w:val="decimal"/>
      <w:start w:val="1"/>
    </w:lvl>
    <w:lvl w:ilvl="1">
      <w:lvlJc w:val="left"/>
      <w:lvlText w:val="%2"/>
      <w:numFmt w:val="decimal"/>
      <w:start w:val="1"/>
    </w:lvl>
    <w:lvl w:ilvl="2">
      <w:lvlJc w:val="left"/>
      <w:lvlText w:val="%3."/>
      <w:numFmt w:val="decimal"/>
      <w:start w:val="9"/>
    </w:lvl>
  </w:abstractNum>
  <w:abstractNum w:abstractNumId="45">
    <w:nsid w:val="684A481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6">
    <w:nsid w:val="579478FE"/>
    <w:multiLevelType w:val="hybridMultilevel"/>
    <w:lvl w:ilvl="0">
      <w:lvlJc w:val="left"/>
      <w:lvlText w:val="%1."/>
      <w:numFmt w:val="decimal"/>
      <w:start w:val="12"/>
    </w:lvl>
    <w:lvl w:ilvl="1">
      <w:lvlJc w:val="left"/>
      <w:lvlText w:val="%2"/>
      <w:numFmt w:val="decimal"/>
      <w:start w:val="1"/>
    </w:lvl>
    <w:lvl w:ilvl="2">
      <w:lvlJc w:val="left"/>
      <w:lvlText w:val="%3"/>
      <w:numFmt w:val="decimal"/>
      <w:start w:val="1"/>
    </w:lvl>
  </w:abstractNum>
  <w:abstractNum w:abstractNumId="47">
    <w:nsid w:val="749ABB43"/>
    <w:multiLevelType w:val="hybridMultilevel"/>
    <w:lvl w:ilvl="0">
      <w:lvlJc w:val="left"/>
      <w:lvlText w:val="%1."/>
      <w:numFmt w:val="decimal"/>
      <w:start w:val="14"/>
    </w:lvl>
    <w:lvl w:ilvl="1">
      <w:lvlJc w:val="left"/>
      <w:lvlText w:val="%2."/>
      <w:numFmt w:val="decimal"/>
      <w:start w:val="16"/>
    </w:lvl>
    <w:lvl w:ilvl="2">
      <w:lvlJc w:val="left"/>
      <w:lvlText w:val="%3."/>
      <w:numFmt w:val="decimal"/>
      <w:start w:val="19"/>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85" Type="http://schemas.openxmlformats.org/officeDocument/2006/relationships/hyperlink" Target="http://www.sec.gov/Archives/edgar/data/1280058/000128005817000026/a2017q210-qexx10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2021-05-04T07:18:40Z</dcterms:created>
  <dcterms:modified xsi:type="dcterms:W3CDTF">2021-05-04T07:18:40Z</dcterms:modified>
</cp:coreProperties>
</file>