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0001601818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99"/>
        <w:gridCol w:w="3306"/>
      </w:tblGrid>
      <w:tr>
        <w:trPr/>
        <w:tc>
          <w:tcPr>
            <w:tcW w:w="6899" w:type="dxa"/>
            <w:tcBorders/>
            <w:vAlign w:val="center"/>
          </w:tcPr>
          <w:p>
            <w:pPr>
              <w:pStyle w:val="TableContents"/>
              <w:bidi w:val="0"/>
              <w:spacing w:before="0" w:after="283"/>
              <w:jc w:val="left"/>
              <w:rPr/>
            </w:pPr>
            <w:r>
              <w:rPr/>
              <w:t>Name of Issuer</w:t>
            </w:r>
          </w:p>
        </w:tc>
        <w:tc>
          <w:tcPr>
            <w:tcW w:w="3306" w:type="dxa"/>
            <w:tcBorders/>
            <w:vAlign w:val="center"/>
          </w:tcPr>
          <w:p>
            <w:pPr>
              <w:pStyle w:val="TableContents"/>
              <w:bidi w:val="0"/>
              <w:spacing w:before="0" w:after="0"/>
              <w:jc w:val="left"/>
              <w:rPr/>
            </w:pPr>
            <w:r>
              <w:rPr/>
              <w:t>Blackbaud Inc</w:t>
            </w:r>
          </w:p>
        </w:tc>
      </w:tr>
      <w:tr>
        <w:trPr/>
        <w:tc>
          <w:tcPr>
            <w:tcW w:w="6899" w:type="dxa"/>
            <w:tcBorders/>
            <w:vAlign w:val="center"/>
          </w:tcPr>
          <w:p>
            <w:pPr>
              <w:pStyle w:val="TableContents"/>
              <w:bidi w:val="0"/>
              <w:spacing w:before="0" w:after="283"/>
              <w:jc w:val="left"/>
              <w:rPr/>
            </w:pPr>
            <w:r>
              <w:rPr/>
              <w:t>SEC File Number</w:t>
            </w:r>
          </w:p>
        </w:tc>
        <w:tc>
          <w:tcPr>
            <w:tcW w:w="3306" w:type="dxa"/>
            <w:tcBorders/>
            <w:vAlign w:val="center"/>
          </w:tcPr>
          <w:p>
            <w:pPr>
              <w:pStyle w:val="TableContents"/>
              <w:bidi w:val="0"/>
              <w:spacing w:before="0" w:after="0"/>
              <w:jc w:val="left"/>
              <w:rPr/>
            </w:pPr>
            <w:r>
              <w:rPr/>
              <w:t>001-41527</w:t>
            </w:r>
          </w:p>
        </w:tc>
      </w:tr>
      <w:tr>
        <w:trPr/>
        <w:tc>
          <w:tcPr>
            <w:tcW w:w="6899" w:type="dxa"/>
            <w:tcBorders/>
            <w:vAlign w:val="center"/>
          </w:tcPr>
          <w:p>
            <w:pPr>
              <w:pStyle w:val="TableContents"/>
              <w:bidi w:val="0"/>
              <w:spacing w:before="0" w:after="283"/>
              <w:jc w:val="left"/>
              <w:rPr/>
            </w:pPr>
            <w:r>
              <w:rPr/>
              <w:t>Address of Issuer</w:t>
            </w:r>
          </w:p>
        </w:tc>
        <w:tc>
          <w:tcPr>
            <w:tcW w:w="3306" w:type="dxa"/>
            <w:tcBorders/>
            <w:vAlign w:val="center"/>
          </w:tcPr>
          <w:p>
            <w:pPr>
              <w:pStyle w:val="TableContents"/>
              <w:bidi w:val="0"/>
              <w:spacing w:before="0" w:after="0"/>
              <w:jc w:val="left"/>
              <w:rPr/>
            </w:pPr>
            <w:r>
              <w:rPr/>
              <w:t>65 Fairchild Street</w:t>
              <w:br/>
              <w:t>Charleston</w:t>
              <w:br/>
              <w:t xml:space="preserve">SOUTH CAROLINA </w:t>
              <w:br/>
              <w:t>29492</w:t>
            </w:r>
          </w:p>
        </w:tc>
      </w:tr>
      <w:tr>
        <w:trPr/>
        <w:tc>
          <w:tcPr>
            <w:tcW w:w="6899" w:type="dxa"/>
            <w:tcBorders/>
            <w:vAlign w:val="center"/>
          </w:tcPr>
          <w:p>
            <w:pPr>
              <w:pStyle w:val="TableContents"/>
              <w:bidi w:val="0"/>
              <w:spacing w:before="0" w:after="283"/>
              <w:jc w:val="left"/>
              <w:rPr/>
            </w:pPr>
            <w:r>
              <w:rPr/>
              <w:t>Phone</w:t>
            </w:r>
          </w:p>
        </w:tc>
        <w:tc>
          <w:tcPr>
            <w:tcW w:w="3306" w:type="dxa"/>
            <w:tcBorders/>
            <w:vAlign w:val="center"/>
          </w:tcPr>
          <w:p>
            <w:pPr>
              <w:pStyle w:val="TableContents"/>
              <w:bidi w:val="0"/>
              <w:spacing w:before="0" w:after="0"/>
              <w:jc w:val="left"/>
              <w:rPr/>
            </w:pPr>
            <w:r>
              <w:rPr/>
              <w:t>843-216-6200</w:t>
            </w:r>
          </w:p>
        </w:tc>
      </w:tr>
      <w:tr>
        <w:trPr/>
        <w:tc>
          <w:tcPr>
            <w:tcW w:w="6899" w:type="dxa"/>
            <w:tcBorders/>
            <w:vAlign w:val="center"/>
          </w:tcPr>
          <w:p>
            <w:pPr>
              <w:pStyle w:val="TableContents"/>
              <w:bidi w:val="0"/>
              <w:spacing w:before="0" w:after="283"/>
              <w:jc w:val="left"/>
              <w:rPr/>
            </w:pPr>
            <w:r>
              <w:rPr/>
              <w:t>Name of Person for Whose Account the Securities are To Be Sold</w:t>
            </w:r>
          </w:p>
        </w:tc>
        <w:tc>
          <w:tcPr>
            <w:tcW w:w="3306" w:type="dxa"/>
            <w:tcBorders/>
            <w:vAlign w:val="center"/>
          </w:tcPr>
          <w:p>
            <w:pPr>
              <w:pStyle w:val="TableContents"/>
              <w:bidi w:val="0"/>
              <w:spacing w:before="0" w:after="0"/>
              <w:jc w:val="left"/>
              <w:rPr/>
            </w:pPr>
            <w:r>
              <w:rPr/>
              <w:t>Kevin Gregoire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99" w:type="dxa"/>
            <w:tcBorders/>
            <w:vAlign w:val="center"/>
          </w:tcPr>
          <w:p>
            <w:pPr>
              <w:pStyle w:val="TableContents"/>
              <w:bidi w:val="0"/>
              <w:spacing w:before="0" w:after="283"/>
              <w:jc w:val="left"/>
              <w:rPr/>
            </w:pPr>
            <w:r>
              <w:rPr/>
              <w:t>Relationship to Issuer</w:t>
            </w:r>
          </w:p>
        </w:tc>
        <w:tc>
          <w:tcPr>
            <w:tcW w:w="330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 Stock</w:t>
            </w:r>
          </w:p>
        </w:tc>
        <w:tc>
          <w:tcPr>
            <w:tcW w:w="1448" w:type="dxa"/>
            <w:tcBorders/>
            <w:vAlign w:val="center"/>
          </w:tcPr>
          <w:p>
            <w:pPr>
              <w:pStyle w:val="TableContents"/>
              <w:bidi w:val="0"/>
              <w:spacing w:before="0" w:after="0"/>
              <w:jc w:val="left"/>
              <w:rPr/>
            </w:pPr>
            <w:r>
              <w:rPr/>
              <w:t>Merrill Lynch</w:t>
              <w:br/>
              <w:t>One Bryant Park</w:t>
              <w:br/>
              <w:t>New York   NY   10036</w:t>
            </w:r>
          </w:p>
        </w:tc>
        <w:tc>
          <w:tcPr>
            <w:tcW w:w="1184" w:type="dxa"/>
            <w:tcBorders/>
            <w:vAlign w:val="center"/>
          </w:tcPr>
          <w:p>
            <w:pPr>
              <w:pStyle w:val="TableContents"/>
              <w:bidi w:val="0"/>
              <w:spacing w:before="0" w:after="283"/>
              <w:jc w:val="left"/>
              <w:rPr/>
            </w:pPr>
            <w:r>
              <w:rPr/>
              <w:t>22000</w:t>
            </w:r>
          </w:p>
        </w:tc>
        <w:tc>
          <w:tcPr>
            <w:tcW w:w="1393" w:type="dxa"/>
            <w:tcBorders/>
            <w:vAlign w:val="center"/>
          </w:tcPr>
          <w:p>
            <w:pPr>
              <w:pStyle w:val="TableContents"/>
              <w:bidi w:val="0"/>
              <w:spacing w:before="0" w:after="283"/>
              <w:jc w:val="left"/>
              <w:rPr/>
            </w:pPr>
            <w:r>
              <w:rPr/>
              <w:t>993520</w:t>
            </w:r>
          </w:p>
        </w:tc>
        <w:tc>
          <w:tcPr>
            <w:tcW w:w="1566" w:type="dxa"/>
            <w:tcBorders/>
            <w:vAlign w:val="center"/>
          </w:tcPr>
          <w:p>
            <w:pPr>
              <w:pStyle w:val="TableContents"/>
              <w:bidi w:val="0"/>
              <w:spacing w:before="0" w:after="283"/>
              <w:jc w:val="left"/>
              <w:rPr/>
            </w:pPr>
            <w:r>
              <w:rPr/>
              <w:t>45390097</w:t>
            </w:r>
          </w:p>
        </w:tc>
        <w:tc>
          <w:tcPr>
            <w:tcW w:w="1575" w:type="dxa"/>
            <w:tcBorders/>
            <w:vAlign w:val="center"/>
          </w:tcPr>
          <w:p>
            <w:pPr>
              <w:pStyle w:val="TableContents"/>
              <w:bidi w:val="0"/>
              <w:spacing w:before="0" w:after="283"/>
              <w:jc w:val="left"/>
              <w:rPr/>
            </w:pPr>
            <w:r>
              <w:rPr/>
              <w:t>08/06/2026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0"/>
        <w:gridCol w:w="1104"/>
        <w:gridCol w:w="1428"/>
        <w:gridCol w:w="1148"/>
        <w:gridCol w:w="515"/>
        <w:gridCol w:w="1104"/>
        <w:gridCol w:w="1148"/>
        <w:gridCol w:w="1045"/>
        <w:gridCol w:w="1623"/>
      </w:tblGrid>
      <w:tr>
        <w:trPr/>
        <w:tc>
          <w:tcPr>
            <w:tcW w:w="1090" w:type="dxa"/>
            <w:tcBorders/>
            <w:vAlign w:val="center"/>
          </w:tcPr>
          <w:p>
            <w:pPr>
              <w:pStyle w:val="TableHeading"/>
              <w:suppressLineNumbers/>
              <w:bidi w:val="0"/>
              <w:spacing w:before="0" w:after="283"/>
              <w:jc w:val="center"/>
              <w:rPr/>
            </w:pPr>
            <w:r>
              <w:rPr/>
              <w:t>Title of the Class</w:t>
            </w:r>
          </w:p>
        </w:tc>
        <w:tc>
          <w:tcPr>
            <w:tcW w:w="1104" w:type="dxa"/>
            <w:tcBorders/>
            <w:vAlign w:val="center"/>
          </w:tcPr>
          <w:p>
            <w:pPr>
              <w:pStyle w:val="TableHeading"/>
              <w:suppressLineNumbers/>
              <w:bidi w:val="0"/>
              <w:spacing w:before="0" w:after="283"/>
              <w:jc w:val="center"/>
              <w:rPr/>
            </w:pPr>
            <w:r>
              <w:rPr/>
              <w:t>Date you Acquired</w:t>
            </w:r>
          </w:p>
        </w:tc>
        <w:tc>
          <w:tcPr>
            <w:tcW w:w="1428" w:type="dxa"/>
            <w:tcBorders/>
            <w:vAlign w:val="center"/>
          </w:tcPr>
          <w:p>
            <w:pPr>
              <w:pStyle w:val="TableHeading"/>
              <w:suppressLineNumbers/>
              <w:bidi w:val="0"/>
              <w:spacing w:before="0" w:after="283"/>
              <w:jc w:val="center"/>
              <w:rPr/>
            </w:pPr>
            <w:r>
              <w:rPr/>
              <w:t>Nature of Acquisition Transaction</w:t>
            </w:r>
          </w:p>
        </w:tc>
        <w:tc>
          <w:tcPr>
            <w:tcW w:w="1148" w:type="dxa"/>
            <w:tcBorders/>
            <w:vAlign w:val="center"/>
          </w:tcPr>
          <w:p>
            <w:pPr>
              <w:pStyle w:val="TableHeading"/>
              <w:suppressLineNumbers/>
              <w:bidi w:val="0"/>
              <w:spacing w:before="0" w:after="283"/>
              <w:jc w:val="center"/>
              <w:rPr/>
            </w:pPr>
            <w:r>
              <w:rPr/>
              <w:t>Name of Person from Whom Acquired</w:t>
            </w:r>
          </w:p>
        </w:tc>
        <w:tc>
          <w:tcPr>
            <w:tcW w:w="515" w:type="dxa"/>
            <w:tcBorders/>
            <w:vAlign w:val="center"/>
          </w:tcPr>
          <w:p>
            <w:pPr>
              <w:pStyle w:val="TableHeading"/>
              <w:suppressLineNumbers/>
              <w:bidi w:val="0"/>
              <w:spacing w:before="0" w:after="283"/>
              <w:jc w:val="center"/>
              <w:rPr/>
            </w:pPr>
            <w:r>
              <w:rPr/>
              <w:t>Is this a Gift?</w:t>
            </w:r>
          </w:p>
        </w:tc>
        <w:tc>
          <w:tcPr>
            <w:tcW w:w="1104" w:type="dxa"/>
            <w:tcBorders/>
            <w:vAlign w:val="center"/>
          </w:tcPr>
          <w:p>
            <w:pPr>
              <w:pStyle w:val="TableHeading"/>
              <w:suppressLineNumbers/>
              <w:bidi w:val="0"/>
              <w:spacing w:before="0" w:after="283"/>
              <w:jc w:val="center"/>
              <w:rPr/>
            </w:pPr>
            <w:r>
              <w:rPr/>
              <w:t>Date Donor Acquired</w:t>
            </w:r>
          </w:p>
        </w:tc>
        <w:tc>
          <w:tcPr>
            <w:tcW w:w="1148" w:type="dxa"/>
            <w:tcBorders/>
            <w:vAlign w:val="center"/>
          </w:tcPr>
          <w:p>
            <w:pPr>
              <w:pStyle w:val="TableHeading"/>
              <w:suppressLineNumbers/>
              <w:bidi w:val="0"/>
              <w:spacing w:before="0" w:after="283"/>
              <w:jc w:val="center"/>
              <w:rPr/>
            </w:pPr>
            <w:r>
              <w:rPr/>
              <w:t>Amount of Securities Acquired</w:t>
            </w:r>
          </w:p>
        </w:tc>
        <w:tc>
          <w:tcPr>
            <w:tcW w:w="1045" w:type="dxa"/>
            <w:tcBorders/>
            <w:vAlign w:val="center"/>
          </w:tcPr>
          <w:p>
            <w:pPr>
              <w:pStyle w:val="TableHeading"/>
              <w:suppressLineNumbers/>
              <w:bidi w:val="0"/>
              <w:spacing w:before="0" w:after="283"/>
              <w:jc w:val="center"/>
              <w:rPr/>
            </w:pPr>
            <w:r>
              <w:rPr/>
              <w:t>Date of Payment</w:t>
            </w:r>
          </w:p>
        </w:tc>
        <w:tc>
          <w:tcPr>
            <w:tcW w:w="1623"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0" w:type="dxa"/>
            <w:tcBorders/>
            <w:vAlign w:val="center"/>
          </w:tcPr>
          <w:p>
            <w:pPr>
              <w:pStyle w:val="TableContents"/>
              <w:bidi w:val="0"/>
              <w:spacing w:before="0" w:after="283"/>
              <w:jc w:val="left"/>
              <w:rPr/>
            </w:pPr>
            <w:r>
              <w:rPr/>
              <w:t>Common Stock</w:t>
            </w:r>
          </w:p>
        </w:tc>
        <w:tc>
          <w:tcPr>
            <w:tcW w:w="1104" w:type="dxa"/>
            <w:tcBorders/>
            <w:vAlign w:val="center"/>
          </w:tcPr>
          <w:p>
            <w:pPr>
              <w:pStyle w:val="TableContents"/>
              <w:bidi w:val="0"/>
              <w:spacing w:before="0" w:after="283"/>
              <w:jc w:val="left"/>
              <w:rPr/>
            </w:pPr>
            <w:r>
              <w:rPr/>
              <w:t>02/18/2025</w:t>
            </w:r>
          </w:p>
        </w:tc>
        <w:tc>
          <w:tcPr>
            <w:tcW w:w="1428" w:type="dxa"/>
            <w:tcBorders/>
            <w:vAlign w:val="center"/>
          </w:tcPr>
          <w:p>
            <w:pPr>
              <w:pStyle w:val="TableContents"/>
              <w:bidi w:val="0"/>
              <w:spacing w:before="0" w:after="283"/>
              <w:jc w:val="left"/>
              <w:rPr/>
            </w:pPr>
            <w:r>
              <w:rPr/>
              <w:t>Restricted Stock Unit Vest</w:t>
            </w:r>
          </w:p>
        </w:tc>
        <w:tc>
          <w:tcPr>
            <w:tcW w:w="1148" w:type="dxa"/>
            <w:tcBorders/>
            <w:vAlign w:val="center"/>
          </w:tcPr>
          <w:p>
            <w:pPr>
              <w:pStyle w:val="TableContents"/>
              <w:bidi w:val="0"/>
              <w:spacing w:before="0" w:after="283"/>
              <w:jc w:val="left"/>
              <w:rPr/>
            </w:pPr>
            <w:r>
              <w:rPr/>
              <w:t>Issuer</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pPr>
            <w:r>
              <w:rPr/>
              <w:t>604</w:t>
            </w:r>
          </w:p>
        </w:tc>
        <w:tc>
          <w:tcPr>
            <w:tcW w:w="1045" w:type="dxa"/>
            <w:tcBorders/>
            <w:vAlign w:val="center"/>
          </w:tcPr>
          <w:p>
            <w:pPr>
              <w:pStyle w:val="TableContents"/>
              <w:bidi w:val="0"/>
              <w:spacing w:before="0" w:after="283"/>
              <w:jc w:val="left"/>
              <w:rPr/>
            </w:pPr>
            <w:r>
              <w:rPr/>
              <w:t>02/18/2025</w:t>
            </w:r>
          </w:p>
        </w:tc>
        <w:tc>
          <w:tcPr>
            <w:tcW w:w="1623" w:type="dxa"/>
            <w:tcBorders/>
            <w:vAlign w:val="center"/>
          </w:tcPr>
          <w:p>
            <w:pPr>
              <w:pStyle w:val="TableContents"/>
              <w:bidi w:val="0"/>
              <w:spacing w:before="0" w:after="283"/>
              <w:jc w:val="left"/>
              <w:rPr/>
            </w:pPr>
            <w:r>
              <w:rPr/>
              <w:t>Compensatory Payment</w:t>
            </w:r>
          </w:p>
        </w:tc>
      </w:tr>
      <w:tr>
        <w:trPr/>
        <w:tc>
          <w:tcPr>
            <w:tcW w:w="1090" w:type="dxa"/>
            <w:tcBorders/>
            <w:vAlign w:val="center"/>
          </w:tcPr>
          <w:p>
            <w:pPr>
              <w:pStyle w:val="TableContents"/>
              <w:bidi w:val="0"/>
              <w:spacing w:before="0" w:after="283"/>
              <w:jc w:val="left"/>
              <w:rPr/>
            </w:pPr>
            <w:r>
              <w:rPr/>
              <w:t>Common Stock</w:t>
            </w:r>
          </w:p>
        </w:tc>
        <w:tc>
          <w:tcPr>
            <w:tcW w:w="1104" w:type="dxa"/>
            <w:tcBorders/>
            <w:vAlign w:val="center"/>
          </w:tcPr>
          <w:p>
            <w:pPr>
              <w:pStyle w:val="TableContents"/>
              <w:bidi w:val="0"/>
              <w:spacing w:before="0" w:after="283"/>
              <w:jc w:val="left"/>
              <w:rPr/>
            </w:pPr>
            <w:r>
              <w:rPr/>
              <w:t>02/19/2025</w:t>
            </w:r>
          </w:p>
        </w:tc>
        <w:tc>
          <w:tcPr>
            <w:tcW w:w="1428" w:type="dxa"/>
            <w:tcBorders/>
            <w:vAlign w:val="center"/>
          </w:tcPr>
          <w:p>
            <w:pPr>
              <w:pStyle w:val="TableContents"/>
              <w:bidi w:val="0"/>
              <w:spacing w:before="0" w:after="283"/>
              <w:jc w:val="left"/>
              <w:rPr/>
            </w:pPr>
            <w:r>
              <w:rPr/>
              <w:t>Restricted Stock Unit Vest</w:t>
            </w:r>
          </w:p>
        </w:tc>
        <w:tc>
          <w:tcPr>
            <w:tcW w:w="1148" w:type="dxa"/>
            <w:tcBorders/>
            <w:vAlign w:val="center"/>
          </w:tcPr>
          <w:p>
            <w:pPr>
              <w:pStyle w:val="TableContents"/>
              <w:bidi w:val="0"/>
              <w:spacing w:before="0" w:after="283"/>
              <w:jc w:val="left"/>
              <w:rPr/>
            </w:pPr>
            <w:r>
              <w:rPr/>
              <w:t>Issuer</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pPr>
            <w:r>
              <w:rPr/>
              <w:t>5461</w:t>
            </w:r>
          </w:p>
        </w:tc>
        <w:tc>
          <w:tcPr>
            <w:tcW w:w="1045" w:type="dxa"/>
            <w:tcBorders/>
            <w:vAlign w:val="center"/>
          </w:tcPr>
          <w:p>
            <w:pPr>
              <w:pStyle w:val="TableContents"/>
              <w:bidi w:val="0"/>
              <w:spacing w:before="0" w:after="283"/>
              <w:jc w:val="left"/>
              <w:rPr/>
            </w:pPr>
            <w:r>
              <w:rPr/>
              <w:t>02/19/2025</w:t>
            </w:r>
          </w:p>
        </w:tc>
        <w:tc>
          <w:tcPr>
            <w:tcW w:w="1623" w:type="dxa"/>
            <w:tcBorders/>
            <w:vAlign w:val="center"/>
          </w:tcPr>
          <w:p>
            <w:pPr>
              <w:pStyle w:val="TableContents"/>
              <w:bidi w:val="0"/>
              <w:spacing w:before="0" w:after="283"/>
              <w:jc w:val="left"/>
              <w:rPr/>
            </w:pPr>
            <w:r>
              <w:rPr/>
              <w:t>Compensatory Payment</w:t>
            </w:r>
          </w:p>
        </w:tc>
      </w:tr>
      <w:tr>
        <w:trPr/>
        <w:tc>
          <w:tcPr>
            <w:tcW w:w="1090" w:type="dxa"/>
            <w:tcBorders/>
            <w:vAlign w:val="center"/>
          </w:tcPr>
          <w:p>
            <w:pPr>
              <w:pStyle w:val="TableContents"/>
              <w:bidi w:val="0"/>
              <w:spacing w:before="0" w:after="283"/>
              <w:jc w:val="left"/>
              <w:rPr/>
            </w:pPr>
            <w:r>
              <w:rPr/>
              <w:t>Common Stock</w:t>
            </w:r>
          </w:p>
        </w:tc>
        <w:tc>
          <w:tcPr>
            <w:tcW w:w="1104" w:type="dxa"/>
            <w:tcBorders/>
            <w:vAlign w:val="center"/>
          </w:tcPr>
          <w:p>
            <w:pPr>
              <w:pStyle w:val="TableContents"/>
              <w:bidi w:val="0"/>
              <w:spacing w:before="0" w:after="283"/>
              <w:jc w:val="left"/>
              <w:rPr/>
            </w:pPr>
            <w:r>
              <w:rPr/>
              <w:t>02/21/2025</w:t>
            </w:r>
          </w:p>
        </w:tc>
        <w:tc>
          <w:tcPr>
            <w:tcW w:w="1428" w:type="dxa"/>
            <w:tcBorders/>
            <w:vAlign w:val="center"/>
          </w:tcPr>
          <w:p>
            <w:pPr>
              <w:pStyle w:val="TableContents"/>
              <w:bidi w:val="0"/>
              <w:spacing w:before="0" w:after="283"/>
              <w:jc w:val="left"/>
              <w:rPr/>
            </w:pPr>
            <w:r>
              <w:rPr/>
              <w:t>Restricted Stock Unit Vest</w:t>
            </w:r>
          </w:p>
        </w:tc>
        <w:tc>
          <w:tcPr>
            <w:tcW w:w="1148" w:type="dxa"/>
            <w:tcBorders/>
            <w:vAlign w:val="center"/>
          </w:tcPr>
          <w:p>
            <w:pPr>
              <w:pStyle w:val="TableContents"/>
              <w:bidi w:val="0"/>
              <w:spacing w:before="0" w:after="283"/>
              <w:jc w:val="left"/>
              <w:rPr/>
            </w:pPr>
            <w:r>
              <w:rPr/>
              <w:t>Issuer</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pPr>
            <w:r>
              <w:rPr/>
              <w:t>6986</w:t>
            </w:r>
          </w:p>
        </w:tc>
        <w:tc>
          <w:tcPr>
            <w:tcW w:w="1045" w:type="dxa"/>
            <w:tcBorders/>
            <w:vAlign w:val="center"/>
          </w:tcPr>
          <w:p>
            <w:pPr>
              <w:pStyle w:val="TableContents"/>
              <w:bidi w:val="0"/>
              <w:spacing w:before="0" w:after="283"/>
              <w:jc w:val="left"/>
              <w:rPr/>
            </w:pPr>
            <w:r>
              <w:rPr/>
              <w:t>02/21/2025</w:t>
            </w:r>
          </w:p>
        </w:tc>
        <w:tc>
          <w:tcPr>
            <w:tcW w:w="1623" w:type="dxa"/>
            <w:tcBorders/>
            <w:vAlign w:val="center"/>
          </w:tcPr>
          <w:p>
            <w:pPr>
              <w:pStyle w:val="TableContents"/>
              <w:bidi w:val="0"/>
              <w:spacing w:before="0" w:after="283"/>
              <w:jc w:val="left"/>
              <w:rPr/>
            </w:pPr>
            <w:r>
              <w:rPr/>
              <w:t>Compensatory Payment</w:t>
            </w:r>
          </w:p>
        </w:tc>
      </w:tr>
      <w:tr>
        <w:trPr/>
        <w:tc>
          <w:tcPr>
            <w:tcW w:w="1090" w:type="dxa"/>
            <w:tcBorders/>
            <w:vAlign w:val="center"/>
          </w:tcPr>
          <w:p>
            <w:pPr>
              <w:pStyle w:val="TableContents"/>
              <w:bidi w:val="0"/>
              <w:spacing w:before="0" w:after="283"/>
              <w:jc w:val="left"/>
              <w:rPr/>
            </w:pPr>
            <w:r>
              <w:rPr/>
              <w:t>Common Stock</w:t>
            </w:r>
          </w:p>
        </w:tc>
        <w:tc>
          <w:tcPr>
            <w:tcW w:w="1104" w:type="dxa"/>
            <w:tcBorders/>
            <w:vAlign w:val="center"/>
          </w:tcPr>
          <w:p>
            <w:pPr>
              <w:pStyle w:val="TableContents"/>
              <w:bidi w:val="0"/>
              <w:spacing w:before="0" w:after="283"/>
              <w:jc w:val="left"/>
              <w:rPr/>
            </w:pPr>
            <w:r>
              <w:rPr/>
              <w:t>02/22/2025</w:t>
            </w:r>
          </w:p>
        </w:tc>
        <w:tc>
          <w:tcPr>
            <w:tcW w:w="1428" w:type="dxa"/>
            <w:tcBorders/>
            <w:vAlign w:val="center"/>
          </w:tcPr>
          <w:p>
            <w:pPr>
              <w:pStyle w:val="TableContents"/>
              <w:bidi w:val="0"/>
              <w:spacing w:before="0" w:after="283"/>
              <w:jc w:val="left"/>
              <w:rPr/>
            </w:pPr>
            <w:r>
              <w:rPr/>
              <w:t>Restricted Stock Unit Vest</w:t>
            </w:r>
          </w:p>
        </w:tc>
        <w:tc>
          <w:tcPr>
            <w:tcW w:w="1148" w:type="dxa"/>
            <w:tcBorders/>
            <w:vAlign w:val="center"/>
          </w:tcPr>
          <w:p>
            <w:pPr>
              <w:pStyle w:val="TableContents"/>
              <w:bidi w:val="0"/>
              <w:spacing w:before="0" w:after="283"/>
              <w:jc w:val="left"/>
              <w:rPr/>
            </w:pPr>
            <w:r>
              <w:rPr/>
              <w:t>Issuer</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pPr>
            <w:r>
              <w:rPr/>
              <w:t>1977</w:t>
            </w:r>
          </w:p>
        </w:tc>
        <w:tc>
          <w:tcPr>
            <w:tcW w:w="1045" w:type="dxa"/>
            <w:tcBorders/>
            <w:vAlign w:val="center"/>
          </w:tcPr>
          <w:p>
            <w:pPr>
              <w:pStyle w:val="TableContents"/>
              <w:bidi w:val="0"/>
              <w:spacing w:before="0" w:after="283"/>
              <w:jc w:val="left"/>
              <w:rPr/>
            </w:pPr>
            <w:r>
              <w:rPr/>
              <w:t>08/06/2025</w:t>
            </w:r>
          </w:p>
        </w:tc>
        <w:tc>
          <w:tcPr>
            <w:tcW w:w="1623" w:type="dxa"/>
            <w:tcBorders/>
            <w:vAlign w:val="center"/>
          </w:tcPr>
          <w:p>
            <w:pPr>
              <w:pStyle w:val="TableContents"/>
              <w:bidi w:val="0"/>
              <w:spacing w:before="0" w:after="283"/>
              <w:jc w:val="left"/>
              <w:rPr/>
            </w:pPr>
            <w:r>
              <w:rPr/>
              <w:t>Compensatory Payment</w:t>
            </w:r>
          </w:p>
        </w:tc>
      </w:tr>
      <w:tr>
        <w:trPr/>
        <w:tc>
          <w:tcPr>
            <w:tcW w:w="1090" w:type="dxa"/>
            <w:tcBorders/>
            <w:vAlign w:val="center"/>
          </w:tcPr>
          <w:p>
            <w:pPr>
              <w:pStyle w:val="TableContents"/>
              <w:bidi w:val="0"/>
              <w:spacing w:before="0" w:after="283"/>
              <w:jc w:val="left"/>
              <w:rPr/>
            </w:pPr>
            <w:r>
              <w:rPr/>
              <w:t>Common Stock</w:t>
            </w:r>
          </w:p>
        </w:tc>
        <w:tc>
          <w:tcPr>
            <w:tcW w:w="1104" w:type="dxa"/>
            <w:tcBorders/>
            <w:vAlign w:val="center"/>
          </w:tcPr>
          <w:p>
            <w:pPr>
              <w:pStyle w:val="TableContents"/>
              <w:bidi w:val="0"/>
              <w:spacing w:before="0" w:after="283"/>
              <w:jc w:val="left"/>
              <w:rPr/>
            </w:pPr>
            <w:r>
              <w:rPr/>
              <w:t>02/24/2025</w:t>
            </w:r>
          </w:p>
        </w:tc>
        <w:tc>
          <w:tcPr>
            <w:tcW w:w="1428" w:type="dxa"/>
            <w:tcBorders/>
            <w:vAlign w:val="center"/>
          </w:tcPr>
          <w:p>
            <w:pPr>
              <w:pStyle w:val="TableContents"/>
              <w:bidi w:val="0"/>
              <w:spacing w:before="0" w:after="283"/>
              <w:jc w:val="left"/>
              <w:rPr/>
            </w:pPr>
            <w:r>
              <w:rPr/>
              <w:t>Restricted Stock Unit Vest</w:t>
            </w:r>
          </w:p>
        </w:tc>
        <w:tc>
          <w:tcPr>
            <w:tcW w:w="1148" w:type="dxa"/>
            <w:tcBorders/>
            <w:vAlign w:val="center"/>
          </w:tcPr>
          <w:p>
            <w:pPr>
              <w:pStyle w:val="TableContents"/>
              <w:bidi w:val="0"/>
              <w:spacing w:before="0" w:after="283"/>
              <w:jc w:val="left"/>
              <w:rPr/>
            </w:pPr>
            <w:r>
              <w:rPr/>
              <w:t>Issuer</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pPr>
            <w:r>
              <w:rPr/>
              <w:t>5353</w:t>
            </w:r>
          </w:p>
        </w:tc>
        <w:tc>
          <w:tcPr>
            <w:tcW w:w="1045" w:type="dxa"/>
            <w:tcBorders/>
            <w:vAlign w:val="center"/>
          </w:tcPr>
          <w:p>
            <w:pPr>
              <w:pStyle w:val="TableContents"/>
              <w:bidi w:val="0"/>
              <w:spacing w:before="0" w:after="283"/>
              <w:jc w:val="left"/>
              <w:rPr/>
            </w:pPr>
            <w:r>
              <w:rPr/>
              <w:t>02/24/2025</w:t>
            </w:r>
          </w:p>
        </w:tc>
        <w:tc>
          <w:tcPr>
            <w:tcW w:w="1623" w:type="dxa"/>
            <w:tcBorders/>
            <w:vAlign w:val="center"/>
          </w:tcPr>
          <w:p>
            <w:pPr>
              <w:pStyle w:val="TableContents"/>
              <w:bidi w:val="0"/>
              <w:spacing w:before="0" w:after="283"/>
              <w:jc w:val="left"/>
              <w:rPr/>
            </w:pPr>
            <w:r>
              <w:rPr/>
              <w:t>Compensatory Payment</w:t>
            </w:r>
          </w:p>
        </w:tc>
      </w:tr>
      <w:tr>
        <w:trPr/>
        <w:tc>
          <w:tcPr>
            <w:tcW w:w="1090" w:type="dxa"/>
            <w:tcBorders/>
            <w:vAlign w:val="center"/>
          </w:tcPr>
          <w:p>
            <w:pPr>
              <w:pStyle w:val="TableContents"/>
              <w:bidi w:val="0"/>
              <w:spacing w:before="0" w:after="283"/>
              <w:jc w:val="left"/>
              <w:rPr/>
            </w:pPr>
            <w:r>
              <w:rPr/>
              <w:t>Common Stock</w:t>
            </w:r>
          </w:p>
        </w:tc>
        <w:tc>
          <w:tcPr>
            <w:tcW w:w="1104" w:type="dxa"/>
            <w:tcBorders/>
            <w:vAlign w:val="center"/>
          </w:tcPr>
          <w:p>
            <w:pPr>
              <w:pStyle w:val="TableContents"/>
              <w:bidi w:val="0"/>
              <w:spacing w:before="0" w:after="283"/>
              <w:jc w:val="left"/>
              <w:rPr/>
            </w:pPr>
            <w:r>
              <w:rPr/>
              <w:t>02/13/2026</w:t>
            </w:r>
          </w:p>
        </w:tc>
        <w:tc>
          <w:tcPr>
            <w:tcW w:w="1428" w:type="dxa"/>
            <w:tcBorders/>
            <w:vAlign w:val="center"/>
          </w:tcPr>
          <w:p>
            <w:pPr>
              <w:pStyle w:val="TableContents"/>
              <w:bidi w:val="0"/>
              <w:spacing w:before="0" w:after="283"/>
              <w:jc w:val="left"/>
              <w:rPr/>
            </w:pPr>
            <w:r>
              <w:rPr/>
              <w:t>Restricted Stock Unit Vest</w:t>
            </w:r>
          </w:p>
        </w:tc>
        <w:tc>
          <w:tcPr>
            <w:tcW w:w="1148" w:type="dxa"/>
            <w:tcBorders/>
            <w:vAlign w:val="center"/>
          </w:tcPr>
          <w:p>
            <w:pPr>
              <w:pStyle w:val="TableContents"/>
              <w:bidi w:val="0"/>
              <w:spacing w:before="0" w:after="283"/>
              <w:jc w:val="left"/>
              <w:rPr/>
            </w:pPr>
            <w:r>
              <w:rPr/>
              <w:t>Issuer</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0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pPr>
            <w:r>
              <w:rPr/>
              <w:t>1619</w:t>
            </w:r>
          </w:p>
        </w:tc>
        <w:tc>
          <w:tcPr>
            <w:tcW w:w="1045" w:type="dxa"/>
            <w:tcBorders/>
            <w:vAlign w:val="center"/>
          </w:tcPr>
          <w:p>
            <w:pPr>
              <w:pStyle w:val="TableContents"/>
              <w:bidi w:val="0"/>
              <w:spacing w:before="0" w:after="283"/>
              <w:jc w:val="left"/>
              <w:rPr/>
            </w:pPr>
            <w:r>
              <w:rPr/>
              <w:t>02/13/2026</w:t>
            </w:r>
          </w:p>
        </w:tc>
        <w:tc>
          <w:tcPr>
            <w:tcW w:w="1623" w:type="dxa"/>
            <w:tcBorders/>
            <w:vAlign w:val="center"/>
          </w:tcPr>
          <w:p>
            <w:pPr>
              <w:pStyle w:val="TableContents"/>
              <w:bidi w:val="0"/>
              <w:spacing w:before="0" w:after="283"/>
              <w:jc w:val="left"/>
              <w:rPr/>
            </w:pPr>
            <w:r>
              <w:rPr/>
              <w:t>Compensatory Payment</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953"/>
        <w:gridCol w:w="5252"/>
      </w:tblGrid>
      <w:tr>
        <w:trPr/>
        <w:tc>
          <w:tcPr>
            <w:tcW w:w="4953" w:type="dxa"/>
            <w:tcBorders/>
            <w:vAlign w:val="center"/>
          </w:tcPr>
          <w:p>
            <w:pPr>
              <w:pStyle w:val="TableContents"/>
              <w:bidi w:val="0"/>
              <w:spacing w:before="0" w:after="283"/>
              <w:jc w:val="left"/>
              <w:rPr/>
            </w:pPr>
            <w:r>
              <w:rPr/>
              <w:t>Remarks</w:t>
            </w:r>
          </w:p>
        </w:tc>
        <w:tc>
          <w:tcPr>
            <w:tcW w:w="5252" w:type="dxa"/>
            <w:tcBorders/>
            <w:vAlign w:val="center"/>
          </w:tcPr>
          <w:p>
            <w:pPr>
              <w:pStyle w:val="TableContents"/>
              <w:bidi w:val="0"/>
              <w:spacing w:before="0" w:after="283"/>
              <w:jc w:val="left"/>
              <w:rPr>
                <w:sz w:val="4"/>
                <w:szCs w:val="4"/>
              </w:rPr>
            </w:pPr>
            <w:r>
              <w:rPr>
                <w:sz w:val="4"/>
                <w:szCs w:val="4"/>
              </w:rPr>
            </w:r>
          </w:p>
        </w:tc>
      </w:tr>
      <w:tr>
        <w:trPr/>
        <w:tc>
          <w:tcPr>
            <w:tcW w:w="4953" w:type="dxa"/>
            <w:tcBorders/>
            <w:vAlign w:val="center"/>
          </w:tcPr>
          <w:p>
            <w:pPr>
              <w:pStyle w:val="TableContents"/>
              <w:bidi w:val="0"/>
              <w:spacing w:before="0" w:after="283"/>
              <w:jc w:val="left"/>
              <w:rPr/>
            </w:pPr>
            <w:r>
              <w:rPr/>
              <w:t>Date of Notice</w:t>
            </w:r>
          </w:p>
        </w:tc>
        <w:tc>
          <w:tcPr>
            <w:tcW w:w="5252" w:type="dxa"/>
            <w:tcBorders/>
            <w:vAlign w:val="center"/>
          </w:tcPr>
          <w:p>
            <w:pPr>
              <w:pStyle w:val="TableContents"/>
              <w:bidi w:val="0"/>
              <w:spacing w:before="0" w:after="0"/>
              <w:jc w:val="left"/>
              <w:rPr/>
            </w:pPr>
            <w:r>
              <w:rPr/>
              <w:t>08/06/2026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53" w:type="dxa"/>
            <w:tcBorders/>
            <w:vAlign w:val="center"/>
          </w:tcPr>
          <w:p>
            <w:pPr>
              <w:pStyle w:val="TableContents"/>
              <w:bidi w:val="0"/>
              <w:spacing w:before="0" w:after="283"/>
              <w:jc w:val="left"/>
              <w:rPr/>
            </w:pPr>
            <w:r>
              <w:rPr/>
              <w:t>Signature</w:t>
            </w:r>
          </w:p>
        </w:tc>
        <w:tc>
          <w:tcPr>
            <w:tcW w:w="5252" w:type="dxa"/>
            <w:tcBorders/>
            <w:vAlign w:val="center"/>
          </w:tcPr>
          <w:p>
            <w:pPr>
              <w:pStyle w:val="TableContents"/>
              <w:bidi w:val="0"/>
              <w:spacing w:before="0" w:after="0"/>
              <w:jc w:val="left"/>
              <w:rPr/>
            </w:pPr>
            <w:r>
              <w:rPr/>
              <w:t>Kevin Gregoire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630</Words>
  <Characters>3290</Characters>
  <CharactersWithSpaces>3831</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