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51555C"/>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51555C"/>
        </w:rPr>
        <w:t>SECURITIES AND EXCHANGE COMMISSION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51555C"/>
        </w:rPr>
        <w:t>FORM 10-Q</w:t>
      </w:r>
    </w:p>
    <w:p>
      <w:pPr>
        <w:spacing w:after="0" w:line="224" w:lineRule="exact"/>
        <w:rPr>
          <w:sz w:val="24"/>
          <w:szCs w:val="24"/>
          <w:color w:val="auto"/>
        </w:rPr>
      </w:pPr>
    </w:p>
    <w:p>
      <w:pPr>
        <w:ind w:left="720" w:right="3960" w:hanging="561"/>
        <w:spacing w:after="0" w:line="349" w:lineRule="auto"/>
        <w:tabs>
          <w:tab w:leader="none" w:pos="504" w:val="left"/>
        </w:tabs>
        <w:numPr>
          <w:ilvl w:val="0"/>
          <w:numId w:val="1"/>
        </w:numPr>
        <w:rPr>
          <w:rFonts w:ascii="MS PGothic" w:cs="MS PGothic" w:eastAsia="MS PGothic" w:hAnsi="MS PGothic"/>
          <w:sz w:val="20"/>
          <w:szCs w:val="20"/>
          <w:color w:val="51555C"/>
        </w:rPr>
      </w:pPr>
      <w:r>
        <w:rPr>
          <w:rFonts w:ascii="Arial" w:cs="Arial" w:eastAsia="Arial" w:hAnsi="Arial"/>
          <w:sz w:val="16"/>
          <w:szCs w:val="16"/>
          <w:b w:val="1"/>
          <w:bCs w:val="1"/>
          <w:color w:val="51555C"/>
        </w:rPr>
        <w:t xml:space="preserve">QUARTERLY REPORT PURSUANT TO SECTION 13 OR 15(d) OF THE SECURITIES EXCHANGE ACT OF 1934 </w:t>
      </w:r>
      <w:r>
        <w:rPr>
          <w:rFonts w:ascii="Arial" w:cs="Arial" w:eastAsia="Arial" w:hAnsi="Arial"/>
          <w:sz w:val="16"/>
          <w:szCs w:val="16"/>
          <w:color w:val="51555C"/>
        </w:rPr>
        <w:t>For the quarterly period ended June 30, 2023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51555C"/>
        </w:rPr>
        <w:t>or</w:t>
      </w:r>
    </w:p>
    <w:p>
      <w:pPr>
        <w:spacing w:after="0" w:line="140" w:lineRule="exact"/>
        <w:rPr>
          <w:sz w:val="24"/>
          <w:szCs w:val="24"/>
          <w:color w:val="auto"/>
        </w:rPr>
      </w:pPr>
    </w:p>
    <w:p>
      <w:pPr>
        <w:ind w:left="500" w:hanging="341"/>
        <w:spacing w:after="0"/>
        <w:tabs>
          <w:tab w:leader="none" w:pos="500" w:val="left"/>
        </w:tabs>
        <w:numPr>
          <w:ilvl w:val="0"/>
          <w:numId w:val="2"/>
        </w:numPr>
        <w:rPr>
          <w:rFonts w:ascii="MS PGothic" w:cs="MS PGothic" w:eastAsia="MS PGothic" w:hAnsi="MS PGothic"/>
          <w:sz w:val="20"/>
          <w:szCs w:val="20"/>
          <w:color w:val="51555C"/>
        </w:rPr>
      </w:pPr>
      <w:r>
        <w:rPr>
          <w:rFonts w:ascii="Arial" w:cs="Arial" w:eastAsia="Arial" w:hAnsi="Arial"/>
          <w:sz w:val="16"/>
          <w:szCs w:val="16"/>
          <w:b w:val="1"/>
          <w:bCs w:val="1"/>
          <w:color w:val="51555C"/>
        </w:rPr>
        <w:t>TRANSITION REPORT PURSUANT TO SECTION 13 OR 15(d) OF THE SECURITIES EXCHANGE ACT OF 1934</w:t>
      </w:r>
    </w:p>
    <w:p>
      <w:pPr>
        <w:spacing w:after="0" w:line="75" w:lineRule="exact"/>
        <w:rPr>
          <w:sz w:val="24"/>
          <w:szCs w:val="24"/>
          <w:color w:val="auto"/>
        </w:rPr>
      </w:pPr>
    </w:p>
    <w:p>
      <w:pPr>
        <w:ind w:left="720"/>
        <w:spacing w:after="0"/>
        <w:tabs>
          <w:tab w:leader="none" w:pos="3420" w:val="left"/>
          <w:tab w:leader="none" w:pos="4340" w:val="left"/>
        </w:tabs>
        <w:rPr>
          <w:sz w:val="20"/>
          <w:szCs w:val="20"/>
          <w:color w:val="auto"/>
        </w:rPr>
      </w:pPr>
      <w:r>
        <w:rPr>
          <w:rFonts w:ascii="Arial" w:cs="Arial" w:eastAsia="Arial" w:hAnsi="Arial"/>
          <w:sz w:val="16"/>
          <w:szCs w:val="16"/>
          <w:color w:val="51555C"/>
        </w:rPr>
        <w:t>For the transiton period from</w:t>
      </w:r>
      <w:r>
        <w:rPr>
          <w:sz w:val="20"/>
          <w:szCs w:val="20"/>
          <w:color w:val="auto"/>
        </w:rPr>
        <w:tab/>
      </w:r>
      <w:r>
        <w:rPr>
          <w:rFonts w:ascii="Arial" w:cs="Arial" w:eastAsia="Arial" w:hAnsi="Arial"/>
          <w:sz w:val="16"/>
          <w:szCs w:val="16"/>
          <w:color w:val="51555C"/>
        </w:rPr>
        <w:t>to</w:t>
      </w:r>
      <w:r>
        <w:rPr>
          <w:sz w:val="20"/>
          <w:szCs w:val="20"/>
          <w:color w:val="auto"/>
        </w:rPr>
        <w:tab/>
      </w:r>
      <w:r>
        <w:rPr>
          <w:rFonts w:ascii="Arial" w:cs="Arial" w:eastAsia="Arial" w:hAnsi="Arial"/>
          <w:sz w:val="14"/>
          <w:szCs w:val="14"/>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1724660</wp:posOffset>
            </wp:positionH>
            <wp:positionV relativeFrom="paragraph">
              <wp:posOffset>-10160</wp:posOffset>
            </wp:positionV>
            <wp:extent cx="1041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color w:val="51555C"/>
        </w:rPr>
        <w:t xml:space="preserve">Commission fle number: </w:t>
      </w:r>
      <w:r>
        <w:rPr>
          <w:rFonts w:ascii="Arial" w:cs="Arial" w:eastAsia="Arial" w:hAnsi="Arial"/>
          <w:sz w:val="16"/>
          <w:szCs w:val="16"/>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184150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51555C"/>
        </w:rPr>
        <w:t>Blackbaud,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color w:val="51555C"/>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560" w:type="dxa"/>
            <w:vAlign w:val="bottom"/>
          </w:tcPr>
          <w:p>
            <w:pPr>
              <w:spacing w:after="0"/>
              <w:rPr>
                <w:sz w:val="17"/>
                <w:szCs w:val="17"/>
                <w:color w:val="auto"/>
              </w:rPr>
            </w:pPr>
          </w:p>
        </w:tc>
        <w:tc>
          <w:tcPr>
            <w:tcW w:w="194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51555C"/>
                <w:w w:val="91"/>
              </w:rPr>
              <w:t>Delaware</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580" w:type="dxa"/>
            <w:vAlign w:val="bottom"/>
            <w:gridSpan w:val="2"/>
          </w:tcPr>
          <w:p>
            <w:pPr>
              <w:jc w:val="right"/>
              <w:ind w:right="1659"/>
              <w:spacing w:after="0"/>
              <w:rPr>
                <w:sz w:val="20"/>
                <w:szCs w:val="20"/>
                <w:color w:val="auto"/>
              </w:rPr>
            </w:pPr>
            <w:r>
              <w:rPr>
                <w:rFonts w:ascii="Arial" w:cs="Arial" w:eastAsia="Arial" w:hAnsi="Arial"/>
                <w:sz w:val="16"/>
                <w:szCs w:val="16"/>
                <w:b w:val="1"/>
                <w:bCs w:val="1"/>
                <w:color w:val="51555C"/>
              </w:rPr>
              <w:t>11-2617163</w:t>
            </w:r>
          </w:p>
        </w:tc>
        <w:tc>
          <w:tcPr>
            <w:tcW w:w="620" w:type="dxa"/>
            <w:vAlign w:val="bottom"/>
          </w:tcPr>
          <w:p>
            <w:pPr>
              <w:spacing w:after="0"/>
              <w:rPr>
                <w:sz w:val="17"/>
                <w:szCs w:val="17"/>
                <w:color w:val="auto"/>
              </w:rPr>
            </w:pPr>
          </w:p>
        </w:tc>
      </w:tr>
      <w:tr>
        <w:trPr>
          <w:trHeight w:val="241"/>
        </w:trPr>
        <w:tc>
          <w:tcPr>
            <w:tcW w:w="7040" w:type="dxa"/>
            <w:vAlign w:val="bottom"/>
            <w:gridSpan w:val="6"/>
          </w:tcPr>
          <w:p>
            <w:pPr>
              <w:jc w:val="center"/>
              <w:ind w:right="1300"/>
              <w:spacing w:after="0"/>
              <w:rPr>
                <w:sz w:val="20"/>
                <w:szCs w:val="20"/>
                <w:color w:val="auto"/>
              </w:rPr>
            </w:pPr>
            <w:r>
              <w:rPr>
                <w:rFonts w:ascii="Arial" w:cs="Arial" w:eastAsia="Arial" w:hAnsi="Arial"/>
                <w:sz w:val="16"/>
                <w:szCs w:val="16"/>
                <w:color w:val="51555C"/>
                <w:w w:val="97"/>
              </w:rPr>
              <w:t>(State or other jurisdicton of incorporaton or organizaton)</w:t>
            </w:r>
          </w:p>
        </w:tc>
        <w:tc>
          <w:tcPr>
            <w:tcW w:w="4200" w:type="dxa"/>
            <w:vAlign w:val="bottom"/>
            <w:gridSpan w:val="3"/>
          </w:tcPr>
          <w:p>
            <w:pPr>
              <w:jc w:val="center"/>
              <w:ind w:right="1300"/>
              <w:spacing w:after="0"/>
              <w:rPr>
                <w:sz w:val="20"/>
                <w:szCs w:val="20"/>
                <w:color w:val="auto"/>
              </w:rPr>
            </w:pPr>
            <w:r>
              <w:rPr>
                <w:rFonts w:ascii="Arial" w:cs="Arial" w:eastAsia="Arial" w:hAnsi="Arial"/>
                <w:sz w:val="16"/>
                <w:szCs w:val="16"/>
                <w:color w:val="51555C"/>
                <w:w w:val="95"/>
              </w:rPr>
              <w:t>(I.R.S. Employer Identfcaton No.)</w:t>
            </w:r>
          </w:p>
        </w:tc>
      </w:tr>
      <w:tr>
        <w:trPr>
          <w:trHeight w:val="310"/>
        </w:trPr>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51555C"/>
                <w:w w:val="86"/>
              </w:rPr>
              <w:t>65 Fairchild Street</w:t>
            </w:r>
          </w:p>
        </w:tc>
        <w:tc>
          <w:tcPr>
            <w:tcW w:w="6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9"/>
        </w:trPr>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4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51555C"/>
                <w:w w:val="87"/>
              </w:rPr>
              <w:t>Charleston, South Carolina 29492</w:t>
            </w:r>
          </w:p>
        </w:tc>
        <w:tc>
          <w:tcPr>
            <w:tcW w:w="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740" w:type="dxa"/>
            <w:vAlign w:val="bottom"/>
            <w:gridSpan w:val="6"/>
          </w:tcPr>
          <w:p>
            <w:pPr>
              <w:jc w:val="center"/>
              <w:ind w:right="3480"/>
              <w:spacing w:after="0"/>
              <w:rPr>
                <w:sz w:val="20"/>
                <w:szCs w:val="20"/>
                <w:color w:val="auto"/>
              </w:rPr>
            </w:pPr>
            <w:r>
              <w:rPr>
                <w:rFonts w:ascii="Arial" w:cs="Arial" w:eastAsia="Arial" w:hAnsi="Arial"/>
                <w:sz w:val="16"/>
                <w:szCs w:val="16"/>
                <w:color w:val="51555C"/>
                <w:w w:val="94"/>
              </w:rPr>
              <w:t>(Address of principal executve ofces, including zip code)</w:t>
            </w:r>
          </w:p>
        </w:tc>
      </w:tr>
      <w:tr>
        <w:trPr>
          <w:trHeight w:val="203"/>
        </w:trPr>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60" w:type="dxa"/>
            <w:vAlign w:val="bottom"/>
            <w:gridSpan w:val="2"/>
          </w:tcPr>
          <w:p>
            <w:pPr>
              <w:jc w:val="center"/>
              <w:ind w:left="1399"/>
              <w:spacing w:after="0"/>
              <w:rPr>
                <w:sz w:val="20"/>
                <w:szCs w:val="20"/>
                <w:color w:val="auto"/>
              </w:rPr>
            </w:pPr>
            <w:r>
              <w:rPr>
                <w:rFonts w:ascii="Arial" w:cs="Arial" w:eastAsia="Arial" w:hAnsi="Arial"/>
                <w:sz w:val="16"/>
                <w:szCs w:val="16"/>
                <w:b w:val="1"/>
                <w:bCs w:val="1"/>
                <w:color w:val="51555C"/>
                <w:w w:val="91"/>
              </w:rPr>
              <w:t>(843) 216-6200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740" w:type="dxa"/>
            <w:vAlign w:val="bottom"/>
            <w:gridSpan w:val="6"/>
          </w:tcPr>
          <w:p>
            <w:pPr>
              <w:jc w:val="center"/>
              <w:ind w:right="3500"/>
              <w:spacing w:after="0"/>
              <w:rPr>
                <w:sz w:val="20"/>
                <w:szCs w:val="20"/>
                <w:color w:val="auto"/>
              </w:rPr>
            </w:pPr>
            <w:r>
              <w:rPr>
                <w:rFonts w:ascii="Arial" w:cs="Arial" w:eastAsia="Arial" w:hAnsi="Arial"/>
                <w:sz w:val="16"/>
                <w:szCs w:val="16"/>
                <w:color w:val="51555C"/>
                <w:w w:val="92"/>
              </w:rPr>
              <w:t>(Registrant’s telephone number, including area code)</w:t>
            </w:r>
          </w:p>
        </w:tc>
      </w:tr>
      <w:tr>
        <w:trPr>
          <w:trHeight w:val="95"/>
        </w:trPr>
        <w:tc>
          <w:tcPr>
            <w:tcW w:w="1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2"/>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7040" w:type="dxa"/>
            <w:vAlign w:val="bottom"/>
            <w:gridSpan w:val="6"/>
          </w:tcPr>
          <w:p>
            <w:pPr>
              <w:ind w:left="20"/>
              <w:spacing w:after="0"/>
              <w:rPr>
                <w:sz w:val="20"/>
                <w:szCs w:val="20"/>
                <w:color w:val="auto"/>
              </w:rPr>
            </w:pPr>
            <w:r>
              <w:rPr>
                <w:rFonts w:ascii="Arial" w:cs="Arial" w:eastAsia="Arial" w:hAnsi="Arial"/>
                <w:sz w:val="16"/>
                <w:szCs w:val="16"/>
                <w:color w:val="51555C"/>
              </w:rPr>
              <w:t>Securites Registered Pursuant to Secton 12(b) of the Act:</w:t>
            </w:r>
          </w:p>
        </w:tc>
        <w:tc>
          <w:tcPr>
            <w:tcW w:w="6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7"/>
        </w:trPr>
        <w:tc>
          <w:tcPr>
            <w:tcW w:w="1560" w:type="dxa"/>
            <w:vAlign w:val="bottom"/>
          </w:tcPr>
          <w:p>
            <w:pPr>
              <w:spacing w:after="0"/>
              <w:rPr>
                <w:sz w:val="18"/>
                <w:szCs w:val="18"/>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6"/>
                <w:szCs w:val="16"/>
                <w:color w:val="51555C"/>
                <w:w w:val="86"/>
              </w:rPr>
              <w:t>Title of Each Class</w:t>
            </w:r>
          </w:p>
        </w:tc>
        <w:tc>
          <w:tcPr>
            <w:tcW w:w="1600" w:type="dxa"/>
            <w:vAlign w:val="bottom"/>
          </w:tcPr>
          <w:p>
            <w:pPr>
              <w:spacing w:after="0"/>
              <w:rPr>
                <w:sz w:val="18"/>
                <w:szCs w:val="18"/>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6"/>
                <w:szCs w:val="16"/>
                <w:color w:val="51555C"/>
                <w:w w:val="88"/>
              </w:rPr>
              <w:t>Trading Symbol(s)</w:t>
            </w:r>
          </w:p>
        </w:tc>
        <w:tc>
          <w:tcPr>
            <w:tcW w:w="4200" w:type="dxa"/>
            <w:vAlign w:val="bottom"/>
            <w:gridSpan w:val="3"/>
          </w:tcPr>
          <w:p>
            <w:pPr>
              <w:jc w:val="center"/>
              <w:spacing w:after="0"/>
              <w:rPr>
                <w:sz w:val="20"/>
                <w:szCs w:val="20"/>
                <w:color w:val="auto"/>
              </w:rPr>
            </w:pPr>
            <w:r>
              <w:rPr>
                <w:rFonts w:ascii="Arial" w:cs="Arial" w:eastAsia="Arial" w:hAnsi="Arial"/>
                <w:sz w:val="16"/>
                <w:szCs w:val="16"/>
                <w:color w:val="51555C"/>
                <w:w w:val="89"/>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160" w:type="dxa"/>
            <w:vAlign w:val="bottom"/>
            <w:shd w:val="clear" w:color="auto" w:fill="51555C"/>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shd w:val="clear" w:color="auto" w:fill="51555C"/>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20" w:type="dxa"/>
            <w:vAlign w:val="bottom"/>
            <w:shd w:val="clear" w:color="auto" w:fill="51555C"/>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5"/>
        </w:trPr>
        <w:tc>
          <w:tcPr>
            <w:tcW w:w="350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51555C"/>
                <w:w w:val="87"/>
              </w:rPr>
              <w:t>Common Stock, $0.001 Par Value</w:t>
            </w:r>
          </w:p>
        </w:tc>
        <w:tc>
          <w:tcPr>
            <w:tcW w:w="1600" w:type="dxa"/>
            <w:vAlign w:val="bottom"/>
          </w:tcPr>
          <w:p>
            <w:pPr>
              <w:spacing w:after="0"/>
              <w:rPr>
                <w:sz w:val="23"/>
                <w:szCs w:val="23"/>
                <w:color w:val="auto"/>
              </w:rPr>
            </w:pPr>
          </w:p>
        </w:tc>
        <w:tc>
          <w:tcPr>
            <w:tcW w:w="194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51555C"/>
                <w:w w:val="76"/>
              </w:rPr>
              <w:t>BLKB</w:t>
            </w:r>
          </w:p>
        </w:tc>
        <w:tc>
          <w:tcPr>
            <w:tcW w:w="660" w:type="dxa"/>
            <w:vAlign w:val="bottom"/>
          </w:tcPr>
          <w:p>
            <w:pPr>
              <w:spacing w:after="0"/>
              <w:rPr>
                <w:sz w:val="23"/>
                <w:szCs w:val="23"/>
                <w:color w:val="auto"/>
              </w:rPr>
            </w:pPr>
          </w:p>
        </w:tc>
        <w:tc>
          <w:tcPr>
            <w:tcW w:w="35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51555C"/>
                <w:w w:val="88"/>
              </w:rPr>
              <w:t>Nasdaq Global Select Market</w:t>
            </w:r>
          </w:p>
        </w:tc>
      </w:tr>
      <w:tr>
        <w:trPr>
          <w:trHeight w:val="243"/>
        </w:trPr>
        <w:tc>
          <w:tcPr>
            <w:tcW w:w="350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51555C"/>
                <w:w w:val="84"/>
              </w:rPr>
              <w:t>Preferred Stock Purchase Rights</w:t>
            </w:r>
          </w:p>
        </w:tc>
        <w:tc>
          <w:tcPr>
            <w:tcW w:w="1600" w:type="dxa"/>
            <w:vAlign w:val="bottom"/>
          </w:tcPr>
          <w:p>
            <w:pPr>
              <w:spacing w:after="0"/>
              <w:rPr>
                <w:sz w:val="21"/>
                <w:szCs w:val="21"/>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6"/>
                <w:szCs w:val="16"/>
                <w:b w:val="1"/>
                <w:bCs w:val="1"/>
                <w:color w:val="51555C"/>
              </w:rPr>
              <w:t>N/A</w:t>
            </w:r>
          </w:p>
        </w:tc>
        <w:tc>
          <w:tcPr>
            <w:tcW w:w="660" w:type="dxa"/>
            <w:vAlign w:val="bottom"/>
          </w:tcPr>
          <w:p>
            <w:pPr>
              <w:spacing w:after="0"/>
              <w:rPr>
                <w:sz w:val="21"/>
                <w:szCs w:val="21"/>
                <w:color w:val="auto"/>
              </w:rPr>
            </w:pPr>
          </w:p>
        </w:tc>
        <w:tc>
          <w:tcPr>
            <w:tcW w:w="354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51555C"/>
                <w:w w:val="88"/>
              </w:rPr>
              <w:t>Nasdaq Global Select Market</w:t>
            </w:r>
          </w:p>
        </w:tc>
      </w:tr>
      <w:tr>
        <w:trPr>
          <w:trHeight w:val="93"/>
        </w:trPr>
        <w:tc>
          <w:tcPr>
            <w:tcW w:w="1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bl>
    <w:p>
      <w:pPr>
        <w:spacing w:after="0" w:line="200" w:lineRule="exact"/>
        <w:rPr>
          <w:sz w:val="24"/>
          <w:szCs w:val="24"/>
          <w:color w:val="auto"/>
        </w:rPr>
      </w:pP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6"/>
          <w:szCs w:val="16"/>
          <w:color w:val="51555C"/>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 xml:space="preserve"> No </w:t>
      </w:r>
      <w:r>
        <w:rPr>
          <w:rFonts w:ascii="MS PGothic" w:cs="MS PGothic" w:eastAsia="MS PGothic" w:hAnsi="MS PGothic"/>
          <w:sz w:val="19"/>
          <w:szCs w:val="19"/>
          <w:color w:val="51555C"/>
        </w:rPr>
        <w:t>☐</w:t>
      </w:r>
    </w:p>
    <w:p>
      <w:pPr>
        <w:spacing w:after="0" w:line="132"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51555C"/>
        </w:rPr>
        <w:t>Indicate by check mark whether the registrant has submited electronically every Interactve Data File required to be submited pursuant to Rule 405 of Regulaton S-T (Secton 232.405 of this chapter) during the preceding 12 months (or for such shorter period that the registrant was required to submit such fles).</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 xml:space="preserve"> No </w:t>
      </w:r>
      <w:r>
        <w:rPr>
          <w:rFonts w:ascii="MS PGothic" w:cs="MS PGothic" w:eastAsia="MS PGothic" w:hAnsi="MS PGothic"/>
          <w:sz w:val="19"/>
          <w:szCs w:val="19"/>
          <w:color w:val="51555C"/>
        </w:rPr>
        <w:t>☐</w:t>
      </w:r>
    </w:p>
    <w:p>
      <w:pPr>
        <w:spacing w:after="0" w:line="118" w:lineRule="exact"/>
        <w:rPr>
          <w:sz w:val="24"/>
          <w:szCs w:val="24"/>
          <w:color w:val="auto"/>
        </w:rPr>
      </w:pPr>
    </w:p>
    <w:p>
      <w:pPr>
        <w:jc w:val="both"/>
        <w:spacing w:after="0" w:line="268" w:lineRule="auto"/>
        <w:rPr>
          <w:sz w:val="20"/>
          <w:szCs w:val="20"/>
          <w:color w:val="auto"/>
        </w:rPr>
      </w:pPr>
      <w:r>
        <w:rPr>
          <w:rFonts w:ascii="Arial" w:cs="Arial" w:eastAsia="Arial" w:hAnsi="Arial"/>
          <w:sz w:val="16"/>
          <w:szCs w:val="16"/>
          <w:color w:val="51555C"/>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1980" w:type="dxa"/>
            <w:vAlign w:val="bottom"/>
          </w:tcPr>
          <w:p>
            <w:pPr>
              <w:spacing w:after="0"/>
              <w:rPr>
                <w:sz w:val="20"/>
                <w:szCs w:val="20"/>
                <w:color w:val="auto"/>
              </w:rPr>
            </w:pPr>
            <w:r>
              <w:rPr>
                <w:rFonts w:ascii="Arial" w:cs="Arial" w:eastAsia="Arial" w:hAnsi="Arial"/>
                <w:sz w:val="16"/>
                <w:szCs w:val="16"/>
                <w:color w:val="51555C"/>
              </w:rPr>
              <w:t>Large accelerated fler</w:t>
            </w:r>
          </w:p>
        </w:tc>
        <w:tc>
          <w:tcPr>
            <w:tcW w:w="342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rPr>
              <w:t>☑</w:t>
            </w:r>
          </w:p>
        </w:tc>
        <w:tc>
          <w:tcPr>
            <w:tcW w:w="5020" w:type="dxa"/>
            <w:vAlign w:val="bottom"/>
          </w:tcPr>
          <w:p>
            <w:pPr>
              <w:ind w:left="2720"/>
              <w:spacing w:after="0"/>
              <w:rPr>
                <w:sz w:val="20"/>
                <w:szCs w:val="20"/>
                <w:color w:val="auto"/>
              </w:rPr>
            </w:pPr>
            <w:r>
              <w:rPr>
                <w:rFonts w:ascii="Arial" w:cs="Arial" w:eastAsia="Arial" w:hAnsi="Arial"/>
                <w:sz w:val="16"/>
                <w:szCs w:val="16"/>
                <w:color w:val="51555C"/>
              </w:rPr>
              <w:t>Accelerated fler</w:t>
            </w:r>
          </w:p>
        </w:tc>
        <w:tc>
          <w:tcPr>
            <w:tcW w:w="700" w:type="dxa"/>
            <w:vAlign w:val="bottom"/>
          </w:tcPr>
          <w:p>
            <w:pPr>
              <w:ind w:left="540"/>
              <w:spacing w:after="0" w:line="191" w:lineRule="exact"/>
              <w:rPr>
                <w:sz w:val="20"/>
                <w:szCs w:val="20"/>
                <w:color w:val="auto"/>
              </w:rPr>
            </w:pPr>
            <w:r>
              <w:rPr>
                <w:rFonts w:ascii="MS PGothic" w:cs="MS PGothic" w:eastAsia="MS PGothic" w:hAnsi="MS PGothic"/>
                <w:sz w:val="19"/>
                <w:szCs w:val="19"/>
                <w:color w:val="51555C"/>
                <w:w w:val="73"/>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color w:val="51555C"/>
              </w:rPr>
              <w:t>Non-accelerated fler</w:t>
            </w:r>
          </w:p>
        </w:tc>
        <w:tc>
          <w:tcPr>
            <w:tcW w:w="3420" w:type="dxa"/>
            <w:vAlign w:val="bottom"/>
          </w:tcPr>
          <w:p>
            <w:pPr>
              <w:ind w:left="520"/>
              <w:spacing w:after="0" w:line="201" w:lineRule="exact"/>
              <w:rPr>
                <w:sz w:val="20"/>
                <w:szCs w:val="20"/>
                <w:color w:val="auto"/>
              </w:rPr>
            </w:pPr>
            <w:r>
              <w:rPr>
                <w:rFonts w:ascii="MS PGothic" w:cs="MS PGothic" w:eastAsia="MS PGothic" w:hAnsi="MS PGothic"/>
                <w:sz w:val="20"/>
                <w:szCs w:val="20"/>
                <w:color w:val="51555C"/>
              </w:rPr>
              <w:t>☐</w:t>
            </w:r>
          </w:p>
        </w:tc>
        <w:tc>
          <w:tcPr>
            <w:tcW w:w="5020" w:type="dxa"/>
            <w:vAlign w:val="bottom"/>
          </w:tcPr>
          <w:p>
            <w:pPr>
              <w:ind w:left="2720"/>
              <w:spacing w:after="0"/>
              <w:rPr>
                <w:sz w:val="20"/>
                <w:szCs w:val="20"/>
                <w:color w:val="auto"/>
              </w:rPr>
            </w:pPr>
            <w:r>
              <w:rPr>
                <w:rFonts w:ascii="Arial" w:cs="Arial" w:eastAsia="Arial" w:hAnsi="Arial"/>
                <w:sz w:val="16"/>
                <w:szCs w:val="16"/>
                <w:color w:val="51555C"/>
              </w:rPr>
              <w:t>Smaller reportng company</w:t>
            </w:r>
          </w:p>
        </w:tc>
        <w:tc>
          <w:tcPr>
            <w:tcW w:w="700" w:type="dxa"/>
            <w:vAlign w:val="bottom"/>
          </w:tcPr>
          <w:p>
            <w:pPr>
              <w:ind w:left="540"/>
              <w:spacing w:after="0" w:line="191" w:lineRule="exact"/>
              <w:rPr>
                <w:sz w:val="20"/>
                <w:szCs w:val="20"/>
                <w:color w:val="auto"/>
              </w:rPr>
            </w:pPr>
            <w:r>
              <w:rPr>
                <w:rFonts w:ascii="MS PGothic" w:cs="MS PGothic" w:eastAsia="MS PGothic" w:hAnsi="MS PGothic"/>
                <w:sz w:val="19"/>
                <w:szCs w:val="19"/>
                <w:color w:val="51555C"/>
                <w:w w:val="73"/>
              </w:rPr>
              <w:t>☐</w:t>
            </w:r>
          </w:p>
        </w:tc>
      </w:tr>
      <w:tr>
        <w:trPr>
          <w:trHeight w:val="334"/>
        </w:trPr>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20" w:type="dxa"/>
            <w:vAlign w:val="bottom"/>
          </w:tcPr>
          <w:p>
            <w:pPr>
              <w:ind w:left="2720"/>
              <w:spacing w:after="0"/>
              <w:rPr>
                <w:sz w:val="20"/>
                <w:szCs w:val="20"/>
                <w:color w:val="auto"/>
              </w:rPr>
            </w:pPr>
            <w:r>
              <w:rPr>
                <w:rFonts w:ascii="Arial" w:cs="Arial" w:eastAsia="Arial" w:hAnsi="Arial"/>
                <w:sz w:val="16"/>
                <w:szCs w:val="16"/>
                <w:color w:val="51555C"/>
              </w:rPr>
              <w:t>Emerging growth company</w:t>
            </w:r>
          </w:p>
        </w:tc>
        <w:tc>
          <w:tcPr>
            <w:tcW w:w="700" w:type="dxa"/>
            <w:vAlign w:val="bottom"/>
          </w:tcPr>
          <w:p>
            <w:pPr>
              <w:ind w:left="540"/>
              <w:spacing w:after="0" w:line="191" w:lineRule="exact"/>
              <w:rPr>
                <w:sz w:val="20"/>
                <w:szCs w:val="20"/>
                <w:color w:val="auto"/>
              </w:rPr>
            </w:pPr>
            <w:r>
              <w:rPr>
                <w:rFonts w:ascii="MS PGothic" w:cs="MS PGothic" w:eastAsia="MS PGothic" w:hAnsi="MS PGothic"/>
                <w:sz w:val="19"/>
                <w:szCs w:val="19"/>
                <w:color w:val="51555C"/>
                <w:w w:val="73"/>
              </w:rPr>
              <w:t>☐</w:t>
            </w:r>
          </w:p>
        </w:tc>
      </w:tr>
    </w:tbl>
    <w:p>
      <w:pPr>
        <w:spacing w:after="0" w:line="70" w:lineRule="exact"/>
        <w:rPr>
          <w:sz w:val="24"/>
          <w:szCs w:val="24"/>
          <w:color w:val="auto"/>
        </w:rPr>
      </w:pPr>
    </w:p>
    <w:p>
      <w:pPr>
        <w:spacing w:after="0" w:line="242" w:lineRule="exact"/>
        <w:rPr>
          <w:sz w:val="20"/>
          <w:szCs w:val="20"/>
          <w:color w:val="auto"/>
        </w:rPr>
      </w:pPr>
      <w:r>
        <w:rPr>
          <w:rFonts w:ascii="Arial" w:cs="Arial" w:eastAsia="Arial" w:hAnsi="Arial"/>
          <w:sz w:val="16"/>
          <w:szCs w:val="16"/>
          <w:color w:val="51555C"/>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9"/>
          <w:szCs w:val="19"/>
          <w:color w:val="51555C"/>
        </w:rPr>
        <w:t>☐</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51555C"/>
        </w:rPr>
        <w:t>Indicate by check mark whether registrant is a shell company (as defned in Rule 12b-2 of the Exchange Act).</w:t>
      </w:r>
    </w:p>
    <w:p>
      <w:pPr>
        <w:spacing w:after="0" w:line="20" w:lineRule="exact"/>
        <w:rPr>
          <w:sz w:val="24"/>
          <w:szCs w:val="24"/>
          <w:color w:val="auto"/>
        </w:rPr>
      </w:pPr>
    </w:p>
    <w:p>
      <w:pPr>
        <w:spacing w:after="0" w:line="219" w:lineRule="exact"/>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 xml:space="preserve"> No </w:t>
      </w:r>
      <w:r>
        <w:rPr>
          <w:rFonts w:ascii="MS PGothic" w:cs="MS PGothic" w:eastAsia="MS PGothic" w:hAnsi="MS PGothic"/>
          <w:sz w:val="19"/>
          <w:szCs w:val="19"/>
          <w:color w:val="51555C"/>
        </w:rPr>
        <w:t>☑</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51555C"/>
        </w:rPr>
        <w:t>The number of shares of the registrant’s Common Stock outstanding as of July 31, 2023 was 53,854,802.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04054"/>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42"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20"/>
          <w:szCs w:val="20"/>
          <w:b w:val="1"/>
          <w:bCs w:val="1"/>
          <w:color w:val="004054"/>
        </w:rPr>
        <w:t>PART I.</w:t>
      </w:r>
      <w:r>
        <w:rPr>
          <w:sz w:val="20"/>
          <w:szCs w:val="20"/>
          <w:color w:val="auto"/>
        </w:rPr>
        <w:tab/>
      </w:r>
      <w:r>
        <w:rPr>
          <w:rFonts w:ascii="Arial" w:cs="Arial" w:eastAsia="Arial" w:hAnsi="Arial"/>
          <w:sz w:val="16"/>
          <w:szCs w:val="16"/>
          <w:b w:val="1"/>
          <w:bCs w:val="1"/>
          <w:color w:val="004054"/>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1.</w:t>
      </w:r>
      <w:r>
        <w:rPr>
          <w:sz w:val="20"/>
          <w:szCs w:val="20"/>
          <w:color w:val="auto"/>
        </w:rPr>
        <w:tab/>
      </w:r>
      <w:r>
        <w:rPr>
          <w:rFonts w:ascii="Arial" w:cs="Arial" w:eastAsia="Arial" w:hAnsi="Arial"/>
          <w:sz w:val="16"/>
          <w:szCs w:val="16"/>
          <w:color w:val="51555C"/>
        </w:rPr>
        <w:t>Financial statements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51555C"/>
        </w:rPr>
        <w:t>Condensed Consolidated Balance Sheets (Unaudited)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6"/>
          <w:szCs w:val="16"/>
          <w:color w:val="51555C"/>
        </w:rPr>
        <w:t>Condensed Consolidated Statements of Comprehensive Income (Loss) (Unaudited)</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18"/>
          <w:szCs w:val="18"/>
          <w:color w:val="51555C"/>
        </w:rPr>
        <w:t>Condensed Consolidated Statements of Cash Flows (Unaudited)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51555C"/>
        </w:rPr>
        <w:t>Condensed Consolidated Statements of Stockholders’ Equity (Unaudited)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51555C"/>
        </w:rPr>
        <w:t>Notes to Condensed Consolidated Financial Statements (Unaudited)</w:t>
      </w:r>
    </w:p>
    <w:p>
      <w:pPr>
        <w:spacing w:after="0" w:line="11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2.</w:t>
      </w:r>
      <w:r>
        <w:rPr>
          <w:sz w:val="20"/>
          <w:szCs w:val="20"/>
          <w:color w:val="auto"/>
        </w:rPr>
        <w:tab/>
      </w:r>
      <w:r>
        <w:rPr>
          <w:rFonts w:ascii="Arial" w:cs="Arial" w:eastAsia="Arial" w:hAnsi="Arial"/>
          <w:sz w:val="16"/>
          <w:szCs w:val="16"/>
          <w:color w:val="51555C"/>
        </w:rPr>
        <w:t>Management's discussion and analysis of fnancial conditon and results of operatons</w:t>
      </w:r>
    </w:p>
    <w:p>
      <w:pPr>
        <w:spacing w:after="0" w:line="11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3.</w:t>
      </w:r>
      <w:r>
        <w:rPr>
          <w:sz w:val="20"/>
          <w:szCs w:val="20"/>
          <w:color w:val="auto"/>
        </w:rPr>
        <w:tab/>
      </w:r>
      <w:r>
        <w:rPr>
          <w:rFonts w:ascii="Arial" w:cs="Arial" w:eastAsia="Arial" w:hAnsi="Arial"/>
          <w:sz w:val="17"/>
          <w:szCs w:val="17"/>
          <w:color w:val="51555C"/>
        </w:rPr>
        <w:t>Quanttatve and qualitatve disclosures about market risk</w:t>
      </w:r>
    </w:p>
    <w:p>
      <w:pPr>
        <w:spacing w:after="0" w:line="11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4.</w:t>
      </w:r>
      <w:r>
        <w:rPr>
          <w:sz w:val="20"/>
          <w:szCs w:val="20"/>
          <w:color w:val="auto"/>
        </w:rPr>
        <w:tab/>
      </w:r>
      <w:r>
        <w:rPr>
          <w:rFonts w:ascii="Arial" w:cs="Arial" w:eastAsia="Arial" w:hAnsi="Arial"/>
          <w:sz w:val="16"/>
          <w:szCs w:val="16"/>
          <w:color w:val="51555C"/>
        </w:rPr>
        <w:t>Controls and procedures</w:t>
      </w:r>
    </w:p>
    <w:p>
      <w:pPr>
        <w:spacing w:after="0" w:line="38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20"/>
          <w:szCs w:val="20"/>
          <w:b w:val="1"/>
          <w:bCs w:val="1"/>
          <w:color w:val="004054"/>
        </w:rPr>
        <w:t>PART II.</w:t>
      </w:r>
      <w:r>
        <w:rPr>
          <w:sz w:val="20"/>
          <w:szCs w:val="20"/>
          <w:color w:val="auto"/>
        </w:rPr>
        <w:tab/>
      </w:r>
      <w:r>
        <w:rPr>
          <w:rFonts w:ascii="Arial" w:cs="Arial" w:eastAsia="Arial" w:hAnsi="Arial"/>
          <w:sz w:val="16"/>
          <w:szCs w:val="16"/>
          <w:b w:val="1"/>
          <w:bCs w:val="1"/>
          <w:color w:val="004054"/>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1.</w:t>
      </w:r>
      <w:r>
        <w:rPr>
          <w:sz w:val="20"/>
          <w:szCs w:val="20"/>
          <w:color w:val="auto"/>
        </w:rPr>
        <w:tab/>
      </w:r>
      <w:r>
        <w:rPr>
          <w:rFonts w:ascii="Arial" w:cs="Arial" w:eastAsia="Arial" w:hAnsi="Arial"/>
          <w:sz w:val="15"/>
          <w:szCs w:val="15"/>
          <w:color w:val="51555C"/>
        </w:rPr>
        <w:t>Legal proceedings</w:t>
      </w:r>
    </w:p>
    <w:p>
      <w:pPr>
        <w:spacing w:after="0" w:line="11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1A.</w:t>
      </w:r>
      <w:r>
        <w:rPr>
          <w:sz w:val="20"/>
          <w:szCs w:val="20"/>
          <w:color w:val="auto"/>
        </w:rPr>
        <w:tab/>
      </w:r>
      <w:r>
        <w:rPr>
          <w:rFonts w:ascii="Arial" w:cs="Arial" w:eastAsia="Arial" w:hAnsi="Arial"/>
          <w:sz w:val="15"/>
          <w:szCs w:val="15"/>
          <w:color w:val="51555C"/>
        </w:rPr>
        <w:t>Risk factors</w:t>
      </w:r>
    </w:p>
    <w:p>
      <w:pPr>
        <w:spacing w:after="0" w:line="11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2.</w:t>
      </w:r>
      <w:r>
        <w:rPr>
          <w:sz w:val="20"/>
          <w:szCs w:val="20"/>
          <w:color w:val="auto"/>
        </w:rPr>
        <w:tab/>
      </w:r>
      <w:r>
        <w:rPr>
          <w:rFonts w:ascii="Arial" w:cs="Arial" w:eastAsia="Arial" w:hAnsi="Arial"/>
          <w:sz w:val="16"/>
          <w:szCs w:val="16"/>
          <w:color w:val="51555C"/>
        </w:rPr>
        <w:t>Unregistered sales of equity securites and use of proceeds</w:t>
      </w:r>
    </w:p>
    <w:p>
      <w:pPr>
        <w:spacing w:after="0" w:line="17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5.</w:t>
      </w:r>
      <w:r>
        <w:rPr>
          <w:sz w:val="20"/>
          <w:szCs w:val="20"/>
          <w:color w:val="auto"/>
        </w:rPr>
        <w:tab/>
      </w:r>
      <w:r>
        <w:rPr>
          <w:rFonts w:ascii="Arial" w:cs="Arial" w:eastAsia="Arial" w:hAnsi="Arial"/>
          <w:sz w:val="17"/>
          <w:szCs w:val="17"/>
          <w:color w:val="51555C"/>
        </w:rPr>
        <w:t>Other informaton</w:t>
      </w:r>
    </w:p>
    <w:p>
      <w:pPr>
        <w:spacing w:after="0" w:line="63"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51555C"/>
        </w:rPr>
        <w:t>Item 6.</w:t>
      </w:r>
      <w:r>
        <w:rPr>
          <w:sz w:val="20"/>
          <w:szCs w:val="20"/>
          <w:color w:val="auto"/>
        </w:rPr>
        <w:tab/>
      </w:r>
      <w:r>
        <w:rPr>
          <w:rFonts w:ascii="Arial" w:cs="Arial" w:eastAsia="Arial" w:hAnsi="Arial"/>
          <w:sz w:val="15"/>
          <w:szCs w:val="15"/>
          <w:color w:val="51555C"/>
        </w:rPr>
        <w:t>Exhibits</w:t>
      </w:r>
    </w:p>
    <w:p>
      <w:pPr>
        <w:spacing w:after="0" w:line="3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054"/>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2</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004054"/>
        </w:rPr>
        <w:t>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24</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48</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04054"/>
        </w:rPr>
        <w:t>49</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04054"/>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884555</wp:posOffset>
            </wp:positionV>
            <wp:extent cx="67691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10020" w:space="720"/>
            <w:col w:w="500"/>
          </w:cols>
          <w:pgMar w:left="320" w:top="10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6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1</w:t>
            </w:r>
          </w:p>
        </w:tc>
      </w:tr>
      <w:tr>
        <w:trPr>
          <w:trHeight w:val="34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7A04DD"/>
        </w:rPr>
        <w:t>Table of Contents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20" w:right="740"/>
        <w:spacing w:after="0" w:line="272"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-457200</wp:posOffset>
            </wp:positionV>
            <wp:extent cx="248285"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51555C"/>
        </w:rPr>
        <w:t>This Quarterly Report on Form 10-Q, including the documents incorporated herein by reference, contains forward-looking statements that antcipate results based on our estmates, assumptons and plans that are subject to uncertainty. These "forward-looking statements" are made subject to the safe-harbor provisions of the Private Securites Litgaton Reform Act of 1995, Secton 27A of the Securites Act of 1933, as amended, and Secton 21E of the Securites Exchange Act of 1934, as amended. Forward-looking statements consist of, among other things, trend analyses, statements regarding future events, future fnancial performance, our antcipated growth, the efect of general economic and market conditons, our business strategy and our plan to build and grow our business, our operatng results, our ability to successfully integrate acquired businesses and technologies, the efect of foreign currency exchange rate and interest rate fuctuatons on our fnancial results, the impact of expensing stock-based compensaton, the sufciency of our capital resources, our ability to meet our ongoing debt and obligatons as they become due, cybersecurity and data protecton risks and related liabilites, and current or potental legal proceedings involving us, all of which are based on current expectatons, estmates, and forecasts, and the beliefs and assumptons of our management. Words such as “believes,” “seeks,” “expects,” “may,” “might,” “should,” “intends,” “could,” “would,” “likely,” “will,” “targets,” “plans,” “antcipates,” “aims,” “projects,” “estmates” or any variatons of such words and similar expressions are also intended to identfy such forward-looking statements. These forward-looking statements are subject to risks, uncertaintes and assumptons that are difcult to predict. Accordingly, they should not be viewed as assurances of future performance, and actual results may difer materially and adversely from those expressed in any forward-looking statements.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Important factors that could cause actual results to difer materially from our expectatons expressed in forward-looking statements include, but are not limited to, those summarized under “Part II, Item 1A. Risk factors” and elsewhere in this report, in our Annual Report on Form 10-K for the year ended December 31, 2022 and in our other flings made with the United States Securites &amp; Exchange Commission ("SEC"). Forward-looking statements represent our management's beliefs and assumptons only as of the date of this Quarterly Report on Form 10-Q. We undertake no obligaton to update or revise any forward-looking statements, or to update the reasons actual results could difer materially from those antcipated in any forward-looking statement, whether as a result of new informaton, future events or otherwise.</w:t>
      </w:r>
    </w:p>
    <w:p>
      <w:pPr>
        <w:spacing w:after="0" w:line="34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w:t>
      </w:r>
      <w:r>
        <w:rPr>
          <w:sz w:val="20"/>
          <w:szCs w:val="20"/>
          <w:color w:val="auto"/>
        </w:rPr>
        <w:tab/>
      </w:r>
      <w:r>
        <w:rPr>
          <w:sz w:val="1"/>
          <w:szCs w:val="1"/>
          <w:color w:val="auto"/>
        </w:rPr>
        <w:drawing>
          <wp:inline distT="0" distB="0" distL="0" distR="0">
            <wp:extent cx="676910" cy="171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 w:name="page4"/>
    <w:bookmarkEnd w:id="3"/>
    <w:p>
      <w:pPr>
        <w:ind w:left="160"/>
        <w:spacing w:after="0"/>
        <w:rPr>
          <w:sz w:val="20"/>
          <w:szCs w:val="20"/>
          <w:color w:val="auto"/>
        </w:rPr>
      </w:pPr>
      <w:r>
        <w:rPr>
          <w:sz w:val="1"/>
          <w:szCs w:val="1"/>
          <w:color w:val="auto"/>
        </w:rPr>
        <w:drawing>
          <wp:inline distT="0" distB="0" distL="0" distR="0">
            <wp:extent cx="248285" cy="2489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92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46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84"/>
        </w:trPr>
        <w:tc>
          <w:tcPr>
            <w:tcW w:w="792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6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79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r>
      <w:tr>
        <w:trPr>
          <w:trHeight w:val="223"/>
        </w:trPr>
        <w:tc>
          <w:tcPr>
            <w:tcW w:w="79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Assets</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spacing w:after="0"/>
              <w:rPr>
                <w:sz w:val="19"/>
                <w:szCs w:val="19"/>
                <w:color w:val="auto"/>
              </w:rPr>
            </w:pP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spacing w:after="0"/>
              <w:rPr>
                <w:sz w:val="19"/>
                <w:szCs w:val="19"/>
                <w:color w:val="auto"/>
              </w:rPr>
            </w:pPr>
          </w:p>
        </w:tc>
      </w:tr>
      <w:tr>
        <w:trPr>
          <w:trHeight w:val="203"/>
        </w:trPr>
        <w:tc>
          <w:tcPr>
            <w:tcW w:w="7920" w:type="dxa"/>
            <w:vAlign w:val="bottom"/>
          </w:tcPr>
          <w:p>
            <w:pPr>
              <w:ind w:left="240"/>
              <w:spacing w:after="0"/>
              <w:rPr>
                <w:sz w:val="20"/>
                <w:szCs w:val="20"/>
                <w:color w:val="auto"/>
              </w:rPr>
            </w:pPr>
            <w:r>
              <w:rPr>
                <w:rFonts w:ascii="Arial" w:cs="Arial" w:eastAsia="Arial" w:hAnsi="Arial"/>
                <w:sz w:val="16"/>
                <w:szCs w:val="16"/>
                <w:color w:val="51555C"/>
              </w:rPr>
              <w:t>Current assets: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3"/>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3"/>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Cash and cash equivalents</w:t>
            </w:r>
          </w:p>
        </w:tc>
        <w:tc>
          <w:tcPr>
            <w:tcW w:w="520" w:type="dxa"/>
            <w:vAlign w:val="bottom"/>
            <w:tcBorders>
              <w:bottom w:val="single" w:sz="8" w:color="EBFBFF"/>
            </w:tcBorders>
            <w:gridSpan w:val="2"/>
            <w:shd w:val="clear" w:color="auto" w:fill="EBFBFF"/>
          </w:tcPr>
          <w:p>
            <w:pPr>
              <w:jc w:val="right"/>
              <w:ind w:right="319"/>
              <w:spacing w:after="0"/>
              <w:rPr>
                <w:sz w:val="20"/>
                <w:szCs w:val="20"/>
                <w:color w:val="auto"/>
              </w:rPr>
            </w:pPr>
            <w:r>
              <w:rPr>
                <w:rFonts w:ascii="Arial" w:cs="Arial" w:eastAsia="Arial" w:hAnsi="Arial"/>
                <w:sz w:val="16"/>
                <w:szCs w:val="16"/>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29,041</w:t>
            </w:r>
          </w:p>
        </w:tc>
        <w:tc>
          <w:tcPr>
            <w:tcW w:w="460" w:type="dxa"/>
            <w:vAlign w:val="bottom"/>
            <w:tcBorders>
              <w:bottom w:val="single" w:sz="8" w:color="EBFBFF"/>
            </w:tcBorders>
            <w:shd w:val="clear" w:color="auto" w:fill="EBFBFF"/>
          </w:tcPr>
          <w:p>
            <w:pPr>
              <w:jc w:val="right"/>
              <w:ind w:right="259"/>
              <w:spacing w:after="0"/>
              <w:rPr>
                <w:sz w:val="20"/>
                <w:szCs w:val="20"/>
                <w:color w:val="auto"/>
              </w:rPr>
            </w:pPr>
            <w:r>
              <w:rPr>
                <w:rFonts w:ascii="Arial" w:cs="Arial" w:eastAsia="Arial" w:hAnsi="Arial"/>
                <w:sz w:val="16"/>
                <w:szCs w:val="16"/>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31,691</w:t>
            </w:r>
          </w:p>
        </w:tc>
      </w:tr>
      <w:tr>
        <w:trPr>
          <w:trHeight w:val="203"/>
        </w:trPr>
        <w:tc>
          <w:tcPr>
            <w:tcW w:w="7920" w:type="dxa"/>
            <w:vAlign w:val="bottom"/>
          </w:tcPr>
          <w:p>
            <w:pPr>
              <w:ind w:left="460"/>
              <w:spacing w:after="0"/>
              <w:rPr>
                <w:sz w:val="20"/>
                <w:szCs w:val="20"/>
                <w:color w:val="auto"/>
              </w:rPr>
            </w:pPr>
            <w:r>
              <w:rPr>
                <w:rFonts w:ascii="Arial" w:cs="Arial" w:eastAsia="Arial" w:hAnsi="Arial"/>
                <w:sz w:val="16"/>
                <w:szCs w:val="16"/>
                <w:color w:val="51555C"/>
              </w:rPr>
              <w:t>Restricted cash</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761,289</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702,240</w:t>
            </w:r>
          </w:p>
        </w:tc>
      </w:tr>
      <w:tr>
        <w:trPr>
          <w:trHeight w:val="53"/>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8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Accounts receivable, net of allowance of $8,081 and $7,318 at June 30, 2023 and December 31, 2022,</w:t>
            </w:r>
          </w:p>
        </w:tc>
        <w:tc>
          <w:tcPr>
            <w:tcW w:w="20" w:type="dxa"/>
            <w:vAlign w:val="bottom"/>
            <w:shd w:val="clear" w:color="auto" w:fill="EBFBFF"/>
          </w:tcPr>
          <w:p>
            <w:pPr>
              <w:spacing w:after="0"/>
              <w:rPr>
                <w:sz w:val="16"/>
                <w:szCs w:val="16"/>
                <w:color w:val="auto"/>
              </w:rPr>
            </w:pPr>
          </w:p>
        </w:tc>
        <w:tc>
          <w:tcPr>
            <w:tcW w:w="500" w:type="dxa"/>
            <w:vAlign w:val="bottom"/>
            <w:shd w:val="clear" w:color="auto" w:fill="EBFBFF"/>
          </w:tcPr>
          <w:p>
            <w:pPr>
              <w:spacing w:after="0"/>
              <w:rPr>
                <w:sz w:val="16"/>
                <w:szCs w:val="16"/>
                <w:color w:val="auto"/>
              </w:rPr>
            </w:pPr>
          </w:p>
        </w:tc>
        <w:tc>
          <w:tcPr>
            <w:tcW w:w="1120" w:type="dxa"/>
            <w:vAlign w:val="bottom"/>
            <w:shd w:val="clear" w:color="auto" w:fill="EBFBFF"/>
          </w:tcPr>
          <w:p>
            <w:pPr>
              <w:spacing w:after="0"/>
              <w:rPr>
                <w:sz w:val="16"/>
                <w:szCs w:val="16"/>
                <w:color w:val="auto"/>
              </w:rPr>
            </w:pPr>
          </w:p>
        </w:tc>
        <w:tc>
          <w:tcPr>
            <w:tcW w:w="460" w:type="dxa"/>
            <w:vAlign w:val="bottom"/>
            <w:shd w:val="clear" w:color="auto" w:fill="EBFBFF"/>
          </w:tcPr>
          <w:p>
            <w:pPr>
              <w:spacing w:after="0"/>
              <w:rPr>
                <w:sz w:val="16"/>
                <w:szCs w:val="16"/>
                <w:color w:val="auto"/>
              </w:rPr>
            </w:pPr>
          </w:p>
        </w:tc>
        <w:tc>
          <w:tcPr>
            <w:tcW w:w="1180" w:type="dxa"/>
            <w:vAlign w:val="bottom"/>
            <w:shd w:val="clear" w:color="auto" w:fill="EBFBFF"/>
          </w:tcPr>
          <w:p>
            <w:pPr>
              <w:spacing w:after="0"/>
              <w:rPr>
                <w:sz w:val="16"/>
                <w:szCs w:val="16"/>
                <w:color w:val="auto"/>
              </w:rPr>
            </w:pPr>
          </w:p>
        </w:tc>
      </w:tr>
      <w:tr>
        <w:trPr>
          <w:trHeight w:val="224"/>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respectvely</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168,908</w:t>
            </w: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102,809</w:t>
            </w:r>
          </w:p>
        </w:tc>
      </w:tr>
      <w:tr>
        <w:trPr>
          <w:trHeight w:val="203"/>
        </w:trPr>
        <w:tc>
          <w:tcPr>
            <w:tcW w:w="7920" w:type="dxa"/>
            <w:vAlign w:val="bottom"/>
          </w:tcPr>
          <w:p>
            <w:pPr>
              <w:ind w:left="460"/>
              <w:spacing w:after="0"/>
              <w:rPr>
                <w:sz w:val="20"/>
                <w:szCs w:val="20"/>
                <w:color w:val="auto"/>
              </w:rPr>
            </w:pPr>
            <w:r>
              <w:rPr>
                <w:rFonts w:ascii="Arial" w:cs="Arial" w:eastAsia="Arial" w:hAnsi="Arial"/>
                <w:sz w:val="16"/>
                <w:szCs w:val="16"/>
                <w:color w:val="51555C"/>
              </w:rPr>
              <w:t>Customer funds receivable</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3,731</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249</w:t>
            </w:r>
          </w:p>
        </w:tc>
      </w:tr>
      <w:tr>
        <w:trPr>
          <w:trHeight w:val="53"/>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48"/>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Prepaid expenses and other current assets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81,597</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81,654</w:t>
            </w:r>
          </w:p>
        </w:tc>
      </w:tr>
      <w:tr>
        <w:trPr>
          <w:trHeight w:val="197"/>
        </w:trPr>
        <w:tc>
          <w:tcPr>
            <w:tcW w:w="7920" w:type="dxa"/>
            <w:vAlign w:val="bottom"/>
            <w:tcBorders>
              <w:top w:val="single" w:sz="8" w:color="EBFBFF"/>
            </w:tcBorders>
          </w:tcPr>
          <w:p>
            <w:pPr>
              <w:ind w:left="660"/>
              <w:spacing w:after="0"/>
              <w:rPr>
                <w:sz w:val="20"/>
                <w:szCs w:val="20"/>
                <w:color w:val="auto"/>
              </w:rPr>
            </w:pPr>
            <w:r>
              <w:rPr>
                <w:rFonts w:ascii="Arial" w:cs="Arial" w:eastAsia="Arial" w:hAnsi="Arial"/>
                <w:sz w:val="16"/>
                <w:szCs w:val="16"/>
                <w:color w:val="51555C"/>
              </w:rPr>
              <w:t>Total current assets</w:t>
            </w:r>
          </w:p>
        </w:tc>
        <w:tc>
          <w:tcPr>
            <w:tcW w:w="20" w:type="dxa"/>
            <w:vAlign w:val="bottom"/>
            <w:tcBorders>
              <w:top w:val="single" w:sz="8" w:color="EBFBFF"/>
            </w:tcBorders>
          </w:tcPr>
          <w:p>
            <w:pPr>
              <w:spacing w:after="0"/>
              <w:rPr>
                <w:sz w:val="17"/>
                <w:szCs w:val="17"/>
                <w:color w:val="auto"/>
              </w:rPr>
            </w:pPr>
          </w:p>
        </w:tc>
        <w:tc>
          <w:tcPr>
            <w:tcW w:w="500" w:type="dxa"/>
            <w:vAlign w:val="bottom"/>
            <w:tcBorders>
              <w:top w:val="single" w:sz="8" w:color="51555C"/>
            </w:tcBorders>
          </w:tcPr>
          <w:p>
            <w:pPr>
              <w:spacing w:after="0"/>
              <w:rPr>
                <w:sz w:val="17"/>
                <w:szCs w:val="17"/>
                <w:color w:val="auto"/>
              </w:rPr>
            </w:pP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1,044,566</w:t>
            </w:r>
          </w:p>
        </w:tc>
        <w:tc>
          <w:tcPr>
            <w:tcW w:w="460" w:type="dxa"/>
            <w:vAlign w:val="bottom"/>
            <w:tcBorders>
              <w:top w:val="single" w:sz="8" w:color="51555C"/>
            </w:tcBorders>
          </w:tcPr>
          <w:p>
            <w:pPr>
              <w:spacing w:after="0"/>
              <w:rPr>
                <w:sz w:val="17"/>
                <w:szCs w:val="17"/>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918,643</w:t>
            </w:r>
          </w:p>
        </w:tc>
      </w:tr>
      <w:tr>
        <w:trPr>
          <w:trHeight w:val="53"/>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3"/>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Property and equipment, net</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104,672</w:t>
            </w: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107,426</w:t>
            </w:r>
          </w:p>
        </w:tc>
      </w:tr>
      <w:tr>
        <w:trPr>
          <w:trHeight w:val="203"/>
        </w:trPr>
        <w:tc>
          <w:tcPr>
            <w:tcW w:w="7920" w:type="dxa"/>
            <w:vAlign w:val="bottom"/>
          </w:tcPr>
          <w:p>
            <w:pPr>
              <w:ind w:left="240"/>
              <w:spacing w:after="0"/>
              <w:rPr>
                <w:sz w:val="20"/>
                <w:szCs w:val="20"/>
                <w:color w:val="auto"/>
              </w:rPr>
            </w:pPr>
            <w:r>
              <w:rPr>
                <w:rFonts w:ascii="Arial" w:cs="Arial" w:eastAsia="Arial" w:hAnsi="Arial"/>
                <w:sz w:val="16"/>
                <w:szCs w:val="16"/>
                <w:color w:val="51555C"/>
              </w:rPr>
              <w:t>Operatng lease right-of-use assets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45,497</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45,899</w:t>
            </w:r>
          </w:p>
        </w:tc>
      </w:tr>
      <w:tr>
        <w:trPr>
          <w:trHeight w:val="39"/>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7"/>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Sofware and content development costs, net</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151,158</w:t>
            </w: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141,023</w:t>
            </w:r>
          </w:p>
        </w:tc>
      </w:tr>
      <w:tr>
        <w:trPr>
          <w:trHeight w:val="203"/>
        </w:trPr>
        <w:tc>
          <w:tcPr>
            <w:tcW w:w="7920" w:type="dxa"/>
            <w:vAlign w:val="bottom"/>
          </w:tcPr>
          <w:p>
            <w:pPr>
              <w:ind w:left="240"/>
              <w:spacing w:after="0"/>
              <w:rPr>
                <w:sz w:val="20"/>
                <w:szCs w:val="20"/>
                <w:color w:val="auto"/>
              </w:rPr>
            </w:pPr>
            <w:r>
              <w:rPr>
                <w:rFonts w:ascii="Arial" w:cs="Arial" w:eastAsia="Arial" w:hAnsi="Arial"/>
                <w:sz w:val="16"/>
                <w:szCs w:val="16"/>
                <w:color w:val="51555C"/>
              </w:rPr>
              <w:t>Goodwill</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1,053,342</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1,050,272</w:t>
            </w:r>
          </w:p>
        </w:tc>
      </w:tr>
      <w:tr>
        <w:trPr>
          <w:trHeight w:val="40"/>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7"/>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Intangible assets, net</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609,524</w:t>
            </w: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635,136</w:t>
            </w:r>
          </w:p>
        </w:tc>
      </w:tr>
      <w:tr>
        <w:trPr>
          <w:trHeight w:val="203"/>
        </w:trPr>
        <w:tc>
          <w:tcPr>
            <w:tcW w:w="7920" w:type="dxa"/>
            <w:vAlign w:val="bottom"/>
          </w:tcPr>
          <w:p>
            <w:pPr>
              <w:ind w:left="240"/>
              <w:spacing w:after="0"/>
              <w:rPr>
                <w:sz w:val="20"/>
                <w:szCs w:val="20"/>
                <w:color w:val="auto"/>
              </w:rPr>
            </w:pPr>
            <w:r>
              <w:rPr>
                <w:rFonts w:ascii="Arial" w:cs="Arial" w:eastAsia="Arial" w:hAnsi="Arial"/>
                <w:sz w:val="16"/>
                <w:szCs w:val="16"/>
                <w:color w:val="51555C"/>
              </w:rPr>
              <w:t>Other assets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84,254</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94,304</w:t>
            </w:r>
          </w:p>
        </w:tc>
      </w:tr>
      <w:tr>
        <w:trPr>
          <w:trHeight w:val="40"/>
        </w:trPr>
        <w:tc>
          <w:tcPr>
            <w:tcW w:w="7920" w:type="dxa"/>
            <w:vAlign w:val="bottom"/>
            <w:tcBorders>
              <w:bottom w:val="single" w:sz="8" w:color="EBFBFF"/>
            </w:tcBorders>
          </w:tcPr>
          <w:p>
            <w:pPr>
              <w:spacing w:after="0"/>
              <w:rPr>
                <w:sz w:val="3"/>
                <w:szCs w:val="3"/>
                <w:color w:val="auto"/>
              </w:rPr>
            </w:pPr>
          </w:p>
        </w:tc>
        <w:tc>
          <w:tcPr>
            <w:tcW w:w="2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180" w:type="dxa"/>
            <w:vAlign w:val="bottom"/>
            <w:tcBorders>
              <w:bottom w:val="single" w:sz="8" w:color="51555C"/>
            </w:tcBorders>
          </w:tcPr>
          <w:p>
            <w:pPr>
              <w:spacing w:after="0"/>
              <w:rPr>
                <w:sz w:val="3"/>
                <w:szCs w:val="3"/>
                <w:color w:val="auto"/>
              </w:rPr>
            </w:pPr>
          </w:p>
        </w:tc>
      </w:tr>
      <w:tr>
        <w:trPr>
          <w:trHeight w:val="241"/>
        </w:trPr>
        <w:tc>
          <w:tcPr>
            <w:tcW w:w="7920" w:type="dxa"/>
            <w:vAlign w:val="bottom"/>
            <w:tcBorders>
              <w:bottom w:val="single" w:sz="8" w:color="EBFBFF"/>
            </w:tcBorders>
            <w:shd w:val="clear" w:color="auto" w:fill="EBFBFF"/>
          </w:tcPr>
          <w:p>
            <w:pPr>
              <w:ind w:left="880"/>
              <w:spacing w:after="0"/>
              <w:rPr>
                <w:sz w:val="20"/>
                <w:szCs w:val="20"/>
                <w:color w:val="auto"/>
              </w:rPr>
            </w:pPr>
            <w:r>
              <w:rPr>
                <w:rFonts w:ascii="Arial" w:cs="Arial" w:eastAsia="Arial" w:hAnsi="Arial"/>
                <w:sz w:val="16"/>
                <w:szCs w:val="16"/>
                <w:b w:val="1"/>
                <w:bCs w:val="1"/>
                <w:color w:val="51555C"/>
              </w:rPr>
              <w:t>Total assets</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jc w:val="right"/>
              <w:ind w:right="319"/>
              <w:spacing w:after="0"/>
              <w:rPr>
                <w:sz w:val="20"/>
                <w:szCs w:val="20"/>
                <w:color w:val="auto"/>
              </w:rPr>
            </w:pPr>
            <w:r>
              <w:rPr>
                <w:rFonts w:ascii="Arial" w:cs="Arial" w:eastAsia="Arial" w:hAnsi="Arial"/>
                <w:sz w:val="16"/>
                <w:szCs w:val="16"/>
                <w:color w:val="51555C"/>
                <w:w w:val="8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3,093,013</w:t>
            </w:r>
          </w:p>
        </w:tc>
        <w:tc>
          <w:tcPr>
            <w:tcW w:w="460" w:type="dxa"/>
            <w:vAlign w:val="bottom"/>
            <w:tcBorders>
              <w:bottom w:val="single" w:sz="8" w:color="EBFBFF"/>
            </w:tcBorders>
            <w:shd w:val="clear" w:color="auto" w:fill="EBFBFF"/>
          </w:tcPr>
          <w:p>
            <w:pPr>
              <w:jc w:val="right"/>
              <w:ind w:right="259"/>
              <w:spacing w:after="0"/>
              <w:rPr>
                <w:sz w:val="20"/>
                <w:szCs w:val="20"/>
                <w:color w:val="auto"/>
              </w:rPr>
            </w:pPr>
            <w:r>
              <w:rPr>
                <w:rFonts w:ascii="Arial" w:cs="Arial" w:eastAsia="Arial" w:hAnsi="Arial"/>
                <w:sz w:val="16"/>
                <w:szCs w:val="16"/>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2,992,703</w:t>
            </w:r>
          </w:p>
        </w:tc>
      </w:tr>
      <w:tr>
        <w:trPr>
          <w:trHeight w:val="199"/>
        </w:trPr>
        <w:tc>
          <w:tcPr>
            <w:tcW w:w="7920" w:type="dxa"/>
            <w:vAlign w:val="bottom"/>
            <w:tcBorders>
              <w:top w:val="single" w:sz="8" w:color="EBFBFF"/>
            </w:tcBorders>
          </w:tcPr>
          <w:p>
            <w:pPr>
              <w:ind w:left="20"/>
              <w:spacing w:after="0"/>
              <w:rPr>
                <w:sz w:val="20"/>
                <w:szCs w:val="20"/>
                <w:color w:val="auto"/>
              </w:rPr>
            </w:pPr>
            <w:r>
              <w:rPr>
                <w:rFonts w:ascii="Arial" w:cs="Arial" w:eastAsia="Arial" w:hAnsi="Arial"/>
                <w:sz w:val="16"/>
                <w:szCs w:val="16"/>
                <w:b w:val="1"/>
                <w:bCs w:val="1"/>
                <w:color w:val="51555C"/>
              </w:rPr>
              <w:t>Liabilites and stockholders’ equity</w:t>
            </w:r>
          </w:p>
        </w:tc>
        <w:tc>
          <w:tcPr>
            <w:tcW w:w="20" w:type="dxa"/>
            <w:vAlign w:val="bottom"/>
            <w:tcBorders>
              <w:top w:val="single" w:sz="8" w:color="EBFBFF"/>
            </w:tcBorders>
          </w:tcPr>
          <w:p>
            <w:pPr>
              <w:spacing w:after="0"/>
              <w:rPr>
                <w:sz w:val="17"/>
                <w:szCs w:val="17"/>
                <w:color w:val="auto"/>
              </w:rPr>
            </w:pPr>
          </w:p>
        </w:tc>
        <w:tc>
          <w:tcPr>
            <w:tcW w:w="500" w:type="dxa"/>
            <w:vAlign w:val="bottom"/>
            <w:tcBorders>
              <w:top w:val="single" w:sz="8" w:color="51555C"/>
            </w:tcBorders>
          </w:tcPr>
          <w:p>
            <w:pPr>
              <w:spacing w:after="0"/>
              <w:rPr>
                <w:sz w:val="17"/>
                <w:szCs w:val="17"/>
                <w:color w:val="auto"/>
              </w:rPr>
            </w:pPr>
          </w:p>
        </w:tc>
        <w:tc>
          <w:tcPr>
            <w:tcW w:w="1120" w:type="dxa"/>
            <w:vAlign w:val="bottom"/>
            <w:tcBorders>
              <w:top w:val="single" w:sz="8" w:color="51555C"/>
            </w:tcBorders>
          </w:tcPr>
          <w:p>
            <w:pPr>
              <w:spacing w:after="0"/>
              <w:rPr>
                <w:sz w:val="17"/>
                <w:szCs w:val="17"/>
                <w:color w:val="auto"/>
              </w:rPr>
            </w:pPr>
          </w:p>
        </w:tc>
        <w:tc>
          <w:tcPr>
            <w:tcW w:w="460" w:type="dxa"/>
            <w:vAlign w:val="bottom"/>
            <w:tcBorders>
              <w:top w:val="single" w:sz="8" w:color="51555C"/>
            </w:tcBorders>
          </w:tcPr>
          <w:p>
            <w:pPr>
              <w:spacing w:after="0"/>
              <w:rPr>
                <w:sz w:val="17"/>
                <w:szCs w:val="17"/>
                <w:color w:val="auto"/>
              </w:rPr>
            </w:pPr>
          </w:p>
        </w:tc>
        <w:tc>
          <w:tcPr>
            <w:tcW w:w="1180" w:type="dxa"/>
            <w:vAlign w:val="bottom"/>
            <w:tcBorders>
              <w:top w:val="single" w:sz="8" w:color="51555C"/>
            </w:tcBorders>
          </w:tcPr>
          <w:p>
            <w:pPr>
              <w:spacing w:after="0"/>
              <w:rPr>
                <w:sz w:val="17"/>
                <w:szCs w:val="17"/>
                <w:color w:val="auto"/>
              </w:rPr>
            </w:pPr>
          </w:p>
        </w:tc>
      </w:tr>
      <w:tr>
        <w:trPr>
          <w:trHeight w:val="37"/>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7"/>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Current liabilites:</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spacing w:after="0"/>
              <w:rPr>
                <w:sz w:val="20"/>
                <w:szCs w:val="20"/>
                <w:color w:val="auto"/>
              </w:rPr>
            </w:pP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spacing w:after="0"/>
              <w:rPr>
                <w:sz w:val="20"/>
                <w:szCs w:val="20"/>
                <w:color w:val="auto"/>
              </w:rPr>
            </w:pPr>
          </w:p>
        </w:tc>
      </w:tr>
      <w:tr>
        <w:trPr>
          <w:trHeight w:val="203"/>
        </w:trPr>
        <w:tc>
          <w:tcPr>
            <w:tcW w:w="7920" w:type="dxa"/>
            <w:vAlign w:val="bottom"/>
          </w:tcPr>
          <w:p>
            <w:pPr>
              <w:ind w:left="460"/>
              <w:spacing w:after="0"/>
              <w:rPr>
                <w:sz w:val="20"/>
                <w:szCs w:val="20"/>
                <w:color w:val="auto"/>
              </w:rPr>
            </w:pPr>
            <w:r>
              <w:rPr>
                <w:rFonts w:ascii="Arial" w:cs="Arial" w:eastAsia="Arial" w:hAnsi="Arial"/>
                <w:sz w:val="16"/>
                <w:szCs w:val="16"/>
                <w:color w:val="51555C"/>
              </w:rPr>
              <w:t>Trade accounts payable</w:t>
            </w:r>
          </w:p>
        </w:tc>
        <w:tc>
          <w:tcPr>
            <w:tcW w:w="520" w:type="dxa"/>
            <w:vAlign w:val="bottom"/>
            <w:gridSpan w:val="2"/>
          </w:tcPr>
          <w:p>
            <w:pPr>
              <w:jc w:val="right"/>
              <w:ind w:right="319"/>
              <w:spacing w:after="0"/>
              <w:rPr>
                <w:sz w:val="20"/>
                <w:szCs w:val="20"/>
                <w:color w:val="auto"/>
              </w:rPr>
            </w:pPr>
            <w:r>
              <w:rPr>
                <w:rFonts w:ascii="Arial" w:cs="Arial" w:eastAsia="Arial" w:hAnsi="Arial"/>
                <w:sz w:val="16"/>
                <w:szCs w:val="16"/>
                <w:color w:val="51555C"/>
              </w:rPr>
              <w:t>$</w:t>
            </w:r>
          </w:p>
        </w:tc>
        <w:tc>
          <w:tcPr>
            <w:tcW w:w="1120" w:type="dxa"/>
            <w:vAlign w:val="bottom"/>
          </w:tcPr>
          <w:p>
            <w:pPr>
              <w:jc w:val="right"/>
              <w:spacing w:after="0"/>
              <w:rPr>
                <w:sz w:val="20"/>
                <w:szCs w:val="20"/>
                <w:color w:val="auto"/>
              </w:rPr>
            </w:pPr>
            <w:r>
              <w:rPr>
                <w:rFonts w:ascii="Arial" w:cs="Arial" w:eastAsia="Arial" w:hAnsi="Arial"/>
                <w:sz w:val="16"/>
                <w:szCs w:val="16"/>
                <w:color w:val="51555C"/>
              </w:rPr>
              <w:t>40,730</w:t>
            </w:r>
          </w:p>
        </w:tc>
        <w:tc>
          <w:tcPr>
            <w:tcW w:w="460" w:type="dxa"/>
            <w:vAlign w:val="bottom"/>
          </w:tcPr>
          <w:p>
            <w:pPr>
              <w:jc w:val="right"/>
              <w:ind w:right="259"/>
              <w:spacing w:after="0"/>
              <w:rPr>
                <w:sz w:val="20"/>
                <w:szCs w:val="20"/>
                <w:color w:val="auto"/>
              </w:rPr>
            </w:pPr>
            <w:r>
              <w:rPr>
                <w:rFonts w:ascii="Arial" w:cs="Arial" w:eastAsia="Arial" w:hAnsi="Arial"/>
                <w:sz w:val="16"/>
                <w:szCs w:val="16"/>
                <w:color w:val="51555C"/>
              </w:rPr>
              <w:t>$</w:t>
            </w:r>
          </w:p>
        </w:tc>
        <w:tc>
          <w:tcPr>
            <w:tcW w:w="1180" w:type="dxa"/>
            <w:vAlign w:val="bottom"/>
          </w:tcPr>
          <w:p>
            <w:pPr>
              <w:jc w:val="right"/>
              <w:spacing w:after="0"/>
              <w:rPr>
                <w:sz w:val="20"/>
                <w:szCs w:val="20"/>
                <w:color w:val="auto"/>
              </w:rPr>
            </w:pPr>
            <w:r>
              <w:rPr>
                <w:rFonts w:ascii="Arial" w:cs="Arial" w:eastAsia="Arial" w:hAnsi="Arial"/>
                <w:sz w:val="16"/>
                <w:szCs w:val="16"/>
                <w:color w:val="51555C"/>
              </w:rPr>
              <w:t>42,559</w:t>
            </w:r>
          </w:p>
        </w:tc>
      </w:tr>
      <w:tr>
        <w:trPr>
          <w:trHeight w:val="40"/>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3"/>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Accrued expenses and other current liabilites</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102,747</w:t>
            </w: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86,002</w:t>
            </w:r>
          </w:p>
        </w:tc>
      </w:tr>
      <w:tr>
        <w:trPr>
          <w:trHeight w:val="204"/>
        </w:trPr>
        <w:tc>
          <w:tcPr>
            <w:tcW w:w="7920" w:type="dxa"/>
            <w:vAlign w:val="bottom"/>
          </w:tcPr>
          <w:p>
            <w:pPr>
              <w:ind w:left="460"/>
              <w:spacing w:after="0"/>
              <w:rPr>
                <w:sz w:val="20"/>
                <w:szCs w:val="20"/>
                <w:color w:val="auto"/>
              </w:rPr>
            </w:pPr>
            <w:r>
              <w:rPr>
                <w:rFonts w:ascii="Arial" w:cs="Arial" w:eastAsia="Arial" w:hAnsi="Arial"/>
                <w:sz w:val="16"/>
                <w:szCs w:val="16"/>
                <w:color w:val="51555C"/>
              </w:rPr>
              <w:t>Due to customers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763,845</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700,860</w:t>
            </w:r>
          </w:p>
        </w:tc>
      </w:tr>
      <w:tr>
        <w:trPr>
          <w:trHeight w:val="53"/>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3"/>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Debt, current porton</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19,176</w:t>
            </w: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18,802</w:t>
            </w:r>
          </w:p>
        </w:tc>
      </w:tr>
      <w:tr>
        <w:trPr>
          <w:trHeight w:val="203"/>
        </w:trPr>
        <w:tc>
          <w:tcPr>
            <w:tcW w:w="7920" w:type="dxa"/>
            <w:vAlign w:val="bottom"/>
          </w:tcPr>
          <w:p>
            <w:pPr>
              <w:ind w:left="460"/>
              <w:spacing w:after="0"/>
              <w:rPr>
                <w:sz w:val="20"/>
                <w:szCs w:val="20"/>
                <w:color w:val="auto"/>
              </w:rPr>
            </w:pPr>
            <w:r>
              <w:rPr>
                <w:rFonts w:ascii="Arial" w:cs="Arial" w:eastAsia="Arial" w:hAnsi="Arial"/>
                <w:sz w:val="16"/>
                <w:szCs w:val="16"/>
                <w:color w:val="51555C"/>
              </w:rPr>
              <w:t>Deferred revenue, current porton</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434,631</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382,419</w:t>
            </w:r>
          </w:p>
        </w:tc>
      </w:tr>
      <w:tr>
        <w:trPr>
          <w:trHeight w:val="53"/>
        </w:trPr>
        <w:tc>
          <w:tcPr>
            <w:tcW w:w="7920" w:type="dxa"/>
            <w:vAlign w:val="bottom"/>
            <w:tcBorders>
              <w:bottom w:val="single" w:sz="8" w:color="EBFBFF"/>
            </w:tcBorders>
          </w:tcPr>
          <w:p>
            <w:pPr>
              <w:spacing w:after="0"/>
              <w:rPr>
                <w:sz w:val="4"/>
                <w:szCs w:val="4"/>
                <w:color w:val="auto"/>
              </w:rPr>
            </w:pPr>
          </w:p>
        </w:tc>
        <w:tc>
          <w:tcPr>
            <w:tcW w:w="2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r>
      <w:tr>
        <w:trPr>
          <w:trHeight w:val="217"/>
        </w:trPr>
        <w:tc>
          <w:tcPr>
            <w:tcW w:w="7920" w:type="dxa"/>
            <w:vAlign w:val="bottom"/>
            <w:tcBorders>
              <w:bottom w:val="single" w:sz="8" w:color="EBFBFF"/>
            </w:tcBorders>
            <w:shd w:val="clear" w:color="auto" w:fill="EBFBFF"/>
          </w:tcPr>
          <w:p>
            <w:pPr>
              <w:ind w:left="660"/>
              <w:spacing w:after="0"/>
              <w:rPr>
                <w:sz w:val="20"/>
                <w:szCs w:val="20"/>
                <w:color w:val="auto"/>
              </w:rPr>
            </w:pPr>
            <w:r>
              <w:rPr>
                <w:rFonts w:ascii="Arial" w:cs="Arial" w:eastAsia="Arial" w:hAnsi="Arial"/>
                <w:sz w:val="16"/>
                <w:szCs w:val="16"/>
                <w:color w:val="51555C"/>
              </w:rPr>
              <w:t>Total current liabilites</w:t>
            </w:r>
          </w:p>
        </w:tc>
        <w:tc>
          <w:tcPr>
            <w:tcW w:w="20" w:type="dxa"/>
            <w:vAlign w:val="bottom"/>
            <w:tcBorders>
              <w:bottom w:val="single" w:sz="8" w:color="EBFBFF"/>
            </w:tcBorders>
            <w:shd w:val="clear" w:color="auto" w:fill="EBFBFF"/>
          </w:tcPr>
          <w:p>
            <w:pPr>
              <w:spacing w:after="0"/>
              <w:rPr>
                <w:sz w:val="18"/>
                <w:szCs w:val="18"/>
                <w:color w:val="auto"/>
              </w:rPr>
            </w:pPr>
          </w:p>
        </w:tc>
        <w:tc>
          <w:tcPr>
            <w:tcW w:w="50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1,361,129</w:t>
            </w:r>
          </w:p>
        </w:tc>
        <w:tc>
          <w:tcPr>
            <w:tcW w:w="460" w:type="dxa"/>
            <w:vAlign w:val="bottom"/>
            <w:tcBorders>
              <w:bottom w:val="single" w:sz="8" w:color="EBFBFF"/>
            </w:tcBorders>
            <w:shd w:val="clear" w:color="auto" w:fill="EBFBFF"/>
          </w:tcPr>
          <w:p>
            <w:pPr>
              <w:spacing w:after="0"/>
              <w:rPr>
                <w:sz w:val="18"/>
                <w:szCs w:val="18"/>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1,230,642</w:t>
            </w:r>
          </w:p>
        </w:tc>
      </w:tr>
      <w:tr>
        <w:trPr>
          <w:trHeight w:val="204"/>
        </w:trPr>
        <w:tc>
          <w:tcPr>
            <w:tcW w:w="7920" w:type="dxa"/>
            <w:vAlign w:val="bottom"/>
          </w:tcPr>
          <w:p>
            <w:pPr>
              <w:ind w:left="240"/>
              <w:spacing w:after="0"/>
              <w:rPr>
                <w:sz w:val="20"/>
                <w:szCs w:val="20"/>
                <w:color w:val="auto"/>
              </w:rPr>
            </w:pPr>
            <w:r>
              <w:rPr>
                <w:rFonts w:ascii="Arial" w:cs="Arial" w:eastAsia="Arial" w:hAnsi="Arial"/>
                <w:sz w:val="16"/>
                <w:szCs w:val="16"/>
                <w:color w:val="51555C"/>
              </w:rPr>
              <w:t>Debt, net of current porton</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827,403</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840,241</w:t>
            </w:r>
          </w:p>
        </w:tc>
      </w:tr>
      <w:tr>
        <w:trPr>
          <w:trHeight w:val="39"/>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7"/>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Deferred tax liability</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91,306</w:t>
            </w: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125,759</w:t>
            </w:r>
          </w:p>
        </w:tc>
      </w:tr>
      <w:tr>
        <w:trPr>
          <w:trHeight w:val="203"/>
        </w:trPr>
        <w:tc>
          <w:tcPr>
            <w:tcW w:w="7920" w:type="dxa"/>
            <w:vAlign w:val="bottom"/>
          </w:tcPr>
          <w:p>
            <w:pPr>
              <w:ind w:left="240"/>
              <w:spacing w:after="0"/>
              <w:rPr>
                <w:sz w:val="20"/>
                <w:szCs w:val="20"/>
                <w:color w:val="auto"/>
              </w:rPr>
            </w:pPr>
            <w:r>
              <w:rPr>
                <w:rFonts w:ascii="Arial" w:cs="Arial" w:eastAsia="Arial" w:hAnsi="Arial"/>
                <w:sz w:val="16"/>
                <w:szCs w:val="16"/>
                <w:color w:val="51555C"/>
              </w:rPr>
              <w:t>Deferred revenue, net of current porton</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3,520</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2,817</w:t>
            </w:r>
          </w:p>
        </w:tc>
      </w:tr>
      <w:tr>
        <w:trPr>
          <w:trHeight w:val="40"/>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3"/>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Operatng lease liabilites, net of current porton</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43,529</w:t>
            </w: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44,918</w:t>
            </w:r>
          </w:p>
        </w:tc>
      </w:tr>
      <w:tr>
        <w:trPr>
          <w:trHeight w:val="204"/>
        </w:trPr>
        <w:tc>
          <w:tcPr>
            <w:tcW w:w="7920" w:type="dxa"/>
            <w:vAlign w:val="bottom"/>
          </w:tcPr>
          <w:p>
            <w:pPr>
              <w:ind w:left="240"/>
              <w:spacing w:after="0"/>
              <w:rPr>
                <w:sz w:val="20"/>
                <w:szCs w:val="20"/>
                <w:color w:val="auto"/>
              </w:rPr>
            </w:pPr>
            <w:r>
              <w:rPr>
                <w:rFonts w:ascii="Arial" w:cs="Arial" w:eastAsia="Arial" w:hAnsi="Arial"/>
                <w:sz w:val="16"/>
                <w:szCs w:val="16"/>
                <w:color w:val="51555C"/>
              </w:rPr>
              <w:t>Other liabilites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4,756</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4,294</w:t>
            </w:r>
          </w:p>
        </w:tc>
      </w:tr>
      <w:tr>
        <w:trPr>
          <w:trHeight w:val="53"/>
        </w:trPr>
        <w:tc>
          <w:tcPr>
            <w:tcW w:w="7920" w:type="dxa"/>
            <w:vAlign w:val="bottom"/>
            <w:tcBorders>
              <w:bottom w:val="single" w:sz="8" w:color="EBFBFF"/>
            </w:tcBorders>
          </w:tcPr>
          <w:p>
            <w:pPr>
              <w:spacing w:after="0"/>
              <w:rPr>
                <w:sz w:val="4"/>
                <w:szCs w:val="4"/>
                <w:color w:val="auto"/>
              </w:rPr>
            </w:pPr>
          </w:p>
        </w:tc>
        <w:tc>
          <w:tcPr>
            <w:tcW w:w="2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r>
      <w:tr>
        <w:trPr>
          <w:trHeight w:val="241"/>
        </w:trPr>
        <w:tc>
          <w:tcPr>
            <w:tcW w:w="7920" w:type="dxa"/>
            <w:vAlign w:val="bottom"/>
            <w:tcBorders>
              <w:bottom w:val="single" w:sz="8" w:color="EBFBFF"/>
            </w:tcBorders>
            <w:shd w:val="clear" w:color="auto" w:fill="EBFBFF"/>
          </w:tcPr>
          <w:p>
            <w:pPr>
              <w:ind w:left="880"/>
              <w:spacing w:after="0"/>
              <w:rPr>
                <w:sz w:val="20"/>
                <w:szCs w:val="20"/>
                <w:color w:val="auto"/>
              </w:rPr>
            </w:pPr>
            <w:r>
              <w:rPr>
                <w:rFonts w:ascii="Arial" w:cs="Arial" w:eastAsia="Arial" w:hAnsi="Arial"/>
                <w:sz w:val="16"/>
                <w:szCs w:val="16"/>
                <w:b w:val="1"/>
                <w:bCs w:val="1"/>
                <w:color w:val="51555C"/>
              </w:rPr>
              <w:t>Total liabilites</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2,331,643</w:t>
            </w: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2,248,671</w:t>
            </w:r>
          </w:p>
        </w:tc>
      </w:tr>
      <w:tr>
        <w:trPr>
          <w:trHeight w:val="197"/>
        </w:trPr>
        <w:tc>
          <w:tcPr>
            <w:tcW w:w="7920" w:type="dxa"/>
            <w:vAlign w:val="bottom"/>
            <w:tcBorders>
              <w:top w:val="single" w:sz="8" w:color="EBFBFF"/>
            </w:tcBorders>
          </w:tcPr>
          <w:p>
            <w:pPr>
              <w:ind w:left="240"/>
              <w:spacing w:after="0"/>
              <w:rPr>
                <w:sz w:val="20"/>
                <w:szCs w:val="20"/>
                <w:color w:val="auto"/>
              </w:rPr>
            </w:pPr>
            <w:r>
              <w:rPr>
                <w:rFonts w:ascii="Arial" w:cs="Arial" w:eastAsia="Arial" w:hAnsi="Arial"/>
                <w:sz w:val="16"/>
                <w:szCs w:val="16"/>
                <w:color w:val="51555C"/>
              </w:rPr>
              <w:t>Commitments and contngencies (see Note 8)</w:t>
            </w:r>
          </w:p>
        </w:tc>
        <w:tc>
          <w:tcPr>
            <w:tcW w:w="20" w:type="dxa"/>
            <w:vAlign w:val="bottom"/>
            <w:tcBorders>
              <w:top w:val="single" w:sz="8" w:color="EBFBFF"/>
            </w:tcBorders>
          </w:tcPr>
          <w:p>
            <w:pPr>
              <w:spacing w:after="0"/>
              <w:rPr>
                <w:sz w:val="17"/>
                <w:szCs w:val="17"/>
                <w:color w:val="auto"/>
              </w:rPr>
            </w:pPr>
          </w:p>
        </w:tc>
        <w:tc>
          <w:tcPr>
            <w:tcW w:w="500" w:type="dxa"/>
            <w:vAlign w:val="bottom"/>
            <w:tcBorders>
              <w:top w:val="single" w:sz="8" w:color="51555C"/>
            </w:tcBorders>
          </w:tcPr>
          <w:p>
            <w:pPr>
              <w:spacing w:after="0"/>
              <w:rPr>
                <w:sz w:val="17"/>
                <w:szCs w:val="17"/>
                <w:color w:val="auto"/>
              </w:rPr>
            </w:pPr>
          </w:p>
        </w:tc>
        <w:tc>
          <w:tcPr>
            <w:tcW w:w="1120" w:type="dxa"/>
            <w:vAlign w:val="bottom"/>
            <w:tcBorders>
              <w:top w:val="single" w:sz="8" w:color="51555C"/>
            </w:tcBorders>
          </w:tcPr>
          <w:p>
            <w:pPr>
              <w:spacing w:after="0"/>
              <w:rPr>
                <w:sz w:val="17"/>
                <w:szCs w:val="17"/>
                <w:color w:val="auto"/>
              </w:rPr>
            </w:pPr>
          </w:p>
        </w:tc>
        <w:tc>
          <w:tcPr>
            <w:tcW w:w="460" w:type="dxa"/>
            <w:vAlign w:val="bottom"/>
            <w:tcBorders>
              <w:top w:val="single" w:sz="8" w:color="51555C"/>
            </w:tcBorders>
          </w:tcPr>
          <w:p>
            <w:pPr>
              <w:spacing w:after="0"/>
              <w:rPr>
                <w:sz w:val="17"/>
                <w:szCs w:val="17"/>
                <w:color w:val="auto"/>
              </w:rPr>
            </w:pPr>
          </w:p>
        </w:tc>
        <w:tc>
          <w:tcPr>
            <w:tcW w:w="1180" w:type="dxa"/>
            <w:vAlign w:val="bottom"/>
            <w:tcBorders>
              <w:top w:val="single" w:sz="8" w:color="51555C"/>
            </w:tcBorders>
          </w:tcPr>
          <w:p>
            <w:pPr>
              <w:spacing w:after="0"/>
              <w:rPr>
                <w:sz w:val="17"/>
                <w:szCs w:val="17"/>
                <w:color w:val="auto"/>
              </w:rPr>
            </w:pPr>
          </w:p>
        </w:tc>
      </w:tr>
      <w:tr>
        <w:trPr>
          <w:trHeight w:val="40"/>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6"/>
        </w:trPr>
        <w:tc>
          <w:tcPr>
            <w:tcW w:w="792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6"/>
                <w:szCs w:val="16"/>
                <w:color w:val="51555C"/>
              </w:rPr>
              <w:t>Stockholders’ equity:</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spacing w:after="0"/>
              <w:rPr>
                <w:sz w:val="20"/>
                <w:szCs w:val="20"/>
                <w:color w:val="auto"/>
              </w:rPr>
            </w:pP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spacing w:after="0"/>
              <w:rPr>
                <w:sz w:val="20"/>
                <w:szCs w:val="20"/>
                <w:color w:val="auto"/>
              </w:rPr>
            </w:pPr>
          </w:p>
        </w:tc>
      </w:tr>
      <w:tr>
        <w:trPr>
          <w:trHeight w:val="203"/>
        </w:trPr>
        <w:tc>
          <w:tcPr>
            <w:tcW w:w="7920" w:type="dxa"/>
            <w:vAlign w:val="bottom"/>
          </w:tcPr>
          <w:p>
            <w:pPr>
              <w:ind w:left="460"/>
              <w:spacing w:after="0"/>
              <w:rPr>
                <w:sz w:val="20"/>
                <w:szCs w:val="20"/>
                <w:color w:val="auto"/>
              </w:rPr>
            </w:pPr>
            <w:r>
              <w:rPr>
                <w:rFonts w:ascii="Arial" w:cs="Arial" w:eastAsia="Arial" w:hAnsi="Arial"/>
                <w:sz w:val="16"/>
                <w:szCs w:val="16"/>
                <w:color w:val="51555C"/>
              </w:rPr>
              <w:t>Preferred stock; 20,000,000 shares authorized, none outstanding</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40"/>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8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w w:val="94"/>
              </w:rPr>
              <w:t>Common stock, $0.001 par value; 180,000,000 shares authorized, 69,164,244 and 67,814,044 shares issued at</w:t>
            </w:r>
          </w:p>
        </w:tc>
        <w:tc>
          <w:tcPr>
            <w:tcW w:w="20" w:type="dxa"/>
            <w:vAlign w:val="bottom"/>
            <w:shd w:val="clear" w:color="auto" w:fill="EBFBFF"/>
          </w:tcPr>
          <w:p>
            <w:pPr>
              <w:spacing w:after="0"/>
              <w:rPr>
                <w:sz w:val="16"/>
                <w:szCs w:val="16"/>
                <w:color w:val="auto"/>
              </w:rPr>
            </w:pPr>
          </w:p>
        </w:tc>
        <w:tc>
          <w:tcPr>
            <w:tcW w:w="500" w:type="dxa"/>
            <w:vAlign w:val="bottom"/>
            <w:shd w:val="clear" w:color="auto" w:fill="EBFBFF"/>
          </w:tcPr>
          <w:p>
            <w:pPr>
              <w:spacing w:after="0"/>
              <w:rPr>
                <w:sz w:val="16"/>
                <w:szCs w:val="16"/>
                <w:color w:val="auto"/>
              </w:rPr>
            </w:pPr>
          </w:p>
        </w:tc>
        <w:tc>
          <w:tcPr>
            <w:tcW w:w="1120" w:type="dxa"/>
            <w:vAlign w:val="bottom"/>
            <w:shd w:val="clear" w:color="auto" w:fill="EBFBFF"/>
          </w:tcPr>
          <w:p>
            <w:pPr>
              <w:spacing w:after="0"/>
              <w:rPr>
                <w:sz w:val="16"/>
                <w:szCs w:val="16"/>
                <w:color w:val="auto"/>
              </w:rPr>
            </w:pPr>
          </w:p>
        </w:tc>
        <w:tc>
          <w:tcPr>
            <w:tcW w:w="460" w:type="dxa"/>
            <w:vAlign w:val="bottom"/>
            <w:shd w:val="clear" w:color="auto" w:fill="EBFBFF"/>
          </w:tcPr>
          <w:p>
            <w:pPr>
              <w:spacing w:after="0"/>
              <w:rPr>
                <w:sz w:val="16"/>
                <w:szCs w:val="16"/>
                <w:color w:val="auto"/>
              </w:rPr>
            </w:pPr>
          </w:p>
        </w:tc>
        <w:tc>
          <w:tcPr>
            <w:tcW w:w="1180" w:type="dxa"/>
            <w:vAlign w:val="bottom"/>
            <w:shd w:val="clear" w:color="auto" w:fill="EBFBFF"/>
          </w:tcPr>
          <w:p>
            <w:pPr>
              <w:spacing w:after="0"/>
              <w:rPr>
                <w:sz w:val="16"/>
                <w:szCs w:val="16"/>
                <w:color w:val="auto"/>
              </w:rPr>
            </w:pPr>
          </w:p>
        </w:tc>
      </w:tr>
      <w:tr>
        <w:trPr>
          <w:trHeight w:val="238"/>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June 30, 2023 and December 31, 2022, respectvely</w:t>
            </w:r>
          </w:p>
        </w:tc>
        <w:tc>
          <w:tcPr>
            <w:tcW w:w="20" w:type="dxa"/>
            <w:vAlign w:val="bottom"/>
            <w:tcBorders>
              <w:bottom w:val="single" w:sz="8" w:color="EBFBFF"/>
            </w:tcBorders>
            <w:shd w:val="clear" w:color="auto" w:fill="EBFBFF"/>
          </w:tcPr>
          <w:p>
            <w:pPr>
              <w:spacing w:after="0"/>
              <w:rPr>
                <w:sz w:val="20"/>
                <w:szCs w:val="20"/>
                <w:color w:val="auto"/>
              </w:rPr>
            </w:pPr>
          </w:p>
        </w:tc>
        <w:tc>
          <w:tcPr>
            <w:tcW w:w="500" w:type="dxa"/>
            <w:vAlign w:val="bottom"/>
            <w:tcBorders>
              <w:bottom w:val="single" w:sz="8" w:color="EBFBFF"/>
            </w:tcBorders>
            <w:shd w:val="clear" w:color="auto" w:fill="EBFBFF"/>
          </w:tcPr>
          <w:p>
            <w:pPr>
              <w:spacing w:after="0"/>
              <w:rPr>
                <w:sz w:val="20"/>
                <w:szCs w:val="20"/>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69</w:t>
            </w:r>
          </w:p>
        </w:tc>
        <w:tc>
          <w:tcPr>
            <w:tcW w:w="460" w:type="dxa"/>
            <w:vAlign w:val="bottom"/>
            <w:tcBorders>
              <w:bottom w:val="single" w:sz="8" w:color="EBFBFF"/>
            </w:tcBorders>
            <w:shd w:val="clear" w:color="auto" w:fill="EBFBFF"/>
          </w:tcPr>
          <w:p>
            <w:pPr>
              <w:spacing w:after="0"/>
              <w:rPr>
                <w:sz w:val="20"/>
                <w:szCs w:val="20"/>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68</w:t>
            </w:r>
          </w:p>
        </w:tc>
      </w:tr>
      <w:tr>
        <w:trPr>
          <w:trHeight w:val="204"/>
        </w:trPr>
        <w:tc>
          <w:tcPr>
            <w:tcW w:w="7920" w:type="dxa"/>
            <w:vAlign w:val="bottom"/>
          </w:tcPr>
          <w:p>
            <w:pPr>
              <w:ind w:left="460"/>
              <w:spacing w:after="0"/>
              <w:rPr>
                <w:sz w:val="20"/>
                <w:szCs w:val="20"/>
                <w:color w:val="auto"/>
              </w:rPr>
            </w:pPr>
            <w:r>
              <w:rPr>
                <w:rFonts w:ascii="Arial" w:cs="Arial" w:eastAsia="Arial" w:hAnsi="Arial"/>
                <w:sz w:val="16"/>
                <w:szCs w:val="16"/>
                <w:color w:val="51555C"/>
              </w:rPr>
              <w:t>Additonal paid-in capital</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1,138,553</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1,075,264</w:t>
            </w:r>
          </w:p>
        </w:tc>
      </w:tr>
      <w:tr>
        <w:trPr>
          <w:trHeight w:val="40"/>
        </w:trPr>
        <w:tc>
          <w:tcPr>
            <w:tcW w:w="79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3"/>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w w:val="92"/>
              </w:rPr>
              <w:t>Treasury stock, at cost; 15,311,367 and 14,745,230 shares at June 30, 2023 and December 31, 2022, respectvely</w:t>
            </w:r>
          </w:p>
        </w:tc>
        <w:tc>
          <w:tcPr>
            <w:tcW w:w="20" w:type="dxa"/>
            <w:vAlign w:val="bottom"/>
            <w:tcBorders>
              <w:bottom w:val="single" w:sz="8" w:color="EBFBFF"/>
            </w:tcBorders>
            <w:shd w:val="clear" w:color="auto" w:fill="EBFBFF"/>
          </w:tcPr>
          <w:p>
            <w:pPr>
              <w:spacing w:after="0"/>
              <w:rPr>
                <w:sz w:val="19"/>
                <w:szCs w:val="19"/>
                <w:color w:val="auto"/>
              </w:rPr>
            </w:pPr>
          </w:p>
        </w:tc>
        <w:tc>
          <w:tcPr>
            <w:tcW w:w="500" w:type="dxa"/>
            <w:vAlign w:val="bottom"/>
            <w:tcBorders>
              <w:bottom w:val="single" w:sz="8" w:color="EBFBFF"/>
            </w:tcBorders>
            <w:shd w:val="clear" w:color="auto" w:fill="EBFBFF"/>
          </w:tcPr>
          <w:p>
            <w:pPr>
              <w:spacing w:after="0"/>
              <w:rPr>
                <w:sz w:val="19"/>
                <w:szCs w:val="19"/>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(570,547)</w:t>
            </w:r>
          </w:p>
        </w:tc>
        <w:tc>
          <w:tcPr>
            <w:tcW w:w="460" w:type="dxa"/>
            <w:vAlign w:val="bottom"/>
            <w:tcBorders>
              <w:bottom w:val="single" w:sz="8" w:color="EBFBFF"/>
            </w:tcBorders>
            <w:shd w:val="clear" w:color="auto" w:fill="EBFBFF"/>
          </w:tcPr>
          <w:p>
            <w:pPr>
              <w:spacing w:after="0"/>
              <w:rPr>
                <w:sz w:val="19"/>
                <w:szCs w:val="19"/>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(537,287)</w:t>
            </w:r>
          </w:p>
        </w:tc>
      </w:tr>
      <w:tr>
        <w:trPr>
          <w:trHeight w:val="204"/>
        </w:trPr>
        <w:tc>
          <w:tcPr>
            <w:tcW w:w="7920" w:type="dxa"/>
            <w:vAlign w:val="bottom"/>
          </w:tcPr>
          <w:p>
            <w:pPr>
              <w:ind w:left="460"/>
              <w:spacing w:after="0"/>
              <w:rPr>
                <w:sz w:val="20"/>
                <w:szCs w:val="20"/>
                <w:color w:val="auto"/>
              </w:rPr>
            </w:pPr>
            <w:r>
              <w:rPr>
                <w:rFonts w:ascii="Arial" w:cs="Arial" w:eastAsia="Arial" w:hAnsi="Arial"/>
                <w:sz w:val="16"/>
                <w:szCs w:val="16"/>
                <w:color w:val="51555C"/>
              </w:rPr>
              <w:t>Accumulated other comprehensive income</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51555C"/>
              </w:rPr>
              <w:t>8,842</w:t>
            </w:r>
          </w:p>
        </w:tc>
        <w:tc>
          <w:tcPr>
            <w:tcW w:w="4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51555C"/>
              </w:rPr>
              <w:t>8,938</w:t>
            </w:r>
          </w:p>
        </w:tc>
      </w:tr>
      <w:tr>
        <w:trPr>
          <w:trHeight w:val="53"/>
        </w:trPr>
        <w:tc>
          <w:tcPr>
            <w:tcW w:w="79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48"/>
        </w:trPr>
        <w:tc>
          <w:tcPr>
            <w:tcW w:w="792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6"/>
                <w:szCs w:val="16"/>
                <w:color w:val="51555C"/>
              </w:rPr>
              <w:t>Retained earnings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184,453</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197,049</w:t>
            </w:r>
          </w:p>
        </w:tc>
      </w:tr>
      <w:tr>
        <w:trPr>
          <w:trHeight w:val="199"/>
        </w:trPr>
        <w:tc>
          <w:tcPr>
            <w:tcW w:w="7920" w:type="dxa"/>
            <w:vAlign w:val="bottom"/>
            <w:tcBorders>
              <w:top w:val="single" w:sz="8" w:color="EBFBFF"/>
            </w:tcBorders>
          </w:tcPr>
          <w:p>
            <w:pPr>
              <w:ind w:left="880"/>
              <w:spacing w:after="0"/>
              <w:rPr>
                <w:sz w:val="20"/>
                <w:szCs w:val="20"/>
                <w:color w:val="auto"/>
              </w:rPr>
            </w:pPr>
            <w:r>
              <w:rPr>
                <w:rFonts w:ascii="Arial" w:cs="Arial" w:eastAsia="Arial" w:hAnsi="Arial"/>
                <w:sz w:val="16"/>
                <w:szCs w:val="16"/>
                <w:b w:val="1"/>
                <w:bCs w:val="1"/>
                <w:color w:val="51555C"/>
              </w:rPr>
              <w:t>Total stockholders’ equity</w:t>
            </w:r>
          </w:p>
        </w:tc>
        <w:tc>
          <w:tcPr>
            <w:tcW w:w="20" w:type="dxa"/>
            <w:vAlign w:val="bottom"/>
            <w:tcBorders>
              <w:top w:val="single" w:sz="8" w:color="EBFBFF"/>
            </w:tcBorders>
          </w:tcPr>
          <w:p>
            <w:pPr>
              <w:spacing w:after="0"/>
              <w:rPr>
                <w:sz w:val="17"/>
                <w:szCs w:val="17"/>
                <w:color w:val="auto"/>
              </w:rPr>
            </w:pPr>
          </w:p>
        </w:tc>
        <w:tc>
          <w:tcPr>
            <w:tcW w:w="500" w:type="dxa"/>
            <w:vAlign w:val="bottom"/>
            <w:tcBorders>
              <w:top w:val="single" w:sz="8" w:color="51555C"/>
            </w:tcBorders>
          </w:tcPr>
          <w:p>
            <w:pPr>
              <w:spacing w:after="0"/>
              <w:rPr>
                <w:sz w:val="17"/>
                <w:szCs w:val="17"/>
                <w:color w:val="auto"/>
              </w:rPr>
            </w:pP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761,370</w:t>
            </w:r>
          </w:p>
        </w:tc>
        <w:tc>
          <w:tcPr>
            <w:tcW w:w="460" w:type="dxa"/>
            <w:vAlign w:val="bottom"/>
            <w:tcBorders>
              <w:top w:val="single" w:sz="8" w:color="51555C"/>
            </w:tcBorders>
          </w:tcPr>
          <w:p>
            <w:pPr>
              <w:spacing w:after="0"/>
              <w:rPr>
                <w:sz w:val="17"/>
                <w:szCs w:val="17"/>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744,032</w:t>
            </w:r>
          </w:p>
        </w:tc>
      </w:tr>
      <w:tr>
        <w:trPr>
          <w:trHeight w:val="51"/>
        </w:trPr>
        <w:tc>
          <w:tcPr>
            <w:tcW w:w="7920" w:type="dxa"/>
            <w:vAlign w:val="bottom"/>
            <w:tcBorders>
              <w:bottom w:val="single" w:sz="8" w:color="EBFBFF"/>
            </w:tcBorders>
          </w:tcPr>
          <w:p>
            <w:pPr>
              <w:spacing w:after="0"/>
              <w:rPr>
                <w:sz w:val="4"/>
                <w:szCs w:val="4"/>
                <w:color w:val="auto"/>
              </w:rPr>
            </w:pPr>
          </w:p>
        </w:tc>
        <w:tc>
          <w:tcPr>
            <w:tcW w:w="2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r>
      <w:tr>
        <w:trPr>
          <w:trHeight w:val="216"/>
        </w:trPr>
        <w:tc>
          <w:tcPr>
            <w:tcW w:w="7920" w:type="dxa"/>
            <w:vAlign w:val="bottom"/>
            <w:tcBorders>
              <w:bottom w:val="single" w:sz="8" w:color="EBFBFF"/>
            </w:tcBorders>
            <w:shd w:val="clear" w:color="auto" w:fill="EBFBFF"/>
          </w:tcPr>
          <w:p>
            <w:pPr>
              <w:ind w:left="880"/>
              <w:spacing w:after="0"/>
              <w:rPr>
                <w:sz w:val="20"/>
                <w:szCs w:val="20"/>
                <w:color w:val="auto"/>
              </w:rPr>
            </w:pPr>
            <w:r>
              <w:rPr>
                <w:rFonts w:ascii="Arial" w:cs="Arial" w:eastAsia="Arial" w:hAnsi="Arial"/>
                <w:sz w:val="16"/>
                <w:szCs w:val="16"/>
                <w:b w:val="1"/>
                <w:bCs w:val="1"/>
                <w:color w:val="51555C"/>
              </w:rPr>
              <w:t>Total liabilites and stockholders’ equity</w:t>
            </w:r>
          </w:p>
        </w:tc>
        <w:tc>
          <w:tcPr>
            <w:tcW w:w="20" w:type="dxa"/>
            <w:vAlign w:val="bottom"/>
            <w:tcBorders>
              <w:bottom w:val="single" w:sz="8" w:color="EBFBFF"/>
            </w:tcBorders>
            <w:shd w:val="clear" w:color="auto" w:fill="EBFBFF"/>
          </w:tcPr>
          <w:p>
            <w:pPr>
              <w:spacing w:after="0"/>
              <w:rPr>
                <w:sz w:val="18"/>
                <w:szCs w:val="18"/>
                <w:color w:val="auto"/>
              </w:rPr>
            </w:pPr>
          </w:p>
        </w:tc>
        <w:tc>
          <w:tcPr>
            <w:tcW w:w="500" w:type="dxa"/>
            <w:vAlign w:val="bottom"/>
            <w:tcBorders>
              <w:bottom w:val="single" w:sz="8" w:color="EBFBFF"/>
            </w:tcBorders>
            <w:shd w:val="clear" w:color="auto" w:fill="EBFBFF"/>
          </w:tcPr>
          <w:p>
            <w:pPr>
              <w:jc w:val="right"/>
              <w:ind w:right="319"/>
              <w:spacing w:after="0"/>
              <w:rPr>
                <w:sz w:val="20"/>
                <w:szCs w:val="20"/>
                <w:color w:val="auto"/>
              </w:rPr>
            </w:pPr>
            <w:r>
              <w:rPr>
                <w:rFonts w:ascii="Arial" w:cs="Arial" w:eastAsia="Arial" w:hAnsi="Arial"/>
                <w:sz w:val="16"/>
                <w:szCs w:val="16"/>
                <w:color w:val="51555C"/>
                <w:w w:val="8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3,093,013</w:t>
            </w:r>
          </w:p>
        </w:tc>
        <w:tc>
          <w:tcPr>
            <w:tcW w:w="460" w:type="dxa"/>
            <w:vAlign w:val="bottom"/>
            <w:tcBorders>
              <w:bottom w:val="single" w:sz="8" w:color="EBFBFF"/>
            </w:tcBorders>
            <w:shd w:val="clear" w:color="auto" w:fill="EBFBFF"/>
          </w:tcPr>
          <w:p>
            <w:pPr>
              <w:jc w:val="right"/>
              <w:ind w:right="259"/>
              <w:spacing w:after="0"/>
              <w:rPr>
                <w:sz w:val="20"/>
                <w:szCs w:val="20"/>
                <w:color w:val="auto"/>
              </w:rPr>
            </w:pPr>
            <w:r>
              <w:rPr>
                <w:rFonts w:ascii="Arial" w:cs="Arial" w:eastAsia="Arial" w:hAnsi="Arial"/>
                <w:sz w:val="16"/>
                <w:szCs w:val="16"/>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2,992,703</w:t>
            </w:r>
          </w:p>
        </w:tc>
      </w:tr>
      <w:tr>
        <w:trPr>
          <w:trHeight w:val="20"/>
        </w:trPr>
        <w:tc>
          <w:tcPr>
            <w:tcW w:w="792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321310</wp:posOffset>
            </wp:positionV>
            <wp:extent cx="67691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6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3</w:t>
            </w:r>
          </w:p>
        </w:tc>
      </w:tr>
      <w:tr>
        <w:trPr>
          <w:trHeight w:val="36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4" w:name="page5"/>
    <w:bookmarkEnd w:id="4"/>
    <w:p>
      <w:pPr>
        <w:spacing w:after="0" w:line="187" w:lineRule="auto"/>
        <w:framePr w:w="160" w:h="108" w:wrap="auto" w:vAnchor="page" w:hAnchor="page" w:x="300" w:y="11750"/>
        <w:rPr>
          <w:rFonts w:ascii="Arial" w:cs="Arial" w:eastAsia="Arial" w:hAnsi="Arial"/>
          <w:sz w:val="12"/>
          <w:szCs w:val="12"/>
          <w:color w:val="51555C"/>
        </w:rPr>
      </w:pPr>
      <w:r>
        <w:rPr>
          <w:rFonts w:ascii="Arial" w:cs="Arial" w:eastAsia="Arial" w:hAnsi="Arial"/>
          <w:sz w:val="12"/>
          <w:szCs w:val="12"/>
          <w:color w:val="51555C"/>
        </w:rPr>
        <w:t>4</w:t>
      </w:r>
    </w:p>
    <w:p>
      <w:pPr>
        <w:spacing w:after="0" w:line="16" w:lineRule="exact"/>
        <w:rPr>
          <w:rFonts w:ascii="Arial" w:cs="Arial" w:eastAsia="Arial" w:hAnsi="Arial"/>
          <w:sz w:val="12"/>
          <w:szCs w:val="12"/>
          <w:color w:val="51555C"/>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rFonts w:ascii="Arial" w:cs="Arial" w:eastAsia="Arial" w:hAnsi="Arial"/>
          <w:sz w:val="12"/>
          <w:szCs w:val="12"/>
          <w:color w:val="51555C"/>
        </w:rPr>
      </w:pPr>
    </w:p>
    <w:p>
      <w:pPr>
        <w:jc w:val="center"/>
        <w:spacing w:after="0"/>
        <w:rPr>
          <w:sz w:val="20"/>
          <w:szCs w:val="20"/>
          <w:color w:val="auto"/>
        </w:rPr>
      </w:pPr>
      <w:r>
        <w:rPr>
          <w:rFonts w:ascii="Arial" w:cs="Arial" w:eastAsia="Arial" w:hAnsi="Arial"/>
          <w:sz w:val="18"/>
          <w:szCs w:val="18"/>
          <w:b w:val="1"/>
          <w:bCs w:val="1"/>
          <w:color w:val="51555C"/>
        </w:rPr>
        <w:t>Condensed Consolidated Statements of Comprehensive Income (Loss)</w:t>
      </w:r>
    </w:p>
    <w:p>
      <w:pPr>
        <w:spacing w:after="0" w:line="9" w:lineRule="exact"/>
        <w:rPr>
          <w:rFonts w:ascii="Arial" w:cs="Arial" w:eastAsia="Arial" w:hAnsi="Arial"/>
          <w:sz w:val="12"/>
          <w:szCs w:val="12"/>
          <w:color w:val="51555C"/>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36" w:lineRule="exact"/>
        <w:rPr>
          <w:rFonts w:ascii="Arial" w:cs="Arial" w:eastAsia="Arial" w:hAnsi="Arial"/>
          <w:sz w:val="12"/>
          <w:szCs w:val="12"/>
          <w:color w:val="51555C"/>
        </w:rPr>
      </w:pPr>
    </w:p>
    <w:tbl>
      <w:tblPr>
        <w:tblLayout w:type="fixed"/>
        <w:tblInd w:w="0" w:type="dxa"/>
        <w:tblCellMar>
          <w:top w:w="0" w:type="dxa"/>
          <w:left w:w="0" w:type="dxa"/>
          <w:bottom w:w="0" w:type="dxa"/>
          <w:right w:w="0" w:type="dxa"/>
        </w:tblCellMar>
      </w:tblPr>
      <w:tr>
        <w:trPr>
          <w:trHeight w:val="178"/>
        </w:trPr>
        <w:tc>
          <w:tcPr>
            <w:tcW w:w="20" w:type="dxa"/>
            <w:vAlign w:val="bottom"/>
            <w:tcBorders>
              <w:top w:val="single" w:sz="8" w:color="004054"/>
            </w:tcBorders>
            <w:shd w:val="clear" w:color="auto" w:fill="004054"/>
          </w:tcPr>
          <w:p>
            <w:pPr>
              <w:spacing w:after="0"/>
              <w:rPr>
                <w:sz w:val="15"/>
                <w:szCs w:val="15"/>
                <w:color w:val="auto"/>
              </w:rPr>
            </w:pPr>
          </w:p>
        </w:tc>
        <w:tc>
          <w:tcPr>
            <w:tcW w:w="5880" w:type="dxa"/>
            <w:vAlign w:val="bottom"/>
            <w:tcBorders>
              <w:top w:val="single" w:sz="8" w:color="004054"/>
            </w:tcBorders>
            <w:shd w:val="clear" w:color="auto" w:fill="004054"/>
          </w:tcPr>
          <w:p>
            <w:pPr>
              <w:spacing w:after="0"/>
              <w:rPr>
                <w:sz w:val="15"/>
                <w:szCs w:val="15"/>
                <w:color w:val="auto"/>
              </w:rPr>
            </w:pPr>
          </w:p>
        </w:tc>
        <w:tc>
          <w:tcPr>
            <w:tcW w:w="300" w:type="dxa"/>
            <w:vAlign w:val="bottom"/>
            <w:tcBorders>
              <w:top w:val="single" w:sz="8" w:color="004054"/>
            </w:tcBorders>
            <w:shd w:val="clear" w:color="auto" w:fill="004054"/>
          </w:tcPr>
          <w:p>
            <w:pPr>
              <w:spacing w:after="0"/>
              <w:rPr>
                <w:sz w:val="15"/>
                <w:szCs w:val="15"/>
                <w:color w:val="auto"/>
              </w:rPr>
            </w:pPr>
          </w:p>
        </w:tc>
        <w:tc>
          <w:tcPr>
            <w:tcW w:w="1000" w:type="dxa"/>
            <w:vAlign w:val="bottom"/>
            <w:tcBorders>
              <w:top w:val="single" w:sz="8" w:color="004054"/>
            </w:tcBorders>
            <w:shd w:val="clear" w:color="auto" w:fill="004054"/>
          </w:tcPr>
          <w:p>
            <w:pPr>
              <w:spacing w:after="0"/>
              <w:rPr>
                <w:sz w:val="15"/>
                <w:szCs w:val="15"/>
                <w:color w:val="auto"/>
              </w:rPr>
            </w:pPr>
          </w:p>
        </w:tc>
        <w:tc>
          <w:tcPr>
            <w:tcW w:w="1320" w:type="dxa"/>
            <w:vAlign w:val="bottom"/>
            <w:tcBorders>
              <w:top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Three months ended</w:t>
            </w:r>
          </w:p>
        </w:tc>
        <w:tc>
          <w:tcPr>
            <w:tcW w:w="120" w:type="dxa"/>
            <w:vAlign w:val="bottom"/>
            <w:tcBorders>
              <w:top w:val="single" w:sz="8" w:color="004054"/>
              <w:right w:val="single" w:sz="8" w:color="004054"/>
            </w:tcBorders>
          </w:tcPr>
          <w:p>
            <w:pPr>
              <w:spacing w:after="0"/>
              <w:rPr>
                <w:sz w:val="15"/>
                <w:szCs w:val="15"/>
                <w:color w:val="auto"/>
              </w:rPr>
            </w:pPr>
          </w:p>
        </w:tc>
        <w:tc>
          <w:tcPr>
            <w:tcW w:w="360" w:type="dxa"/>
            <w:vAlign w:val="bottom"/>
            <w:tcBorders>
              <w:top w:val="single" w:sz="8" w:color="004054"/>
            </w:tcBorders>
            <w:shd w:val="clear" w:color="auto" w:fill="004054"/>
          </w:tcPr>
          <w:p>
            <w:pPr>
              <w:spacing w:after="0"/>
              <w:rPr>
                <w:sz w:val="15"/>
                <w:szCs w:val="15"/>
                <w:color w:val="auto"/>
              </w:rPr>
            </w:pPr>
          </w:p>
        </w:tc>
        <w:tc>
          <w:tcPr>
            <w:tcW w:w="920" w:type="dxa"/>
            <w:vAlign w:val="bottom"/>
            <w:tcBorders>
              <w:top w:val="single" w:sz="8" w:color="004054"/>
            </w:tcBorders>
            <w:shd w:val="clear" w:color="auto" w:fill="004054"/>
          </w:tcPr>
          <w:p>
            <w:pPr>
              <w:spacing w:after="0"/>
              <w:rPr>
                <w:sz w:val="15"/>
                <w:szCs w:val="15"/>
                <w:color w:val="auto"/>
              </w:rPr>
            </w:pPr>
          </w:p>
        </w:tc>
        <w:tc>
          <w:tcPr>
            <w:tcW w:w="160" w:type="dxa"/>
            <w:vAlign w:val="bottom"/>
            <w:tcBorders>
              <w:top w:val="single" w:sz="8" w:color="004054"/>
            </w:tcBorders>
            <w:shd w:val="clear" w:color="auto" w:fill="004054"/>
          </w:tcPr>
          <w:p>
            <w:pPr>
              <w:spacing w:after="0"/>
              <w:rPr>
                <w:sz w:val="15"/>
                <w:szCs w:val="15"/>
                <w:color w:val="auto"/>
              </w:rPr>
            </w:pPr>
          </w:p>
        </w:tc>
        <w:tc>
          <w:tcPr>
            <w:tcW w:w="1160" w:type="dxa"/>
            <w:vAlign w:val="bottom"/>
            <w:tcBorders>
              <w:top w:val="single" w:sz="8" w:color="004054"/>
            </w:tcBorders>
            <w:gridSpan w:val="2"/>
            <w:shd w:val="clear" w:color="auto" w:fill="004054"/>
          </w:tcPr>
          <w:p>
            <w:pPr>
              <w:jc w:val="right"/>
              <w:ind w:right="40"/>
              <w:spacing w:after="0"/>
              <w:rPr>
                <w:sz w:val="20"/>
                <w:szCs w:val="20"/>
                <w:color w:val="auto"/>
              </w:rPr>
            </w:pPr>
            <w:r>
              <w:rPr>
                <w:rFonts w:ascii="Arial" w:cs="Arial" w:eastAsia="Arial" w:hAnsi="Arial"/>
                <w:sz w:val="14"/>
                <w:szCs w:val="14"/>
                <w:b w:val="1"/>
                <w:bCs w:val="1"/>
                <w:color w:val="FFFFFF"/>
                <w:w w:val="91"/>
              </w:rPr>
              <w:t>Six months ended</w:t>
            </w:r>
          </w:p>
        </w:tc>
      </w:tr>
      <w:tr>
        <w:trPr>
          <w:trHeight w:val="184"/>
        </w:trPr>
        <w:tc>
          <w:tcPr>
            <w:tcW w:w="20" w:type="dxa"/>
            <w:vAlign w:val="bottom"/>
            <w:shd w:val="clear" w:color="auto" w:fill="004054"/>
          </w:tcPr>
          <w:p>
            <w:pPr>
              <w:spacing w:after="0"/>
              <w:rPr>
                <w:sz w:val="15"/>
                <w:szCs w:val="15"/>
                <w:color w:val="auto"/>
              </w:rPr>
            </w:pPr>
          </w:p>
        </w:tc>
        <w:tc>
          <w:tcPr>
            <w:tcW w:w="588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32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20" w:type="dxa"/>
            <w:vAlign w:val="bottom"/>
            <w:tcBorders>
              <w:right w:val="single" w:sz="8" w:color="004054"/>
            </w:tcBorders>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160" w:type="dxa"/>
            <w:vAlign w:val="bottom"/>
            <w:gridSpan w:val="2"/>
            <w:shd w:val="clear" w:color="auto" w:fill="004054"/>
          </w:tcPr>
          <w:p>
            <w:pPr>
              <w:jc w:val="right"/>
              <w:ind w:right="40"/>
              <w:spacing w:after="0"/>
              <w:rPr>
                <w:sz w:val="20"/>
                <w:szCs w:val="20"/>
                <w:color w:val="auto"/>
              </w:rPr>
            </w:pPr>
            <w:r>
              <w:rPr>
                <w:rFonts w:ascii="Arial" w:cs="Arial" w:eastAsia="Arial" w:hAnsi="Arial"/>
                <w:sz w:val="14"/>
                <w:szCs w:val="14"/>
                <w:b w:val="1"/>
                <w:bCs w:val="1"/>
                <w:color w:val="FFFFFF"/>
              </w:rPr>
              <w:t>June 30,</w:t>
            </w:r>
          </w:p>
        </w:tc>
      </w:tr>
      <w:tr>
        <w:trPr>
          <w:trHeight w:val="299"/>
        </w:trPr>
        <w:tc>
          <w:tcPr>
            <w:tcW w:w="20" w:type="dxa"/>
            <w:vAlign w:val="bottom"/>
            <w:tcBorders>
              <w:bottom w:val="single" w:sz="8" w:color="004054"/>
            </w:tcBorders>
            <w:shd w:val="clear" w:color="auto" w:fill="004054"/>
          </w:tcPr>
          <w:p>
            <w:pPr>
              <w:spacing w:after="0"/>
              <w:rPr>
                <w:sz w:val="24"/>
                <w:szCs w:val="24"/>
                <w:color w:val="auto"/>
              </w:rPr>
            </w:pPr>
          </w:p>
        </w:tc>
        <w:tc>
          <w:tcPr>
            <w:tcW w:w="588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00" w:type="dxa"/>
            <w:vAlign w:val="bottom"/>
            <w:tcBorders>
              <w:bottom w:val="single" w:sz="8" w:color="004054"/>
            </w:tcBorders>
            <w:shd w:val="clear" w:color="auto" w:fill="004054"/>
          </w:tcPr>
          <w:p>
            <w:pPr>
              <w:spacing w:after="0"/>
              <w:rPr>
                <w:sz w:val="24"/>
                <w:szCs w:val="24"/>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20" w:type="dxa"/>
            <w:vAlign w:val="bottom"/>
            <w:tcBorders>
              <w:bottom w:val="single" w:sz="8" w:color="004054"/>
            </w:tcBorders>
            <w:shd w:val="clear" w:color="auto" w:fill="004054"/>
          </w:tcPr>
          <w:p>
            <w:pPr>
              <w:spacing w:after="0"/>
              <w:rPr>
                <w:sz w:val="24"/>
                <w:szCs w:val="24"/>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20" w:type="dxa"/>
            <w:vAlign w:val="bottom"/>
            <w:tcBorders>
              <w:right w:val="single" w:sz="8" w:color="004054"/>
            </w:tcBorders>
          </w:tcPr>
          <w:p>
            <w:pPr>
              <w:spacing w:after="0"/>
              <w:rPr>
                <w:sz w:val="24"/>
                <w:szCs w:val="24"/>
                <w:color w:val="auto"/>
              </w:rPr>
            </w:pPr>
          </w:p>
        </w:tc>
        <w:tc>
          <w:tcPr>
            <w:tcW w:w="360" w:type="dxa"/>
            <w:vAlign w:val="bottom"/>
            <w:tcBorders>
              <w:bottom w:val="single" w:sz="8" w:color="004054"/>
            </w:tcBorders>
            <w:shd w:val="clear" w:color="auto" w:fill="004054"/>
          </w:tcPr>
          <w:p>
            <w:pPr>
              <w:spacing w:after="0"/>
              <w:rPr>
                <w:sz w:val="24"/>
                <w:szCs w:val="24"/>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60" w:type="dxa"/>
            <w:vAlign w:val="bottom"/>
            <w:tcBorders>
              <w:bottom w:val="single" w:sz="8" w:color="004054"/>
            </w:tcBorders>
            <w:shd w:val="clear" w:color="auto" w:fill="004054"/>
          </w:tcPr>
          <w:p>
            <w:pPr>
              <w:spacing w:after="0"/>
              <w:rPr>
                <w:sz w:val="24"/>
                <w:szCs w:val="24"/>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 w:type="dxa"/>
            <w:vAlign w:val="bottom"/>
            <w:tcBorders>
              <w:bottom w:val="single" w:sz="8" w:color="004054"/>
            </w:tcBorders>
            <w:shd w:val="clear" w:color="auto" w:fill="004054"/>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880" w:type="dxa"/>
            <w:vAlign w:val="bottom"/>
            <w:tcBorders>
              <w:top w:val="single" w:sz="8" w:color="004054"/>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Revenue</w:t>
            </w:r>
          </w:p>
        </w:tc>
        <w:tc>
          <w:tcPr>
            <w:tcW w:w="300" w:type="dxa"/>
            <w:vAlign w:val="bottom"/>
            <w:tcBorders>
              <w:top w:val="single" w:sz="8" w:color="004054"/>
              <w:bottom w:val="single" w:sz="8" w:color="EBFBFF"/>
            </w:tcBorders>
            <w:shd w:val="clear" w:color="auto" w:fill="EBFBFF"/>
          </w:tcPr>
          <w:p>
            <w:pPr>
              <w:spacing w:after="0"/>
              <w:rPr>
                <w:sz w:val="18"/>
                <w:szCs w:val="18"/>
                <w:color w:val="auto"/>
              </w:rPr>
            </w:pPr>
          </w:p>
        </w:tc>
        <w:tc>
          <w:tcPr>
            <w:tcW w:w="1000" w:type="dxa"/>
            <w:vAlign w:val="bottom"/>
            <w:tcBorders>
              <w:top w:val="single" w:sz="8" w:color="004054"/>
              <w:bottom w:val="single" w:sz="8" w:color="EBFBFF"/>
            </w:tcBorders>
            <w:shd w:val="clear" w:color="auto" w:fill="EBFBFF"/>
          </w:tcPr>
          <w:p>
            <w:pPr>
              <w:spacing w:after="0"/>
              <w:rPr>
                <w:sz w:val="18"/>
                <w:szCs w:val="18"/>
                <w:color w:val="auto"/>
              </w:rPr>
            </w:pPr>
          </w:p>
        </w:tc>
        <w:tc>
          <w:tcPr>
            <w:tcW w:w="320" w:type="dxa"/>
            <w:vAlign w:val="bottom"/>
            <w:tcBorders>
              <w:top w:val="single" w:sz="8" w:color="004054"/>
              <w:bottom w:val="single" w:sz="8" w:color="EBFBFF"/>
            </w:tcBorders>
            <w:shd w:val="clear" w:color="auto" w:fill="EBFBFF"/>
          </w:tcPr>
          <w:p>
            <w:pPr>
              <w:spacing w:after="0"/>
              <w:rPr>
                <w:sz w:val="18"/>
                <w:szCs w:val="18"/>
                <w:color w:val="auto"/>
              </w:rPr>
            </w:pPr>
          </w:p>
        </w:tc>
        <w:tc>
          <w:tcPr>
            <w:tcW w:w="1000" w:type="dxa"/>
            <w:vAlign w:val="bottom"/>
            <w:tcBorders>
              <w:top w:val="single" w:sz="8" w:color="004054"/>
              <w:bottom w:val="single" w:sz="8" w:color="EBFBFF"/>
            </w:tcBorders>
            <w:shd w:val="clear" w:color="auto" w:fill="EBFBFF"/>
          </w:tcPr>
          <w:p>
            <w:pPr>
              <w:spacing w:after="0"/>
              <w:rPr>
                <w:sz w:val="18"/>
                <w:szCs w:val="18"/>
                <w:color w:val="auto"/>
              </w:rPr>
            </w:pPr>
          </w:p>
        </w:tc>
        <w:tc>
          <w:tcPr>
            <w:tcW w:w="120" w:type="dxa"/>
            <w:vAlign w:val="bottom"/>
            <w:tcBorders>
              <w:top w:val="single" w:sz="8" w:color="EBFBFF"/>
              <w:bottom w:val="single" w:sz="8" w:color="EBFBFF"/>
              <w:right w:val="single" w:sz="8" w:color="EBFBFF"/>
            </w:tcBorders>
            <w:shd w:val="clear" w:color="auto" w:fill="EBFBFF"/>
          </w:tcPr>
          <w:p>
            <w:pPr>
              <w:spacing w:after="0"/>
              <w:rPr>
                <w:sz w:val="18"/>
                <w:szCs w:val="18"/>
                <w:color w:val="auto"/>
              </w:rPr>
            </w:pPr>
          </w:p>
        </w:tc>
        <w:tc>
          <w:tcPr>
            <w:tcW w:w="360" w:type="dxa"/>
            <w:vAlign w:val="bottom"/>
            <w:tcBorders>
              <w:top w:val="single" w:sz="8" w:color="004054"/>
              <w:bottom w:val="single" w:sz="8" w:color="EBFBFF"/>
            </w:tcBorders>
            <w:shd w:val="clear" w:color="auto" w:fill="EBFBFF"/>
          </w:tcPr>
          <w:p>
            <w:pPr>
              <w:spacing w:after="0"/>
              <w:rPr>
                <w:sz w:val="18"/>
                <w:szCs w:val="18"/>
                <w:color w:val="auto"/>
              </w:rPr>
            </w:pPr>
          </w:p>
        </w:tc>
        <w:tc>
          <w:tcPr>
            <w:tcW w:w="920" w:type="dxa"/>
            <w:vAlign w:val="bottom"/>
            <w:tcBorders>
              <w:top w:val="single" w:sz="8" w:color="004054"/>
              <w:bottom w:val="single" w:sz="8" w:color="EBFBFF"/>
            </w:tcBorders>
            <w:shd w:val="clear" w:color="auto" w:fill="EBFBFF"/>
          </w:tcPr>
          <w:p>
            <w:pPr>
              <w:spacing w:after="0"/>
              <w:rPr>
                <w:sz w:val="18"/>
                <w:szCs w:val="18"/>
                <w:color w:val="auto"/>
              </w:rPr>
            </w:pPr>
          </w:p>
        </w:tc>
        <w:tc>
          <w:tcPr>
            <w:tcW w:w="160" w:type="dxa"/>
            <w:vAlign w:val="bottom"/>
            <w:tcBorders>
              <w:top w:val="single" w:sz="8" w:color="004054"/>
              <w:bottom w:val="single" w:sz="8" w:color="EBFBFF"/>
            </w:tcBorders>
            <w:shd w:val="clear" w:color="auto" w:fill="EBFBFF"/>
          </w:tcPr>
          <w:p>
            <w:pPr>
              <w:spacing w:after="0"/>
              <w:rPr>
                <w:sz w:val="18"/>
                <w:szCs w:val="18"/>
                <w:color w:val="auto"/>
              </w:rPr>
            </w:pPr>
          </w:p>
        </w:tc>
        <w:tc>
          <w:tcPr>
            <w:tcW w:w="1140" w:type="dxa"/>
            <w:vAlign w:val="bottom"/>
            <w:tcBorders>
              <w:top w:val="single" w:sz="8" w:color="004054"/>
              <w:bottom w:val="single" w:sz="8" w:color="EBFBFF"/>
            </w:tcBorders>
            <w:shd w:val="clear" w:color="auto" w:fill="EBFBFF"/>
          </w:tcPr>
          <w:p>
            <w:pPr>
              <w:spacing w:after="0"/>
              <w:rPr>
                <w:sz w:val="18"/>
                <w:szCs w:val="18"/>
                <w:color w:val="auto"/>
              </w:rPr>
            </w:pPr>
          </w:p>
        </w:tc>
        <w:tc>
          <w:tcPr>
            <w:tcW w:w="20" w:type="dxa"/>
            <w:vAlign w:val="bottom"/>
            <w:tcBorders>
              <w:top w:val="single" w:sz="8" w:color="EBFBFF"/>
              <w:bottom w:val="single" w:sz="8" w:color="EBFBFF"/>
            </w:tcBorders>
            <w:shd w:val="clear" w:color="auto" w:fill="EBFB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Recurring</w:t>
            </w:r>
          </w:p>
        </w:tc>
        <w:tc>
          <w:tcPr>
            <w:tcW w:w="300" w:type="dxa"/>
            <w:vAlign w:val="bottom"/>
          </w:tcPr>
          <w:p>
            <w:pPr>
              <w:jc w:val="right"/>
              <w:ind w:right="119"/>
              <w:spacing w:after="0"/>
              <w:rPr>
                <w:sz w:val="20"/>
                <w:szCs w:val="20"/>
                <w:color w:val="auto"/>
              </w:rPr>
            </w:pPr>
            <w:r>
              <w:rPr>
                <w:rFonts w:ascii="Arial" w:cs="Arial" w:eastAsia="Arial" w:hAnsi="Arial"/>
                <w:sz w:val="16"/>
                <w:szCs w:val="16"/>
                <w:color w:val="51555C"/>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262,390</w:t>
            </w:r>
          </w:p>
        </w:tc>
        <w:tc>
          <w:tcPr>
            <w:tcW w:w="320" w:type="dxa"/>
            <w:vAlign w:val="bottom"/>
          </w:tcPr>
          <w:p>
            <w:pPr>
              <w:jc w:val="right"/>
              <w:ind w:right="120"/>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252,507</w:t>
            </w:r>
          </w:p>
        </w:tc>
        <w:tc>
          <w:tcPr>
            <w:tcW w:w="480" w:type="dxa"/>
            <w:vAlign w:val="bottom"/>
            <w:gridSpan w:val="2"/>
          </w:tcPr>
          <w:p>
            <w:pPr>
              <w:jc w:val="right"/>
              <w:ind w:right="204"/>
              <w:spacing w:after="0"/>
              <w:rPr>
                <w:sz w:val="20"/>
                <w:szCs w:val="20"/>
                <w:color w:val="auto"/>
              </w:rPr>
            </w:pPr>
            <w:r>
              <w:rPr>
                <w:rFonts w:ascii="Arial" w:cs="Arial" w:eastAsia="Arial" w:hAnsi="Arial"/>
                <w:sz w:val="16"/>
                <w:szCs w:val="16"/>
                <w:color w:val="51555C"/>
              </w:rPr>
              <w:t>$</w:t>
            </w:r>
          </w:p>
        </w:tc>
        <w:tc>
          <w:tcPr>
            <w:tcW w:w="920" w:type="dxa"/>
            <w:vAlign w:val="bottom"/>
          </w:tcPr>
          <w:p>
            <w:pPr>
              <w:jc w:val="right"/>
              <w:spacing w:after="0"/>
              <w:rPr>
                <w:sz w:val="20"/>
                <w:szCs w:val="20"/>
                <w:color w:val="auto"/>
              </w:rPr>
            </w:pPr>
            <w:r>
              <w:rPr>
                <w:rFonts w:ascii="Arial" w:cs="Arial" w:eastAsia="Arial" w:hAnsi="Arial"/>
                <w:sz w:val="16"/>
                <w:szCs w:val="16"/>
                <w:color w:val="51555C"/>
              </w:rPr>
              <w:t>515,138</w:t>
            </w:r>
          </w:p>
        </w:tc>
        <w:tc>
          <w:tcPr>
            <w:tcW w:w="16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51555C"/>
              </w:rPr>
              <w:t>497,173</w:t>
            </w:r>
          </w:p>
        </w:tc>
        <w:tc>
          <w:tcPr>
            <w:tcW w:w="20" w:type="dxa"/>
            <w:vAlign w:val="bottom"/>
          </w:tcPr>
          <w:p>
            <w:pPr>
              <w:spacing w:after="0"/>
              <w:rPr>
                <w:sz w:val="17"/>
                <w:szCs w:val="17"/>
                <w:color w:val="auto"/>
              </w:rPr>
            </w:pPr>
          </w:p>
        </w:tc>
      </w:tr>
      <w:tr>
        <w:trPr>
          <w:trHeight w:val="39"/>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One-tme services and other</w:t>
            </w:r>
          </w:p>
        </w:tc>
        <w:tc>
          <w:tcPr>
            <w:tcW w:w="30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8,652</w:t>
            </w:r>
          </w:p>
        </w:tc>
        <w:tc>
          <w:tcPr>
            <w:tcW w:w="32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12,420</w:t>
            </w:r>
          </w:p>
        </w:tc>
        <w:tc>
          <w:tcPr>
            <w:tcW w:w="120" w:type="dxa"/>
            <w:vAlign w:val="bottom"/>
            <w:tcBorders>
              <w:bottom w:val="single" w:sz="8" w:color="EBFBFF"/>
              <w:right w:val="single" w:sz="8" w:color="EBFBFF"/>
            </w:tcBorders>
            <w:shd w:val="clear" w:color="auto" w:fill="EBFBFF"/>
          </w:tcPr>
          <w:p>
            <w:pPr>
              <w:spacing w:after="0"/>
              <w:rPr>
                <w:sz w:val="22"/>
                <w:szCs w:val="22"/>
                <w:color w:val="auto"/>
              </w:rPr>
            </w:pPr>
          </w:p>
        </w:tc>
        <w:tc>
          <w:tcPr>
            <w:tcW w:w="360" w:type="dxa"/>
            <w:vAlign w:val="bottom"/>
            <w:tcBorders>
              <w:bottom w:val="single" w:sz="8" w:color="EBFBFF"/>
            </w:tcBorders>
            <w:shd w:val="clear" w:color="auto" w:fill="EBFBFF"/>
          </w:tcPr>
          <w:p>
            <w:pPr>
              <w:spacing w:after="0"/>
              <w:rPr>
                <w:sz w:val="22"/>
                <w:szCs w:val="22"/>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17,657</w:t>
            </w:r>
          </w:p>
        </w:tc>
        <w:tc>
          <w:tcPr>
            <w:tcW w:w="160" w:type="dxa"/>
            <w:vAlign w:val="bottom"/>
            <w:tcBorders>
              <w:bottom w:val="single" w:sz="8" w:color="EBFBFF"/>
            </w:tcBorders>
            <w:shd w:val="clear" w:color="auto" w:fill="EBFBFF"/>
          </w:tcPr>
          <w:p>
            <w:pPr>
              <w:spacing w:after="0"/>
              <w:rPr>
                <w:sz w:val="22"/>
                <w:szCs w:val="22"/>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24,878</w:t>
            </w:r>
          </w:p>
        </w:tc>
        <w:tc>
          <w:tcPr>
            <w:tcW w:w="20" w:type="dxa"/>
            <w:vAlign w:val="bottom"/>
            <w:tcBorders>
              <w:bottom w:val="single" w:sz="8" w:color="EBFBFF"/>
            </w:tcBorders>
            <w:shd w:val="clear" w:color="auto" w:fill="EBFB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880" w:type="dxa"/>
            <w:vAlign w:val="bottom"/>
          </w:tcPr>
          <w:p>
            <w:pPr>
              <w:ind w:left="440"/>
              <w:spacing w:after="0"/>
              <w:rPr>
                <w:sz w:val="20"/>
                <w:szCs w:val="20"/>
                <w:color w:val="auto"/>
              </w:rPr>
            </w:pPr>
            <w:r>
              <w:rPr>
                <w:rFonts w:ascii="Arial" w:cs="Arial" w:eastAsia="Arial" w:hAnsi="Arial"/>
                <w:sz w:val="16"/>
                <w:szCs w:val="16"/>
                <w:b w:val="1"/>
                <w:bCs w:val="1"/>
                <w:color w:val="51555C"/>
              </w:rPr>
              <w:t>Total revenue</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271,042</w:t>
            </w:r>
          </w:p>
        </w:tc>
        <w:tc>
          <w:tcPr>
            <w:tcW w:w="32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264,927</w:t>
            </w:r>
          </w:p>
        </w:tc>
        <w:tc>
          <w:tcPr>
            <w:tcW w:w="120" w:type="dxa"/>
            <w:vAlign w:val="bottom"/>
          </w:tcPr>
          <w:p>
            <w:pPr>
              <w:spacing w:after="0"/>
              <w:rPr>
                <w:sz w:val="17"/>
                <w:szCs w:val="17"/>
                <w:color w:val="auto"/>
              </w:rPr>
            </w:pPr>
          </w:p>
        </w:tc>
        <w:tc>
          <w:tcPr>
            <w:tcW w:w="36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532,795</w:t>
            </w:r>
          </w:p>
        </w:tc>
        <w:tc>
          <w:tcPr>
            <w:tcW w:w="160" w:type="dxa"/>
            <w:vAlign w:val="bottom"/>
            <w:tcBorders>
              <w:top w:val="single" w:sz="8" w:color="51555C"/>
            </w:tcBorders>
          </w:tcPr>
          <w:p>
            <w:pPr>
              <w:spacing w:after="0"/>
              <w:rPr>
                <w:sz w:val="17"/>
                <w:szCs w:val="17"/>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522,051</w:t>
            </w:r>
          </w:p>
        </w:tc>
        <w:tc>
          <w:tcPr>
            <w:tcW w:w="20" w:type="dxa"/>
            <w:vAlign w:val="bottom"/>
            <w:tcBorders>
              <w:top w:val="single" w:sz="8" w:color="51555C"/>
            </w:tcBorders>
          </w:tcPr>
          <w:p>
            <w:pPr>
              <w:spacing w:after="0"/>
              <w:rPr>
                <w:sz w:val="17"/>
                <w:szCs w:val="17"/>
                <w:color w:val="auto"/>
              </w:rPr>
            </w:pPr>
          </w:p>
        </w:tc>
      </w:tr>
      <w:tr>
        <w:trPr>
          <w:trHeight w:val="40"/>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Cost of revenue</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2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120" w:type="dxa"/>
            <w:vAlign w:val="bottom"/>
            <w:tcBorders>
              <w:bottom w:val="single" w:sz="8" w:color="EBFBFF"/>
              <w:right w:val="single" w:sz="8" w:color="EBFBFF"/>
            </w:tcBorders>
            <w:shd w:val="clear" w:color="auto" w:fill="EBFBFF"/>
          </w:tcPr>
          <w:p>
            <w:pPr>
              <w:spacing w:after="0"/>
              <w:rPr>
                <w:sz w:val="19"/>
                <w:szCs w:val="19"/>
                <w:color w:val="auto"/>
              </w:rPr>
            </w:pPr>
          </w:p>
        </w:tc>
        <w:tc>
          <w:tcPr>
            <w:tcW w:w="36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spacing w:after="0"/>
              <w:rPr>
                <w:sz w:val="19"/>
                <w:szCs w:val="19"/>
                <w:color w:val="auto"/>
              </w:rPr>
            </w:pPr>
          </w:p>
        </w:tc>
        <w:tc>
          <w:tcPr>
            <w:tcW w:w="160" w:type="dxa"/>
            <w:vAlign w:val="bottom"/>
            <w:tcBorders>
              <w:bottom w:val="single" w:sz="8" w:color="EBFBFF"/>
            </w:tcBorders>
            <w:shd w:val="clear" w:color="auto" w:fill="EBFBFF"/>
          </w:tcPr>
          <w:p>
            <w:pPr>
              <w:spacing w:after="0"/>
              <w:rPr>
                <w:sz w:val="19"/>
                <w:szCs w:val="19"/>
                <w:color w:val="auto"/>
              </w:rPr>
            </w:pPr>
          </w:p>
        </w:tc>
        <w:tc>
          <w:tcPr>
            <w:tcW w:w="1140" w:type="dxa"/>
            <w:vAlign w:val="bottom"/>
            <w:tcBorders>
              <w:bottom w:val="single" w:sz="8" w:color="EBFBFF"/>
            </w:tcBorders>
            <w:shd w:val="clear" w:color="auto" w:fill="EBFBFF"/>
          </w:tcPr>
          <w:p>
            <w:pPr>
              <w:spacing w:after="0"/>
              <w:rPr>
                <w:sz w:val="19"/>
                <w:szCs w:val="19"/>
                <w:color w:val="auto"/>
              </w:rPr>
            </w:pPr>
          </w:p>
        </w:tc>
        <w:tc>
          <w:tcPr>
            <w:tcW w:w="20" w:type="dxa"/>
            <w:vAlign w:val="bottom"/>
            <w:tcBorders>
              <w:bottom w:val="single" w:sz="8" w:color="EBFBFF"/>
            </w:tcBorders>
            <w:shd w:val="clear" w:color="auto" w:fill="EBFB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Cost of recurring</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113,926</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114,487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228,426</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226,661</w:t>
            </w:r>
          </w:p>
        </w:tc>
        <w:tc>
          <w:tcPr>
            <w:tcW w:w="20" w:type="dxa"/>
            <w:vAlign w:val="bottom"/>
          </w:tcPr>
          <w:p>
            <w:pPr>
              <w:spacing w:after="0"/>
              <w:rPr>
                <w:sz w:val="17"/>
                <w:szCs w:val="17"/>
                <w:color w:val="auto"/>
              </w:rPr>
            </w:pPr>
          </w:p>
        </w:tc>
      </w:tr>
      <w:tr>
        <w:trPr>
          <w:trHeight w:val="53"/>
        </w:trPr>
        <w:tc>
          <w:tcPr>
            <w:tcW w:w="2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48"/>
        </w:trPr>
        <w:tc>
          <w:tcPr>
            <w:tcW w:w="20" w:type="dxa"/>
            <w:vAlign w:val="bottom"/>
          </w:tcPr>
          <w:p>
            <w:pPr>
              <w:spacing w:after="0"/>
              <w:rPr>
                <w:sz w:val="21"/>
                <w:szCs w:val="21"/>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Cost of one-tme services and other</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7,549</w:t>
            </w:r>
          </w:p>
        </w:tc>
        <w:tc>
          <w:tcPr>
            <w:tcW w:w="32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11,120</w:t>
            </w:r>
          </w:p>
        </w:tc>
        <w:tc>
          <w:tcPr>
            <w:tcW w:w="120" w:type="dxa"/>
            <w:vAlign w:val="bottom"/>
            <w:tcBorders>
              <w:bottom w:val="single" w:sz="8" w:color="EBFBFF"/>
              <w:right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16,161</w:t>
            </w:r>
          </w:p>
        </w:tc>
        <w:tc>
          <w:tcPr>
            <w:tcW w:w="16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22,308</w:t>
            </w:r>
          </w:p>
        </w:tc>
        <w:tc>
          <w:tcPr>
            <w:tcW w:w="20" w:type="dxa"/>
            <w:vAlign w:val="bottom"/>
            <w:tcBorders>
              <w:bottom w:val="single" w:sz="8" w:color="EBFBFF"/>
            </w:tcBorders>
            <w:shd w:val="clear" w:color="auto" w:fill="EBFBFF"/>
          </w:tcPr>
          <w:p>
            <w:pPr>
              <w:spacing w:after="0"/>
              <w:rPr>
                <w:sz w:val="21"/>
                <w:szCs w:val="21"/>
                <w:color w:val="auto"/>
              </w:rPr>
            </w:pPr>
          </w:p>
        </w:tc>
      </w:tr>
      <w:tr>
        <w:trPr>
          <w:trHeight w:val="199"/>
        </w:trPr>
        <w:tc>
          <w:tcPr>
            <w:tcW w:w="20" w:type="dxa"/>
            <w:vAlign w:val="bottom"/>
          </w:tcPr>
          <w:p>
            <w:pPr>
              <w:spacing w:after="0"/>
              <w:rPr>
                <w:sz w:val="17"/>
                <w:szCs w:val="17"/>
                <w:color w:val="auto"/>
              </w:rPr>
            </w:pPr>
          </w:p>
        </w:tc>
        <w:tc>
          <w:tcPr>
            <w:tcW w:w="5880" w:type="dxa"/>
            <w:vAlign w:val="bottom"/>
            <w:tcBorders>
              <w:top w:val="single" w:sz="8" w:color="EBFBFF"/>
            </w:tcBorders>
          </w:tcPr>
          <w:p>
            <w:pPr>
              <w:ind w:left="440"/>
              <w:spacing w:after="0"/>
              <w:rPr>
                <w:sz w:val="20"/>
                <w:szCs w:val="20"/>
                <w:color w:val="auto"/>
              </w:rPr>
            </w:pPr>
            <w:r>
              <w:rPr>
                <w:rFonts w:ascii="Arial" w:cs="Arial" w:eastAsia="Arial" w:hAnsi="Arial"/>
                <w:sz w:val="16"/>
                <w:szCs w:val="16"/>
                <w:b w:val="1"/>
                <w:bCs w:val="1"/>
                <w:color w:val="51555C"/>
              </w:rPr>
              <w:t>Total cost of revenue</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121,475</w:t>
            </w:r>
          </w:p>
        </w:tc>
        <w:tc>
          <w:tcPr>
            <w:tcW w:w="32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125,607</w:t>
            </w:r>
          </w:p>
        </w:tc>
        <w:tc>
          <w:tcPr>
            <w:tcW w:w="120" w:type="dxa"/>
            <w:vAlign w:val="bottom"/>
            <w:tcBorders>
              <w:top w:val="single" w:sz="8" w:color="EBFBFF"/>
            </w:tcBorders>
          </w:tcPr>
          <w:p>
            <w:pPr>
              <w:spacing w:after="0"/>
              <w:rPr>
                <w:sz w:val="17"/>
                <w:szCs w:val="17"/>
                <w:color w:val="auto"/>
              </w:rPr>
            </w:pPr>
          </w:p>
        </w:tc>
        <w:tc>
          <w:tcPr>
            <w:tcW w:w="36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244,587</w:t>
            </w:r>
          </w:p>
        </w:tc>
        <w:tc>
          <w:tcPr>
            <w:tcW w:w="160" w:type="dxa"/>
            <w:vAlign w:val="bottom"/>
            <w:tcBorders>
              <w:top w:val="single" w:sz="8" w:color="51555C"/>
            </w:tcBorders>
          </w:tcPr>
          <w:p>
            <w:pPr>
              <w:spacing w:after="0"/>
              <w:rPr>
                <w:sz w:val="17"/>
                <w:szCs w:val="17"/>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248,969</w:t>
            </w:r>
          </w:p>
        </w:tc>
        <w:tc>
          <w:tcPr>
            <w:tcW w:w="20" w:type="dxa"/>
            <w:vAlign w:val="bottom"/>
            <w:tcBorders>
              <w:top w:val="single" w:sz="8" w:color="51555C"/>
            </w:tcBorders>
          </w:tcPr>
          <w:p>
            <w:pPr>
              <w:spacing w:after="0"/>
              <w:rPr>
                <w:sz w:val="17"/>
                <w:szCs w:val="17"/>
                <w:color w:val="auto"/>
              </w:rPr>
            </w:pPr>
          </w:p>
        </w:tc>
      </w:tr>
      <w:tr>
        <w:trPr>
          <w:trHeight w:val="51"/>
        </w:trPr>
        <w:tc>
          <w:tcPr>
            <w:tcW w:w="20" w:type="dxa"/>
            <w:vAlign w:val="bottom"/>
          </w:tcPr>
          <w:p>
            <w:pPr>
              <w:spacing w:after="0"/>
              <w:rPr>
                <w:sz w:val="4"/>
                <w:szCs w:val="4"/>
                <w:color w:val="auto"/>
              </w:rPr>
            </w:pPr>
          </w:p>
        </w:tc>
        <w:tc>
          <w:tcPr>
            <w:tcW w:w="588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Gross proft</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149,567</w:t>
            </w:r>
          </w:p>
        </w:tc>
        <w:tc>
          <w:tcPr>
            <w:tcW w:w="32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139,320</w:t>
            </w:r>
          </w:p>
        </w:tc>
        <w:tc>
          <w:tcPr>
            <w:tcW w:w="120" w:type="dxa"/>
            <w:vAlign w:val="bottom"/>
            <w:tcBorders>
              <w:bottom w:val="single" w:sz="8" w:color="EBFBFF"/>
              <w:right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288,208</w:t>
            </w:r>
          </w:p>
        </w:tc>
        <w:tc>
          <w:tcPr>
            <w:tcW w:w="160" w:type="dxa"/>
            <w:vAlign w:val="bottom"/>
            <w:tcBorders>
              <w:bottom w:val="single" w:sz="8" w:color="EBFBFF"/>
            </w:tcBorders>
            <w:shd w:val="clear" w:color="auto" w:fill="EBFBFF"/>
          </w:tcPr>
          <w:p>
            <w:pPr>
              <w:spacing w:after="0"/>
              <w:rPr>
                <w:sz w:val="20"/>
                <w:szCs w:val="20"/>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273,082</w:t>
            </w:r>
          </w:p>
        </w:tc>
        <w:tc>
          <w:tcPr>
            <w:tcW w:w="20" w:type="dxa"/>
            <w:vAlign w:val="bottom"/>
            <w:tcBorders>
              <w:bottom w:val="single" w:sz="8" w:color="EBFBFF"/>
            </w:tcBorders>
            <w:shd w:val="clear" w:color="auto" w:fill="EBFBFF"/>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b w:val="1"/>
                <w:bCs w:val="1"/>
                <w:color w:val="51555C"/>
              </w:rPr>
              <w:t>Operatng expenses</w:t>
            </w:r>
          </w:p>
        </w:tc>
        <w:tc>
          <w:tcPr>
            <w:tcW w:w="300" w:type="dxa"/>
            <w:vAlign w:val="bottom"/>
            <w:tcBorders>
              <w:top w:val="single" w:sz="8" w:color="51555C"/>
            </w:tcBorders>
          </w:tcPr>
          <w:p>
            <w:pPr>
              <w:spacing w:after="0"/>
              <w:rPr>
                <w:sz w:val="16"/>
                <w:szCs w:val="16"/>
                <w:color w:val="auto"/>
              </w:rPr>
            </w:pPr>
          </w:p>
        </w:tc>
        <w:tc>
          <w:tcPr>
            <w:tcW w:w="1000" w:type="dxa"/>
            <w:vAlign w:val="bottom"/>
            <w:tcBorders>
              <w:top w:val="single" w:sz="8" w:color="51555C"/>
            </w:tcBorders>
          </w:tcPr>
          <w:p>
            <w:pPr>
              <w:spacing w:after="0"/>
              <w:rPr>
                <w:sz w:val="16"/>
                <w:szCs w:val="16"/>
                <w:color w:val="auto"/>
              </w:rPr>
            </w:pPr>
          </w:p>
        </w:tc>
        <w:tc>
          <w:tcPr>
            <w:tcW w:w="320" w:type="dxa"/>
            <w:vAlign w:val="bottom"/>
            <w:tcBorders>
              <w:top w:val="single" w:sz="8" w:color="51555C"/>
            </w:tcBorders>
          </w:tcPr>
          <w:p>
            <w:pPr>
              <w:spacing w:after="0"/>
              <w:rPr>
                <w:sz w:val="16"/>
                <w:szCs w:val="16"/>
                <w:color w:val="auto"/>
              </w:rPr>
            </w:pPr>
          </w:p>
        </w:tc>
        <w:tc>
          <w:tcPr>
            <w:tcW w:w="1000" w:type="dxa"/>
            <w:vAlign w:val="bottom"/>
            <w:tcBorders>
              <w:top w:val="single" w:sz="8" w:color="51555C"/>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51555C"/>
            </w:tcBorders>
          </w:tcPr>
          <w:p>
            <w:pPr>
              <w:spacing w:after="0"/>
              <w:rPr>
                <w:sz w:val="16"/>
                <w:szCs w:val="16"/>
                <w:color w:val="auto"/>
              </w:rPr>
            </w:pPr>
          </w:p>
        </w:tc>
        <w:tc>
          <w:tcPr>
            <w:tcW w:w="920" w:type="dxa"/>
            <w:vAlign w:val="bottom"/>
            <w:tcBorders>
              <w:top w:val="single" w:sz="8" w:color="51555C"/>
            </w:tcBorders>
          </w:tcPr>
          <w:p>
            <w:pPr>
              <w:spacing w:after="0"/>
              <w:rPr>
                <w:sz w:val="16"/>
                <w:szCs w:val="16"/>
                <w:color w:val="auto"/>
              </w:rPr>
            </w:pPr>
          </w:p>
        </w:tc>
        <w:tc>
          <w:tcPr>
            <w:tcW w:w="160" w:type="dxa"/>
            <w:vAlign w:val="bottom"/>
            <w:tcBorders>
              <w:top w:val="single" w:sz="8" w:color="51555C"/>
            </w:tcBorders>
          </w:tcPr>
          <w:p>
            <w:pPr>
              <w:spacing w:after="0"/>
              <w:rPr>
                <w:sz w:val="16"/>
                <w:szCs w:val="16"/>
                <w:color w:val="auto"/>
              </w:rPr>
            </w:pPr>
          </w:p>
        </w:tc>
        <w:tc>
          <w:tcPr>
            <w:tcW w:w="1140" w:type="dxa"/>
            <w:vAlign w:val="bottom"/>
            <w:tcBorders>
              <w:top w:val="single" w:sz="8" w:color="51555C"/>
            </w:tcBorders>
          </w:tcPr>
          <w:p>
            <w:pPr>
              <w:spacing w:after="0"/>
              <w:rPr>
                <w:sz w:val="16"/>
                <w:szCs w:val="16"/>
                <w:color w:val="auto"/>
              </w:rPr>
            </w:pPr>
          </w:p>
        </w:tc>
        <w:tc>
          <w:tcPr>
            <w:tcW w:w="20" w:type="dxa"/>
            <w:vAlign w:val="bottom"/>
            <w:tcBorders>
              <w:top w:val="single" w:sz="8" w:color="51555C"/>
            </w:tcBorders>
          </w:tcPr>
          <w:p>
            <w:pPr>
              <w:spacing w:after="0"/>
              <w:rPr>
                <w:sz w:val="16"/>
                <w:szCs w:val="16"/>
                <w:color w:val="auto"/>
              </w:rPr>
            </w:pPr>
          </w:p>
        </w:tc>
      </w:tr>
      <w:tr>
        <w:trPr>
          <w:trHeight w:val="51"/>
        </w:trPr>
        <w:tc>
          <w:tcPr>
            <w:tcW w:w="2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Sales, marketng and customer success</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53,191</w:t>
            </w:r>
          </w:p>
        </w:tc>
        <w:tc>
          <w:tcPr>
            <w:tcW w:w="32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52,737</w:t>
            </w:r>
          </w:p>
        </w:tc>
        <w:tc>
          <w:tcPr>
            <w:tcW w:w="120" w:type="dxa"/>
            <w:vAlign w:val="bottom"/>
            <w:tcBorders>
              <w:bottom w:val="single" w:sz="8" w:color="EBFBFF"/>
              <w:right w:val="single" w:sz="8" w:color="EBFBFF"/>
            </w:tcBorders>
            <w:shd w:val="clear" w:color="auto" w:fill="EBFBFF"/>
          </w:tcPr>
          <w:p>
            <w:pPr>
              <w:spacing w:after="0"/>
              <w:rPr>
                <w:sz w:val="19"/>
                <w:szCs w:val="19"/>
                <w:color w:val="auto"/>
              </w:rPr>
            </w:pPr>
          </w:p>
        </w:tc>
        <w:tc>
          <w:tcPr>
            <w:tcW w:w="36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107,576</w:t>
            </w:r>
          </w:p>
        </w:tc>
        <w:tc>
          <w:tcPr>
            <w:tcW w:w="160" w:type="dxa"/>
            <w:vAlign w:val="bottom"/>
            <w:tcBorders>
              <w:bottom w:val="single" w:sz="8" w:color="EBFBFF"/>
            </w:tcBorders>
            <w:shd w:val="clear" w:color="auto" w:fill="EBFBFF"/>
          </w:tcPr>
          <w:p>
            <w:pPr>
              <w:spacing w:after="0"/>
              <w:rPr>
                <w:sz w:val="19"/>
                <w:szCs w:val="19"/>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107,953</w:t>
            </w:r>
          </w:p>
        </w:tc>
        <w:tc>
          <w:tcPr>
            <w:tcW w:w="20" w:type="dxa"/>
            <w:vAlign w:val="bottom"/>
            <w:tcBorders>
              <w:bottom w:val="single" w:sz="8" w:color="EBFBFF"/>
            </w:tcBorders>
            <w:shd w:val="clear" w:color="auto" w:fill="EBFB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Research and development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36,146</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38,333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76,737</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78,285</w:t>
            </w:r>
          </w:p>
        </w:tc>
        <w:tc>
          <w:tcPr>
            <w:tcW w:w="20" w:type="dxa"/>
            <w:vAlign w:val="bottom"/>
          </w:tcPr>
          <w:p>
            <w:pPr>
              <w:spacing w:after="0"/>
              <w:rPr>
                <w:sz w:val="17"/>
                <w:szCs w:val="17"/>
                <w:color w:val="auto"/>
              </w:rPr>
            </w:pPr>
          </w:p>
        </w:tc>
      </w:tr>
      <w:tr>
        <w:trPr>
          <w:trHeight w:val="53"/>
        </w:trPr>
        <w:tc>
          <w:tcPr>
            <w:tcW w:w="2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General and administratve</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59,148</w:t>
            </w:r>
          </w:p>
        </w:tc>
        <w:tc>
          <w:tcPr>
            <w:tcW w:w="32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47,391</w:t>
            </w:r>
          </w:p>
        </w:tc>
        <w:tc>
          <w:tcPr>
            <w:tcW w:w="120" w:type="dxa"/>
            <w:vAlign w:val="bottom"/>
            <w:tcBorders>
              <w:bottom w:val="single" w:sz="8" w:color="EBFBFF"/>
              <w:right w:val="single" w:sz="8" w:color="EBFBFF"/>
            </w:tcBorders>
            <w:shd w:val="clear" w:color="auto" w:fill="EBFBFF"/>
          </w:tcPr>
          <w:p>
            <w:pPr>
              <w:spacing w:after="0"/>
              <w:rPr>
                <w:sz w:val="19"/>
                <w:szCs w:val="19"/>
                <w:color w:val="auto"/>
              </w:rPr>
            </w:pPr>
          </w:p>
        </w:tc>
        <w:tc>
          <w:tcPr>
            <w:tcW w:w="36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111,986</w:t>
            </w:r>
          </w:p>
        </w:tc>
        <w:tc>
          <w:tcPr>
            <w:tcW w:w="160" w:type="dxa"/>
            <w:vAlign w:val="bottom"/>
            <w:tcBorders>
              <w:bottom w:val="single" w:sz="8" w:color="EBFBFF"/>
            </w:tcBorders>
            <w:shd w:val="clear" w:color="auto" w:fill="EBFBFF"/>
          </w:tcPr>
          <w:p>
            <w:pPr>
              <w:spacing w:after="0"/>
              <w:rPr>
                <w:sz w:val="19"/>
                <w:szCs w:val="19"/>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91,153</w:t>
            </w:r>
          </w:p>
        </w:tc>
        <w:tc>
          <w:tcPr>
            <w:tcW w:w="20" w:type="dxa"/>
            <w:vAlign w:val="bottom"/>
            <w:tcBorders>
              <w:bottom w:val="single" w:sz="8" w:color="EBFBFF"/>
            </w:tcBorders>
            <w:shd w:val="clear" w:color="auto" w:fill="EBFB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Amortzaton</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788</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805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1,562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1,616</w:t>
            </w:r>
          </w:p>
        </w:tc>
        <w:tc>
          <w:tcPr>
            <w:tcW w:w="20" w:type="dxa"/>
            <w:vAlign w:val="bottom"/>
          </w:tcPr>
          <w:p>
            <w:pPr>
              <w:spacing w:after="0"/>
              <w:rPr>
                <w:sz w:val="17"/>
                <w:szCs w:val="17"/>
                <w:color w:val="auto"/>
              </w:rPr>
            </w:pPr>
          </w:p>
        </w:tc>
      </w:tr>
      <w:tr>
        <w:trPr>
          <w:trHeight w:val="39"/>
        </w:trPr>
        <w:tc>
          <w:tcPr>
            <w:tcW w:w="20" w:type="dxa"/>
            <w:vAlign w:val="bottom"/>
          </w:tcPr>
          <w:p>
            <w:pPr>
              <w:spacing w:after="0"/>
              <w:rPr>
                <w:sz w:val="3"/>
                <w:szCs w:val="3"/>
                <w:color w:val="auto"/>
              </w:rPr>
            </w:pPr>
          </w:p>
        </w:tc>
        <w:tc>
          <w:tcPr>
            <w:tcW w:w="5880" w:type="dxa"/>
            <w:vAlign w:val="bottom"/>
            <w:tcBorders>
              <w:bottom w:val="single" w:sz="8" w:color="EBFBFF"/>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120" w:type="dxa"/>
            <w:vAlign w:val="bottom"/>
            <w:tcBorders>
              <w:bottom w:val="single" w:sz="8" w:color="EBFBFF"/>
            </w:tcBorders>
          </w:tcPr>
          <w:p>
            <w:pPr>
              <w:spacing w:after="0"/>
              <w:rPr>
                <w:sz w:val="3"/>
                <w:szCs w:val="3"/>
                <w:color w:val="auto"/>
              </w:rPr>
            </w:pPr>
          </w:p>
        </w:tc>
        <w:tc>
          <w:tcPr>
            <w:tcW w:w="36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r>
      <w:tr>
        <w:trPr>
          <w:trHeight w:val="242"/>
        </w:trPr>
        <w:tc>
          <w:tcPr>
            <w:tcW w:w="20" w:type="dxa"/>
            <w:vAlign w:val="bottom"/>
          </w:tcPr>
          <w:p>
            <w:pPr>
              <w:spacing w:after="0"/>
              <w:rPr>
                <w:sz w:val="20"/>
                <w:szCs w:val="20"/>
                <w:color w:val="auto"/>
              </w:rPr>
            </w:pPr>
          </w:p>
        </w:tc>
        <w:tc>
          <w:tcPr>
            <w:tcW w:w="5880" w:type="dxa"/>
            <w:vAlign w:val="bottom"/>
            <w:tcBorders>
              <w:bottom w:val="single" w:sz="8" w:color="EBFBFF"/>
            </w:tcBorders>
            <w:shd w:val="clear" w:color="auto" w:fill="EBFBFF"/>
          </w:tcPr>
          <w:p>
            <w:pPr>
              <w:ind w:left="440"/>
              <w:spacing w:after="0"/>
              <w:rPr>
                <w:sz w:val="20"/>
                <w:szCs w:val="20"/>
                <w:color w:val="auto"/>
              </w:rPr>
            </w:pPr>
            <w:r>
              <w:rPr>
                <w:rFonts w:ascii="Arial" w:cs="Arial" w:eastAsia="Arial" w:hAnsi="Arial"/>
                <w:sz w:val="16"/>
                <w:szCs w:val="16"/>
                <w:b w:val="1"/>
                <w:bCs w:val="1"/>
                <w:color w:val="51555C"/>
              </w:rPr>
              <w:t>Total operatng expenses</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149,273</w:t>
            </w:r>
          </w:p>
        </w:tc>
        <w:tc>
          <w:tcPr>
            <w:tcW w:w="32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139,266</w:t>
            </w:r>
          </w:p>
        </w:tc>
        <w:tc>
          <w:tcPr>
            <w:tcW w:w="120" w:type="dxa"/>
            <w:vAlign w:val="bottom"/>
            <w:tcBorders>
              <w:bottom w:val="single" w:sz="8" w:color="EBFBFF"/>
              <w:right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297,861</w:t>
            </w:r>
          </w:p>
        </w:tc>
        <w:tc>
          <w:tcPr>
            <w:tcW w:w="160" w:type="dxa"/>
            <w:vAlign w:val="bottom"/>
            <w:tcBorders>
              <w:bottom w:val="single" w:sz="8" w:color="EBFBFF"/>
            </w:tcBorders>
            <w:shd w:val="clear" w:color="auto" w:fill="EBFBFF"/>
          </w:tcPr>
          <w:p>
            <w:pPr>
              <w:spacing w:after="0"/>
              <w:rPr>
                <w:sz w:val="20"/>
                <w:szCs w:val="20"/>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279,007</w:t>
            </w:r>
          </w:p>
        </w:tc>
        <w:tc>
          <w:tcPr>
            <w:tcW w:w="20" w:type="dxa"/>
            <w:vAlign w:val="bottom"/>
            <w:tcBorders>
              <w:bottom w:val="single" w:sz="8" w:color="EBFBFF"/>
            </w:tcBorders>
            <w:shd w:val="clear" w:color="auto" w:fill="EBFBFF"/>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5880" w:type="dxa"/>
            <w:vAlign w:val="bottom"/>
            <w:tcBorders>
              <w:top w:val="single" w:sz="8" w:color="EBFBFF"/>
            </w:tcBorders>
          </w:tcPr>
          <w:p>
            <w:pPr>
              <w:ind w:left="20"/>
              <w:spacing w:after="0"/>
              <w:rPr>
                <w:sz w:val="20"/>
                <w:szCs w:val="20"/>
                <w:color w:val="auto"/>
              </w:rPr>
            </w:pPr>
            <w:r>
              <w:rPr>
                <w:rFonts w:ascii="Arial" w:cs="Arial" w:eastAsia="Arial" w:hAnsi="Arial"/>
                <w:sz w:val="16"/>
                <w:szCs w:val="16"/>
                <w:b w:val="1"/>
                <w:bCs w:val="1"/>
                <w:color w:val="51555C"/>
              </w:rPr>
              <w:t>Income (loss) from operatons</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294</w:t>
            </w:r>
          </w:p>
        </w:tc>
        <w:tc>
          <w:tcPr>
            <w:tcW w:w="32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54</w:t>
            </w:r>
          </w:p>
        </w:tc>
        <w:tc>
          <w:tcPr>
            <w:tcW w:w="120" w:type="dxa"/>
            <w:vAlign w:val="bottom"/>
            <w:tcBorders>
              <w:top w:val="single" w:sz="8" w:color="EBFBFF"/>
            </w:tcBorders>
          </w:tcPr>
          <w:p>
            <w:pPr>
              <w:spacing w:after="0"/>
              <w:rPr>
                <w:sz w:val="17"/>
                <w:szCs w:val="17"/>
                <w:color w:val="auto"/>
              </w:rPr>
            </w:pPr>
          </w:p>
        </w:tc>
        <w:tc>
          <w:tcPr>
            <w:tcW w:w="36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(9,653)</w:t>
            </w:r>
          </w:p>
        </w:tc>
        <w:tc>
          <w:tcPr>
            <w:tcW w:w="160" w:type="dxa"/>
            <w:vAlign w:val="bottom"/>
            <w:tcBorders>
              <w:top w:val="single" w:sz="8" w:color="51555C"/>
            </w:tcBorders>
          </w:tcPr>
          <w:p>
            <w:pPr>
              <w:spacing w:after="0"/>
              <w:rPr>
                <w:sz w:val="17"/>
                <w:szCs w:val="17"/>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(5,925)</w:t>
            </w:r>
          </w:p>
        </w:tc>
        <w:tc>
          <w:tcPr>
            <w:tcW w:w="20" w:type="dxa"/>
            <w:vAlign w:val="bottom"/>
            <w:tcBorders>
              <w:top w:val="single" w:sz="8" w:color="51555C"/>
            </w:tcBorders>
          </w:tcPr>
          <w:p>
            <w:pPr>
              <w:spacing w:after="0"/>
              <w:rPr>
                <w:sz w:val="17"/>
                <w:szCs w:val="17"/>
                <w:color w:val="auto"/>
              </w:rPr>
            </w:pPr>
          </w:p>
        </w:tc>
      </w:tr>
      <w:tr>
        <w:trPr>
          <w:trHeight w:val="51"/>
        </w:trPr>
        <w:tc>
          <w:tcPr>
            <w:tcW w:w="20" w:type="dxa"/>
            <w:vAlign w:val="bottom"/>
          </w:tcPr>
          <w:p>
            <w:pPr>
              <w:spacing w:after="0"/>
              <w:rPr>
                <w:sz w:val="4"/>
                <w:szCs w:val="4"/>
                <w:color w:val="auto"/>
              </w:rPr>
            </w:pPr>
          </w:p>
        </w:tc>
        <w:tc>
          <w:tcPr>
            <w:tcW w:w="588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Interest expense</w:t>
            </w:r>
          </w:p>
        </w:tc>
        <w:tc>
          <w:tcPr>
            <w:tcW w:w="3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(11,167)</w:t>
            </w:r>
          </w:p>
        </w:tc>
        <w:tc>
          <w:tcPr>
            <w:tcW w:w="32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(8,976)</w:t>
            </w: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36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(21,829)</w:t>
            </w:r>
          </w:p>
        </w:tc>
        <w:tc>
          <w:tcPr>
            <w:tcW w:w="160" w:type="dxa"/>
            <w:vAlign w:val="bottom"/>
            <w:tcBorders>
              <w:bottom w:val="single" w:sz="8" w:color="EBFBFF"/>
            </w:tcBorders>
            <w:shd w:val="clear" w:color="auto" w:fill="EBFBFF"/>
          </w:tcPr>
          <w:p>
            <w:pPr>
              <w:spacing w:after="0"/>
              <w:rPr>
                <w:sz w:val="18"/>
                <w:szCs w:val="18"/>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(16,575)</w:t>
            </w:r>
          </w:p>
        </w:tc>
        <w:tc>
          <w:tcPr>
            <w:tcW w:w="20" w:type="dxa"/>
            <w:vAlign w:val="bottom"/>
            <w:tcBorders>
              <w:bottom w:val="single" w:sz="8" w:color="EBFBFF"/>
            </w:tcBorders>
            <w:shd w:val="clear" w:color="auto" w:fill="EBFB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Other income, net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2,778</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3,133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4,785</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4,254</w:t>
            </w:r>
          </w:p>
        </w:tc>
        <w:tc>
          <w:tcPr>
            <w:tcW w:w="20" w:type="dxa"/>
            <w:vAlign w:val="bottom"/>
          </w:tcPr>
          <w:p>
            <w:pPr>
              <w:spacing w:after="0"/>
              <w:rPr>
                <w:sz w:val="17"/>
                <w:szCs w:val="17"/>
                <w:color w:val="auto"/>
              </w:rPr>
            </w:pPr>
          </w:p>
        </w:tc>
      </w:tr>
      <w:tr>
        <w:trPr>
          <w:trHeight w:val="40"/>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r>
      <w:tr>
        <w:trPr>
          <w:trHeight w:val="230"/>
        </w:trPr>
        <w:tc>
          <w:tcPr>
            <w:tcW w:w="20" w:type="dxa"/>
            <w:vAlign w:val="bottom"/>
          </w:tcPr>
          <w:p>
            <w:pPr>
              <w:spacing w:after="0"/>
              <w:rPr>
                <w:sz w:val="20"/>
                <w:szCs w:val="20"/>
                <w:color w:val="auto"/>
              </w:rPr>
            </w:pPr>
          </w:p>
        </w:tc>
        <w:tc>
          <w:tcPr>
            <w:tcW w:w="5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Loss before provision for income taxes</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(8,095)</w:t>
            </w:r>
          </w:p>
        </w:tc>
        <w:tc>
          <w:tcPr>
            <w:tcW w:w="32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(5,789)</w:t>
            </w:r>
          </w:p>
        </w:tc>
        <w:tc>
          <w:tcPr>
            <w:tcW w:w="120" w:type="dxa"/>
            <w:vAlign w:val="bottom"/>
            <w:tcBorders>
              <w:bottom w:val="single" w:sz="8" w:color="EBFBFF"/>
              <w:right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(26,697)</w:t>
            </w:r>
          </w:p>
        </w:tc>
        <w:tc>
          <w:tcPr>
            <w:tcW w:w="160" w:type="dxa"/>
            <w:vAlign w:val="bottom"/>
            <w:tcBorders>
              <w:bottom w:val="single" w:sz="8" w:color="EBFBFF"/>
            </w:tcBorders>
            <w:shd w:val="clear" w:color="auto" w:fill="EBFBFF"/>
          </w:tcPr>
          <w:p>
            <w:pPr>
              <w:spacing w:after="0"/>
              <w:rPr>
                <w:sz w:val="20"/>
                <w:szCs w:val="20"/>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(18,246)</w:t>
            </w:r>
          </w:p>
        </w:tc>
        <w:tc>
          <w:tcPr>
            <w:tcW w:w="20" w:type="dxa"/>
            <w:vAlign w:val="bottom"/>
            <w:tcBorders>
              <w:bottom w:val="single" w:sz="8" w:color="EBFBFF"/>
            </w:tcBorders>
            <w:shd w:val="clear" w:color="auto" w:fill="EBFB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Income tax beneft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(10,200)</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(2,367)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(14,101)</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(4,417)</w:t>
            </w:r>
          </w:p>
        </w:tc>
        <w:tc>
          <w:tcPr>
            <w:tcW w:w="20" w:type="dxa"/>
            <w:vAlign w:val="bottom"/>
          </w:tcPr>
          <w:p>
            <w:pPr>
              <w:spacing w:after="0"/>
              <w:rPr>
                <w:sz w:val="17"/>
                <w:szCs w:val="17"/>
                <w:color w:val="auto"/>
              </w:rPr>
            </w:pPr>
          </w:p>
        </w:tc>
      </w:tr>
      <w:tr>
        <w:trPr>
          <w:trHeight w:val="40"/>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14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5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Net income (loss)</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Arial" w:cs="Arial" w:eastAsia="Arial" w:hAnsi="Arial"/>
                <w:sz w:val="16"/>
                <w:szCs w:val="16"/>
                <w:color w:val="51555C"/>
                <w:w w:val="8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2,105</w:t>
            </w:r>
          </w:p>
        </w:tc>
        <w:tc>
          <w:tcPr>
            <w:tcW w:w="320" w:type="dxa"/>
            <w:vAlign w:val="bottom"/>
            <w:tcBorders>
              <w:bottom w:val="single" w:sz="8" w:color="EBFBFF"/>
            </w:tcBorders>
            <w:shd w:val="clear" w:color="auto" w:fill="EBFBFF"/>
          </w:tcPr>
          <w:p>
            <w:pPr>
              <w:jc w:val="right"/>
              <w:ind w:right="120"/>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(3,422)</w:t>
            </w:r>
          </w:p>
        </w:tc>
        <w:tc>
          <w:tcPr>
            <w:tcW w:w="480" w:type="dxa"/>
            <w:vAlign w:val="bottom"/>
            <w:tcBorders>
              <w:bottom w:val="single" w:sz="8" w:color="EBFBFF"/>
            </w:tcBorders>
            <w:gridSpan w:val="2"/>
            <w:shd w:val="clear" w:color="auto" w:fill="EBFBFF"/>
          </w:tcPr>
          <w:p>
            <w:pPr>
              <w:jc w:val="right"/>
              <w:ind w:right="204"/>
              <w:spacing w:after="0"/>
              <w:rPr>
                <w:sz w:val="20"/>
                <w:szCs w:val="20"/>
                <w:color w:val="auto"/>
              </w:rPr>
            </w:pPr>
            <w:r>
              <w:rPr>
                <w:rFonts w:ascii="Arial" w:cs="Arial" w:eastAsia="Arial" w:hAnsi="Arial"/>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(12,596)</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(13,829)</w:t>
            </w:r>
          </w:p>
        </w:tc>
        <w:tc>
          <w:tcPr>
            <w:tcW w:w="20" w:type="dxa"/>
            <w:vAlign w:val="bottom"/>
            <w:tcBorders>
              <w:bottom w:val="single" w:sz="8" w:color="EBFBFF"/>
            </w:tcBorders>
            <w:shd w:val="clear" w:color="auto" w:fill="EBFBFF"/>
          </w:tcPr>
          <w:p>
            <w:pPr>
              <w:spacing w:after="0"/>
              <w:rPr>
                <w:sz w:val="21"/>
                <w:szCs w:val="21"/>
                <w:color w:val="auto"/>
              </w:rPr>
            </w:pPr>
          </w:p>
        </w:tc>
      </w:tr>
      <w:tr>
        <w:trPr>
          <w:trHeight w:val="186"/>
        </w:trPr>
        <w:tc>
          <w:tcPr>
            <w:tcW w:w="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b w:val="1"/>
                <w:bCs w:val="1"/>
                <w:color w:val="51555C"/>
              </w:rPr>
              <w:t>Earnings (loss) per share</w:t>
            </w:r>
          </w:p>
        </w:tc>
        <w:tc>
          <w:tcPr>
            <w:tcW w:w="300" w:type="dxa"/>
            <w:vAlign w:val="bottom"/>
            <w:tcBorders>
              <w:top w:val="single" w:sz="8" w:color="51555C"/>
            </w:tcBorders>
          </w:tcPr>
          <w:p>
            <w:pPr>
              <w:spacing w:after="0"/>
              <w:rPr>
                <w:sz w:val="16"/>
                <w:szCs w:val="16"/>
                <w:color w:val="auto"/>
              </w:rPr>
            </w:pPr>
          </w:p>
        </w:tc>
        <w:tc>
          <w:tcPr>
            <w:tcW w:w="1000" w:type="dxa"/>
            <w:vAlign w:val="bottom"/>
            <w:tcBorders>
              <w:top w:val="single" w:sz="8" w:color="51555C"/>
            </w:tcBorders>
          </w:tcPr>
          <w:p>
            <w:pPr>
              <w:spacing w:after="0"/>
              <w:rPr>
                <w:sz w:val="16"/>
                <w:szCs w:val="16"/>
                <w:color w:val="auto"/>
              </w:rPr>
            </w:pPr>
          </w:p>
        </w:tc>
        <w:tc>
          <w:tcPr>
            <w:tcW w:w="320" w:type="dxa"/>
            <w:vAlign w:val="bottom"/>
            <w:tcBorders>
              <w:top w:val="single" w:sz="8" w:color="51555C"/>
            </w:tcBorders>
          </w:tcPr>
          <w:p>
            <w:pPr>
              <w:spacing w:after="0"/>
              <w:rPr>
                <w:sz w:val="16"/>
                <w:szCs w:val="16"/>
                <w:color w:val="auto"/>
              </w:rPr>
            </w:pPr>
          </w:p>
        </w:tc>
        <w:tc>
          <w:tcPr>
            <w:tcW w:w="1000" w:type="dxa"/>
            <w:vAlign w:val="bottom"/>
            <w:tcBorders>
              <w:top w:val="single" w:sz="8" w:color="51555C"/>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51555C"/>
            </w:tcBorders>
          </w:tcPr>
          <w:p>
            <w:pPr>
              <w:spacing w:after="0"/>
              <w:rPr>
                <w:sz w:val="16"/>
                <w:szCs w:val="16"/>
                <w:color w:val="auto"/>
              </w:rPr>
            </w:pPr>
          </w:p>
        </w:tc>
        <w:tc>
          <w:tcPr>
            <w:tcW w:w="920" w:type="dxa"/>
            <w:vAlign w:val="bottom"/>
            <w:tcBorders>
              <w:top w:val="single" w:sz="8" w:color="51555C"/>
            </w:tcBorders>
          </w:tcPr>
          <w:p>
            <w:pPr>
              <w:spacing w:after="0"/>
              <w:rPr>
                <w:sz w:val="16"/>
                <w:szCs w:val="16"/>
                <w:color w:val="auto"/>
              </w:rPr>
            </w:pPr>
          </w:p>
        </w:tc>
        <w:tc>
          <w:tcPr>
            <w:tcW w:w="160" w:type="dxa"/>
            <w:vAlign w:val="bottom"/>
            <w:tcBorders>
              <w:top w:val="single" w:sz="8" w:color="51555C"/>
            </w:tcBorders>
          </w:tcPr>
          <w:p>
            <w:pPr>
              <w:spacing w:after="0"/>
              <w:rPr>
                <w:sz w:val="16"/>
                <w:szCs w:val="16"/>
                <w:color w:val="auto"/>
              </w:rPr>
            </w:pPr>
          </w:p>
        </w:tc>
        <w:tc>
          <w:tcPr>
            <w:tcW w:w="1140" w:type="dxa"/>
            <w:vAlign w:val="bottom"/>
            <w:tcBorders>
              <w:top w:val="single" w:sz="8" w:color="51555C"/>
            </w:tcBorders>
          </w:tcPr>
          <w:p>
            <w:pPr>
              <w:spacing w:after="0"/>
              <w:rPr>
                <w:sz w:val="16"/>
                <w:szCs w:val="16"/>
                <w:color w:val="auto"/>
              </w:rPr>
            </w:pPr>
          </w:p>
        </w:tc>
        <w:tc>
          <w:tcPr>
            <w:tcW w:w="20" w:type="dxa"/>
            <w:vAlign w:val="bottom"/>
            <w:tcBorders>
              <w:top w:val="single" w:sz="8" w:color="51555C"/>
            </w:tcBorders>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Basic</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Arial" w:cs="Arial" w:eastAsia="Arial" w:hAnsi="Arial"/>
                <w:sz w:val="16"/>
                <w:szCs w:val="16"/>
                <w:color w:val="51555C"/>
                <w:w w:val="8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0.04</w:t>
            </w:r>
          </w:p>
        </w:tc>
        <w:tc>
          <w:tcPr>
            <w:tcW w:w="320" w:type="dxa"/>
            <w:vAlign w:val="bottom"/>
            <w:tcBorders>
              <w:bottom w:val="single" w:sz="8" w:color="EBFBFF"/>
            </w:tcBorders>
            <w:shd w:val="clear" w:color="auto" w:fill="EBFBFF"/>
          </w:tcPr>
          <w:p>
            <w:pPr>
              <w:jc w:val="right"/>
              <w:ind w:right="120"/>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(0.07)</w:t>
            </w:r>
          </w:p>
        </w:tc>
        <w:tc>
          <w:tcPr>
            <w:tcW w:w="480" w:type="dxa"/>
            <w:vAlign w:val="bottom"/>
            <w:tcBorders>
              <w:bottom w:val="single" w:sz="8" w:color="EBFBFF"/>
            </w:tcBorders>
            <w:gridSpan w:val="2"/>
            <w:shd w:val="clear" w:color="auto" w:fill="EBFBFF"/>
          </w:tcPr>
          <w:p>
            <w:pPr>
              <w:jc w:val="right"/>
              <w:ind w:right="204"/>
              <w:spacing w:after="0"/>
              <w:rPr>
                <w:sz w:val="20"/>
                <w:szCs w:val="20"/>
                <w:color w:val="auto"/>
              </w:rPr>
            </w:pPr>
            <w:r>
              <w:rPr>
                <w:rFonts w:ascii="Arial" w:cs="Arial" w:eastAsia="Arial" w:hAnsi="Arial"/>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(0.24)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(0.27)</w:t>
            </w:r>
          </w:p>
        </w:tc>
        <w:tc>
          <w:tcPr>
            <w:tcW w:w="20" w:type="dxa"/>
            <w:vAlign w:val="bottom"/>
            <w:tcBorders>
              <w:bottom w:val="single" w:sz="8" w:color="EBFBFF"/>
            </w:tcBorders>
            <w:shd w:val="clear" w:color="auto" w:fill="EBFB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51555C"/>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0.04</w:t>
            </w:r>
          </w:p>
        </w:tc>
        <w:tc>
          <w:tcPr>
            <w:tcW w:w="320" w:type="dxa"/>
            <w:vAlign w:val="bottom"/>
          </w:tcPr>
          <w:p>
            <w:pPr>
              <w:jc w:val="right"/>
              <w:ind w:right="120"/>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(0.07)</w:t>
            </w:r>
          </w:p>
        </w:tc>
        <w:tc>
          <w:tcPr>
            <w:tcW w:w="480" w:type="dxa"/>
            <w:vAlign w:val="bottom"/>
            <w:gridSpan w:val="2"/>
          </w:tcPr>
          <w:p>
            <w:pPr>
              <w:jc w:val="right"/>
              <w:ind w:right="204"/>
              <w:spacing w:after="0"/>
              <w:rPr>
                <w:sz w:val="20"/>
                <w:szCs w:val="20"/>
                <w:color w:val="auto"/>
              </w:rPr>
            </w:pPr>
            <w:r>
              <w:rPr>
                <w:rFonts w:ascii="Arial" w:cs="Arial" w:eastAsia="Arial" w:hAnsi="Arial"/>
                <w:sz w:val="16"/>
                <w:szCs w:val="16"/>
                <w:color w:val="51555C"/>
              </w:rPr>
              <w:t>$</w:t>
            </w:r>
          </w:p>
        </w:tc>
        <w:tc>
          <w:tcPr>
            <w:tcW w:w="920" w:type="dxa"/>
            <w:vAlign w:val="bottom"/>
          </w:tcPr>
          <w:p>
            <w:pPr>
              <w:jc w:val="right"/>
              <w:spacing w:after="0"/>
              <w:rPr>
                <w:sz w:val="20"/>
                <w:szCs w:val="20"/>
                <w:color w:val="auto"/>
              </w:rPr>
            </w:pPr>
            <w:r>
              <w:rPr>
                <w:rFonts w:ascii="Arial" w:cs="Arial" w:eastAsia="Arial" w:hAnsi="Arial"/>
                <w:sz w:val="16"/>
                <w:szCs w:val="16"/>
                <w:color w:val="51555C"/>
              </w:rPr>
              <w:t>(0.24)</w:t>
            </w:r>
          </w:p>
        </w:tc>
        <w:tc>
          <w:tcPr>
            <w:tcW w:w="16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51555C"/>
              </w:rPr>
              <w:t>(0.27)</w:t>
            </w:r>
          </w:p>
        </w:tc>
        <w:tc>
          <w:tcPr>
            <w:tcW w:w="20" w:type="dxa"/>
            <w:vAlign w:val="bottom"/>
          </w:tcPr>
          <w:p>
            <w:pPr>
              <w:spacing w:after="0"/>
              <w:rPr>
                <w:sz w:val="17"/>
                <w:szCs w:val="17"/>
                <w:color w:val="auto"/>
              </w:rPr>
            </w:pPr>
          </w:p>
        </w:tc>
      </w:tr>
      <w:tr>
        <w:trPr>
          <w:trHeight w:val="40"/>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5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Common shares and equivalents outstanding</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spacing w:after="0"/>
              <w:rPr>
                <w:sz w:val="20"/>
                <w:szCs w:val="20"/>
                <w:color w:val="auto"/>
              </w:rPr>
            </w:pPr>
          </w:p>
        </w:tc>
        <w:tc>
          <w:tcPr>
            <w:tcW w:w="32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spacing w:after="0"/>
              <w:rPr>
                <w:sz w:val="20"/>
                <w:szCs w:val="20"/>
                <w:color w:val="auto"/>
              </w:rPr>
            </w:pPr>
          </w:p>
        </w:tc>
        <w:tc>
          <w:tcPr>
            <w:tcW w:w="120" w:type="dxa"/>
            <w:vAlign w:val="bottom"/>
            <w:tcBorders>
              <w:bottom w:val="single" w:sz="8" w:color="EBFBFF"/>
              <w:right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spacing w:after="0"/>
              <w:rPr>
                <w:sz w:val="20"/>
                <w:szCs w:val="20"/>
                <w:color w:val="auto"/>
              </w:rPr>
            </w:pPr>
          </w:p>
        </w:tc>
        <w:tc>
          <w:tcPr>
            <w:tcW w:w="160" w:type="dxa"/>
            <w:vAlign w:val="bottom"/>
            <w:tcBorders>
              <w:bottom w:val="single" w:sz="8" w:color="EBFBFF"/>
            </w:tcBorders>
            <w:shd w:val="clear" w:color="auto" w:fill="EBFBFF"/>
          </w:tcPr>
          <w:p>
            <w:pPr>
              <w:spacing w:after="0"/>
              <w:rPr>
                <w:sz w:val="20"/>
                <w:szCs w:val="20"/>
                <w:color w:val="auto"/>
              </w:rPr>
            </w:pPr>
          </w:p>
        </w:tc>
        <w:tc>
          <w:tcPr>
            <w:tcW w:w="1140" w:type="dxa"/>
            <w:vAlign w:val="bottom"/>
            <w:tcBorders>
              <w:bottom w:val="single" w:sz="8" w:color="EBFBFF"/>
            </w:tcBorders>
            <w:shd w:val="clear" w:color="auto" w:fill="EBFBFF"/>
          </w:tcPr>
          <w:p>
            <w:pPr>
              <w:spacing w:after="0"/>
              <w:rPr>
                <w:sz w:val="20"/>
                <w:szCs w:val="20"/>
                <w:color w:val="auto"/>
              </w:rPr>
            </w:pPr>
          </w:p>
        </w:tc>
        <w:tc>
          <w:tcPr>
            <w:tcW w:w="20" w:type="dxa"/>
            <w:vAlign w:val="bottom"/>
            <w:tcBorders>
              <w:bottom w:val="single" w:sz="8" w:color="EBFBFF"/>
            </w:tcBorders>
            <w:shd w:val="clear" w:color="auto" w:fill="EBFBFF"/>
          </w:tcPr>
          <w:p>
            <w:pPr>
              <w:spacing w:after="0"/>
              <w:rPr>
                <w:sz w:val="20"/>
                <w:szCs w:val="20"/>
                <w:color w:val="auto"/>
              </w:rPr>
            </w:pPr>
          </w:p>
        </w:tc>
      </w:tr>
      <w:tr>
        <w:trPr>
          <w:trHeight w:val="204"/>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Basic weighted average shares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52,642,411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51,660,739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52,389,112</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51,431,501</w:t>
            </w:r>
          </w:p>
        </w:tc>
        <w:tc>
          <w:tcPr>
            <w:tcW w:w="20" w:type="dxa"/>
            <w:vAlign w:val="bottom"/>
          </w:tcPr>
          <w:p>
            <w:pPr>
              <w:spacing w:after="0"/>
              <w:rPr>
                <w:sz w:val="17"/>
                <w:szCs w:val="17"/>
                <w:color w:val="auto"/>
              </w:rPr>
            </w:pPr>
          </w:p>
        </w:tc>
      </w:tr>
      <w:tr>
        <w:trPr>
          <w:trHeight w:val="39"/>
        </w:trPr>
        <w:tc>
          <w:tcPr>
            <w:tcW w:w="20" w:type="dxa"/>
            <w:vAlign w:val="bottom"/>
          </w:tcPr>
          <w:p>
            <w:pPr>
              <w:spacing w:after="0"/>
              <w:rPr>
                <w:sz w:val="3"/>
                <w:szCs w:val="3"/>
                <w:color w:val="auto"/>
              </w:rPr>
            </w:pPr>
          </w:p>
        </w:tc>
        <w:tc>
          <w:tcPr>
            <w:tcW w:w="5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Diluted weighted average shares</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53,643,124</w:t>
            </w:r>
          </w:p>
        </w:tc>
        <w:tc>
          <w:tcPr>
            <w:tcW w:w="32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51,660,739</w:t>
            </w:r>
          </w:p>
        </w:tc>
        <w:tc>
          <w:tcPr>
            <w:tcW w:w="120" w:type="dxa"/>
            <w:vAlign w:val="bottom"/>
            <w:tcBorders>
              <w:bottom w:val="single" w:sz="8" w:color="EBFBFF"/>
              <w:right w:val="single" w:sz="8" w:color="EBFBFF"/>
            </w:tcBorders>
            <w:shd w:val="clear" w:color="auto" w:fill="EBFBFF"/>
          </w:tcPr>
          <w:p>
            <w:pPr>
              <w:spacing w:after="0"/>
              <w:rPr>
                <w:sz w:val="19"/>
                <w:szCs w:val="19"/>
                <w:color w:val="auto"/>
              </w:rPr>
            </w:pPr>
          </w:p>
        </w:tc>
        <w:tc>
          <w:tcPr>
            <w:tcW w:w="36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52,389,112</w:t>
            </w:r>
          </w:p>
        </w:tc>
        <w:tc>
          <w:tcPr>
            <w:tcW w:w="160" w:type="dxa"/>
            <w:vAlign w:val="bottom"/>
            <w:tcBorders>
              <w:bottom w:val="single" w:sz="8" w:color="EBFBFF"/>
            </w:tcBorders>
            <w:shd w:val="clear" w:color="auto" w:fill="EBFBFF"/>
          </w:tcPr>
          <w:p>
            <w:pPr>
              <w:spacing w:after="0"/>
              <w:rPr>
                <w:sz w:val="19"/>
                <w:szCs w:val="19"/>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51,431,501</w:t>
            </w:r>
          </w:p>
        </w:tc>
        <w:tc>
          <w:tcPr>
            <w:tcW w:w="20" w:type="dxa"/>
            <w:vAlign w:val="bottom"/>
            <w:tcBorders>
              <w:bottom w:val="single" w:sz="8" w:color="EBFBFF"/>
            </w:tcBorders>
            <w:shd w:val="clear" w:color="auto" w:fill="EBFBFF"/>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6"/>
                <w:szCs w:val="16"/>
                <w:b w:val="1"/>
                <w:bCs w:val="1"/>
                <w:color w:val="51555C"/>
              </w:rPr>
              <w:t>Other comprehensive income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1"/>
        </w:trPr>
        <w:tc>
          <w:tcPr>
            <w:tcW w:w="2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6"/>
                <w:szCs w:val="16"/>
                <w:color w:val="51555C"/>
              </w:rPr>
              <w:t>Foreign currency translaton adjustment</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Arial" w:cs="Arial" w:eastAsia="Arial" w:hAnsi="Arial"/>
                <w:sz w:val="16"/>
                <w:szCs w:val="16"/>
                <w:color w:val="51555C"/>
                <w:w w:val="8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3,055</w:t>
            </w:r>
          </w:p>
        </w:tc>
        <w:tc>
          <w:tcPr>
            <w:tcW w:w="320" w:type="dxa"/>
            <w:vAlign w:val="bottom"/>
            <w:tcBorders>
              <w:bottom w:val="single" w:sz="8" w:color="EBFBFF"/>
            </w:tcBorders>
            <w:shd w:val="clear" w:color="auto" w:fill="EBFBFF"/>
          </w:tcPr>
          <w:p>
            <w:pPr>
              <w:jc w:val="right"/>
              <w:ind w:right="120"/>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(10,398)</w:t>
            </w:r>
          </w:p>
        </w:tc>
        <w:tc>
          <w:tcPr>
            <w:tcW w:w="480" w:type="dxa"/>
            <w:vAlign w:val="bottom"/>
            <w:tcBorders>
              <w:bottom w:val="single" w:sz="8" w:color="EBFBFF"/>
            </w:tcBorders>
            <w:gridSpan w:val="2"/>
            <w:shd w:val="clear" w:color="auto" w:fill="EBFBFF"/>
          </w:tcPr>
          <w:p>
            <w:pPr>
              <w:jc w:val="right"/>
              <w:ind w:right="204"/>
              <w:spacing w:after="0"/>
              <w:rPr>
                <w:sz w:val="20"/>
                <w:szCs w:val="20"/>
                <w:color w:val="auto"/>
              </w:rPr>
            </w:pPr>
            <w:r>
              <w:rPr>
                <w:rFonts w:ascii="Arial" w:cs="Arial" w:eastAsia="Arial" w:hAnsi="Arial"/>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5,213</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(12,530)</w:t>
            </w:r>
          </w:p>
        </w:tc>
        <w:tc>
          <w:tcPr>
            <w:tcW w:w="20" w:type="dxa"/>
            <w:vAlign w:val="bottom"/>
            <w:tcBorders>
              <w:bottom w:val="single" w:sz="8" w:color="EBFBFF"/>
            </w:tcBorders>
            <w:shd w:val="clear" w:color="auto" w:fill="EBFB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20"/>
              <w:spacing w:after="0"/>
              <w:rPr>
                <w:sz w:val="20"/>
                <w:szCs w:val="20"/>
                <w:color w:val="auto"/>
              </w:rPr>
            </w:pPr>
            <w:r>
              <w:rPr>
                <w:rFonts w:ascii="Arial" w:cs="Arial" w:eastAsia="Arial" w:hAnsi="Arial"/>
                <w:sz w:val="16"/>
                <w:szCs w:val="16"/>
                <w:color w:val="51555C"/>
              </w:rPr>
              <w:t>Unrealized gain (loss) on derivatve instruments, net of tax</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5,383</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2,558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51555C"/>
              </w:rPr>
              <w:t>(5,309)</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51555C"/>
              </w:rPr>
              <w:t>13,463</w:t>
            </w:r>
          </w:p>
        </w:tc>
        <w:tc>
          <w:tcPr>
            <w:tcW w:w="20" w:type="dxa"/>
            <w:vAlign w:val="bottom"/>
          </w:tcPr>
          <w:p>
            <w:pPr>
              <w:spacing w:after="0"/>
              <w:rPr>
                <w:sz w:val="17"/>
                <w:szCs w:val="17"/>
                <w:color w:val="auto"/>
              </w:rPr>
            </w:pPr>
          </w:p>
        </w:tc>
      </w:tr>
      <w:tr>
        <w:trPr>
          <w:trHeight w:val="53"/>
        </w:trPr>
        <w:tc>
          <w:tcPr>
            <w:tcW w:w="20" w:type="dxa"/>
            <w:vAlign w:val="bottom"/>
          </w:tcPr>
          <w:p>
            <w:pPr>
              <w:spacing w:after="0"/>
              <w:rPr>
                <w:sz w:val="4"/>
                <w:szCs w:val="4"/>
                <w:color w:val="auto"/>
              </w:rPr>
            </w:pPr>
          </w:p>
        </w:tc>
        <w:tc>
          <w:tcPr>
            <w:tcW w:w="5880" w:type="dxa"/>
            <w:vAlign w:val="bottom"/>
            <w:tcBorders>
              <w:bottom w:val="single" w:sz="8" w:color="EBFBFF"/>
            </w:tcBorders>
          </w:tcPr>
          <w:p>
            <w:pPr>
              <w:spacing w:after="0"/>
              <w:rPr>
                <w:sz w:val="4"/>
                <w:szCs w:val="4"/>
                <w:color w:val="auto"/>
              </w:rPr>
            </w:pPr>
          </w:p>
        </w:tc>
        <w:tc>
          <w:tcPr>
            <w:tcW w:w="3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r>
      <w:tr>
        <w:trPr>
          <w:trHeight w:val="242"/>
        </w:trPr>
        <w:tc>
          <w:tcPr>
            <w:tcW w:w="20" w:type="dxa"/>
            <w:vAlign w:val="bottom"/>
          </w:tcPr>
          <w:p>
            <w:pPr>
              <w:spacing w:after="0"/>
              <w:rPr>
                <w:sz w:val="20"/>
                <w:szCs w:val="20"/>
                <w:color w:val="auto"/>
              </w:rPr>
            </w:pPr>
          </w:p>
        </w:tc>
        <w:tc>
          <w:tcPr>
            <w:tcW w:w="5880" w:type="dxa"/>
            <w:vAlign w:val="bottom"/>
            <w:tcBorders>
              <w:bottom w:val="single" w:sz="8" w:color="EBFBFF"/>
            </w:tcBorders>
            <w:shd w:val="clear" w:color="auto" w:fill="EBFBFF"/>
          </w:tcPr>
          <w:p>
            <w:pPr>
              <w:ind w:left="440"/>
              <w:spacing w:after="0"/>
              <w:rPr>
                <w:sz w:val="20"/>
                <w:szCs w:val="20"/>
                <w:color w:val="auto"/>
              </w:rPr>
            </w:pPr>
            <w:r>
              <w:rPr>
                <w:rFonts w:ascii="Arial" w:cs="Arial" w:eastAsia="Arial" w:hAnsi="Arial"/>
                <w:sz w:val="16"/>
                <w:szCs w:val="16"/>
                <w:b w:val="1"/>
                <w:bCs w:val="1"/>
                <w:color w:val="51555C"/>
              </w:rPr>
              <w:t>Total other comprehensive income (loss)</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8,438</w:t>
            </w:r>
          </w:p>
        </w:tc>
        <w:tc>
          <w:tcPr>
            <w:tcW w:w="32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(7,840)</w:t>
            </w:r>
          </w:p>
        </w:tc>
        <w:tc>
          <w:tcPr>
            <w:tcW w:w="120" w:type="dxa"/>
            <w:vAlign w:val="bottom"/>
            <w:tcBorders>
              <w:bottom w:val="single" w:sz="8" w:color="EBFBFF"/>
              <w:right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(96)</w:t>
            </w:r>
          </w:p>
        </w:tc>
        <w:tc>
          <w:tcPr>
            <w:tcW w:w="160" w:type="dxa"/>
            <w:vAlign w:val="bottom"/>
            <w:tcBorders>
              <w:bottom w:val="single" w:sz="8" w:color="EBFBFF"/>
            </w:tcBorders>
            <w:shd w:val="clear" w:color="auto" w:fill="EBFBFF"/>
          </w:tcPr>
          <w:p>
            <w:pPr>
              <w:spacing w:after="0"/>
              <w:rPr>
                <w:sz w:val="20"/>
                <w:szCs w:val="20"/>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933</w:t>
            </w:r>
          </w:p>
        </w:tc>
        <w:tc>
          <w:tcPr>
            <w:tcW w:w="20" w:type="dxa"/>
            <w:vAlign w:val="bottom"/>
            <w:tcBorders>
              <w:bottom w:val="single" w:sz="8" w:color="EBFBFF"/>
            </w:tcBorders>
            <w:shd w:val="clear" w:color="auto" w:fill="EBFBFF"/>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5880" w:type="dxa"/>
            <w:vAlign w:val="bottom"/>
            <w:tcBorders>
              <w:top w:val="single" w:sz="8" w:color="EBFBFF"/>
            </w:tcBorders>
          </w:tcPr>
          <w:p>
            <w:pPr>
              <w:ind w:left="20"/>
              <w:spacing w:after="0"/>
              <w:rPr>
                <w:sz w:val="20"/>
                <w:szCs w:val="20"/>
                <w:color w:val="auto"/>
              </w:rPr>
            </w:pPr>
            <w:r>
              <w:rPr>
                <w:rFonts w:ascii="Arial" w:cs="Arial" w:eastAsia="Arial" w:hAnsi="Arial"/>
                <w:sz w:val="16"/>
                <w:szCs w:val="16"/>
                <w:b w:val="1"/>
                <w:bCs w:val="1"/>
                <w:color w:val="51555C"/>
              </w:rPr>
              <w:t>Comprehensive income (loss)</w:t>
            </w:r>
          </w:p>
        </w:tc>
        <w:tc>
          <w:tcPr>
            <w:tcW w:w="300" w:type="dxa"/>
            <w:vAlign w:val="bottom"/>
            <w:tcBorders>
              <w:top w:val="single" w:sz="8" w:color="51555C"/>
            </w:tcBorders>
          </w:tcPr>
          <w:p>
            <w:pPr>
              <w:jc w:val="right"/>
              <w:ind w:right="119"/>
              <w:spacing w:after="0"/>
              <w:rPr>
                <w:sz w:val="20"/>
                <w:szCs w:val="20"/>
                <w:color w:val="auto"/>
              </w:rPr>
            </w:pPr>
            <w:r>
              <w:rPr>
                <w:rFonts w:ascii="Arial" w:cs="Arial" w:eastAsia="Arial" w:hAnsi="Arial"/>
                <w:sz w:val="16"/>
                <w:szCs w:val="16"/>
                <w:color w:val="51555C"/>
                <w:w w:val="8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10,543</w:t>
            </w:r>
          </w:p>
        </w:tc>
        <w:tc>
          <w:tcPr>
            <w:tcW w:w="320" w:type="dxa"/>
            <w:vAlign w:val="bottom"/>
            <w:tcBorders>
              <w:top w:val="single" w:sz="8" w:color="51555C"/>
            </w:tcBorders>
          </w:tcPr>
          <w:p>
            <w:pPr>
              <w:jc w:val="right"/>
              <w:ind w:right="120"/>
              <w:spacing w:after="0"/>
              <w:rPr>
                <w:sz w:val="20"/>
                <w:szCs w:val="20"/>
                <w:color w:val="auto"/>
              </w:rPr>
            </w:pPr>
            <w:r>
              <w:rPr>
                <w:rFonts w:ascii="Arial" w:cs="Arial" w:eastAsia="Arial" w:hAnsi="Arial"/>
                <w:sz w:val="16"/>
                <w:szCs w:val="16"/>
                <w:color w:val="51555C"/>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(11,262)</w:t>
            </w:r>
          </w:p>
        </w:tc>
        <w:tc>
          <w:tcPr>
            <w:tcW w:w="120" w:type="dxa"/>
            <w:vAlign w:val="bottom"/>
            <w:tcBorders>
              <w:top w:val="single" w:sz="8" w:color="EBFBFF"/>
            </w:tcBorders>
          </w:tcPr>
          <w:p>
            <w:pPr>
              <w:spacing w:after="0"/>
              <w:rPr>
                <w:sz w:val="17"/>
                <w:szCs w:val="17"/>
                <w:color w:val="auto"/>
              </w:rPr>
            </w:pPr>
          </w:p>
        </w:tc>
        <w:tc>
          <w:tcPr>
            <w:tcW w:w="360" w:type="dxa"/>
            <w:vAlign w:val="bottom"/>
            <w:tcBorders>
              <w:top w:val="single" w:sz="8" w:color="51555C"/>
            </w:tcBorders>
          </w:tcPr>
          <w:p>
            <w:pPr>
              <w:jc w:val="right"/>
              <w:ind w:right="204"/>
              <w:spacing w:after="0"/>
              <w:rPr>
                <w:sz w:val="20"/>
                <w:szCs w:val="20"/>
                <w:color w:val="auto"/>
              </w:rPr>
            </w:pPr>
            <w:r>
              <w:rPr>
                <w:rFonts w:ascii="Arial" w:cs="Arial" w:eastAsia="Arial" w:hAnsi="Arial"/>
                <w:sz w:val="15"/>
                <w:szCs w:val="15"/>
                <w:color w:val="51555C"/>
                <w:w w:val="71"/>
              </w:rPr>
              <w:t>$</w:t>
            </w:r>
          </w:p>
        </w:tc>
        <w:tc>
          <w:tcPr>
            <w:tcW w:w="92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(12,692)</w:t>
            </w:r>
          </w:p>
        </w:tc>
        <w:tc>
          <w:tcPr>
            <w:tcW w:w="16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w w:val="8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6"/>
                <w:szCs w:val="16"/>
                <w:color w:val="51555C"/>
              </w:rPr>
              <w:t>(12,896)</w:t>
            </w:r>
          </w:p>
        </w:tc>
        <w:tc>
          <w:tcPr>
            <w:tcW w:w="20" w:type="dxa"/>
            <w:vAlign w:val="bottom"/>
            <w:tcBorders>
              <w:top w:val="single" w:sz="8" w:color="51555C"/>
            </w:tcBorders>
          </w:tcPr>
          <w:p>
            <w:pPr>
              <w:spacing w:after="0"/>
              <w:rPr>
                <w:sz w:val="17"/>
                <w:szCs w:val="17"/>
                <w:color w:val="auto"/>
              </w:rPr>
            </w:pPr>
          </w:p>
        </w:tc>
      </w:tr>
      <w:tr>
        <w:trPr>
          <w:trHeight w:val="37"/>
        </w:trPr>
        <w:tc>
          <w:tcPr>
            <w:tcW w:w="20" w:type="dxa"/>
            <w:vAlign w:val="bottom"/>
          </w:tcPr>
          <w:p>
            <w:pPr>
              <w:spacing w:after="0"/>
              <w:rPr>
                <w:sz w:val="3"/>
                <w:szCs w:val="3"/>
                <w:color w:val="auto"/>
              </w:rPr>
            </w:pPr>
          </w:p>
        </w:tc>
        <w:tc>
          <w:tcPr>
            <w:tcW w:w="8980" w:type="dxa"/>
            <w:vAlign w:val="bottom"/>
            <w:tcBorders>
              <w:bottom w:val="single" w:sz="8" w:color="0CD973"/>
            </w:tcBorders>
            <w:gridSpan w:val="7"/>
          </w:tcPr>
          <w:p>
            <w:pPr>
              <w:spacing w:after="0"/>
              <w:rPr>
                <w:sz w:val="3"/>
                <w:szCs w:val="3"/>
                <w:color w:val="auto"/>
              </w:rPr>
            </w:pPr>
          </w:p>
        </w:tc>
        <w:tc>
          <w:tcPr>
            <w:tcW w:w="92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1140" w:type="dxa"/>
            <w:vAlign w:val="bottom"/>
            <w:tcBorders>
              <w:bottom w:val="single" w:sz="8" w:color="0CD973"/>
            </w:tcBorders>
          </w:tcPr>
          <w:p>
            <w:pPr>
              <w:spacing w:after="0"/>
              <w:rPr>
                <w:sz w:val="3"/>
                <w:szCs w:val="3"/>
                <w:color w:val="auto"/>
              </w:rPr>
            </w:pPr>
          </w:p>
        </w:tc>
        <w:tc>
          <w:tcPr>
            <w:tcW w:w="20" w:type="dxa"/>
            <w:vAlign w:val="bottom"/>
            <w:tcBorders>
              <w:bottom w:val="single" w:sz="8" w:color="0CD973"/>
            </w:tcBorders>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8980" w:type="dxa"/>
            <w:vAlign w:val="bottom"/>
            <w:gridSpan w:val="7"/>
          </w:tcPr>
          <w:p>
            <w:pPr>
              <w:ind w:left="2340"/>
              <w:spacing w:after="0"/>
              <w:rPr>
                <w:sz w:val="20"/>
                <w:szCs w:val="20"/>
                <w:color w:val="auto"/>
              </w:rPr>
            </w:pPr>
            <w:r>
              <w:rPr>
                <w:rFonts w:ascii="Arial" w:cs="Arial" w:eastAsia="Arial" w:hAnsi="Arial"/>
                <w:sz w:val="16"/>
                <w:szCs w:val="16"/>
                <w:color w:val="51555C"/>
                <w:w w:val="94"/>
              </w:rPr>
              <w:t>The accompanying notes are an integral part of these condensed consolidated fnancial statements.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rFonts w:ascii="Arial" w:cs="Arial" w:eastAsia="Arial" w:hAnsi="Arial"/>
          <w:sz w:val="12"/>
          <w:szCs w:val="12"/>
          <w:color w:val="51555C"/>
        </w:rPr>
      </w:pPr>
      <w:r>
        <w:rPr>
          <w:rFonts w:ascii="Arial" w:cs="Arial" w:eastAsia="Arial" w:hAnsi="Arial"/>
          <w:sz w:val="12"/>
          <w:szCs w:val="12"/>
          <w:color w:val="51555C"/>
        </w:rPr>
        <w:drawing>
          <wp:anchor simplePos="0" relativeHeight="251657728" behindDoc="1" locked="0" layoutInCell="0" allowOverlap="1">
            <wp:simplePos x="0" y="0"/>
            <wp:positionH relativeFrom="column">
              <wp:posOffset>3759835</wp:posOffset>
            </wp:positionH>
            <wp:positionV relativeFrom="paragraph">
              <wp:posOffset>-5459730</wp:posOffset>
            </wp:positionV>
            <wp:extent cx="3368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867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317500</wp:posOffset>
            </wp:positionV>
            <wp:extent cx="67691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rFonts w:ascii="Arial" w:cs="Arial" w:eastAsia="Arial" w:hAnsi="Arial"/>
          <w:sz w:val="12"/>
          <w:szCs w:val="12"/>
          <w:color w:val="51555C"/>
        </w:rPr>
      </w:pPr>
    </w:p>
    <w:p>
      <w:pPr>
        <w:spacing w:after="0" w:line="310" w:lineRule="exact"/>
        <w:rPr>
          <w:rFonts w:ascii="Arial" w:cs="Arial" w:eastAsia="Arial" w:hAnsi="Arial"/>
          <w:sz w:val="12"/>
          <w:szCs w:val="12"/>
          <w:color w:val="51555C"/>
        </w:rPr>
      </w:pPr>
    </w:p>
    <w:p>
      <w:pPr>
        <w:ind w:left="1680"/>
        <w:spacing w:after="0"/>
        <w:rPr>
          <w:sz w:val="20"/>
          <w:szCs w:val="20"/>
          <w:color w:val="auto"/>
        </w:rPr>
      </w:pPr>
      <w:r>
        <w:rPr>
          <w:rFonts w:ascii="Arial" w:cs="Arial" w:eastAsia="Arial" w:hAnsi="Arial"/>
          <w:sz w:val="14"/>
          <w:szCs w:val="14"/>
          <w:color w:val="51555C"/>
        </w:rPr>
        <w:t>Second Quarter 2023 Form 10-Q</w:t>
      </w:r>
    </w:p>
    <w:p>
      <w:pPr>
        <w:spacing w:after="0" w:line="20" w:lineRule="exact"/>
        <w:rPr>
          <w:rFonts w:ascii="Arial" w:cs="Arial" w:eastAsia="Arial" w:hAnsi="Arial"/>
          <w:sz w:val="12"/>
          <w:szCs w:val="12"/>
          <w:color w:val="51555C"/>
        </w:rPr>
      </w:pPr>
      <w:r>
        <w:rPr>
          <w:rFonts w:ascii="Arial" w:cs="Arial" w:eastAsia="Arial" w:hAnsi="Arial"/>
          <w:sz w:val="12"/>
          <w:szCs w:val="12"/>
          <w:color w:val="51555C"/>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15175"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582930"/>
                    </a:xfrm>
                    <a:prstGeom prst="rect">
                      <a:avLst/>
                    </a:prstGeom>
                    <a:noFill/>
                  </pic:spPr>
                </pic:pic>
              </a:graphicData>
            </a:graphic>
          </wp:anchor>
        </w:drawing>
      </w:r>
    </w:p>
    <w:p>
      <w:pPr>
        <w:spacing w:after="0" w:line="38"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rPr>
        <w:t>Six months ended</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FFFFFF"/>
        </w:rPr>
        <w:t>June 30,</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780" w:type="dxa"/>
            <w:vAlign w:val="bottom"/>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6"/>
        </w:trPr>
        <w:tc>
          <w:tcPr>
            <w:tcW w:w="8780" w:type="dxa"/>
            <w:vAlign w:val="bottom"/>
            <w:tcBorders>
              <w:bottom w:val="single" w:sz="8" w:color="004054"/>
            </w:tcBorders>
          </w:tcPr>
          <w:p>
            <w:pPr>
              <w:spacing w:after="0"/>
              <w:rPr>
                <w:sz w:val="2"/>
                <w:szCs w:val="2"/>
                <w:color w:val="auto"/>
              </w:rPr>
            </w:pPr>
          </w:p>
        </w:tc>
        <w:tc>
          <w:tcPr>
            <w:tcW w:w="1220" w:type="dxa"/>
            <w:vAlign w:val="bottom"/>
            <w:tcBorders>
              <w:bottom w:val="single" w:sz="8" w:color="004054"/>
            </w:tcBorders>
            <w:shd w:val="clear" w:color="auto" w:fill="004054"/>
          </w:tcPr>
          <w:p>
            <w:pPr>
              <w:spacing w:after="0"/>
              <w:rPr>
                <w:sz w:val="2"/>
                <w:szCs w:val="2"/>
                <w:color w:val="auto"/>
              </w:rPr>
            </w:pPr>
          </w:p>
        </w:tc>
        <w:tc>
          <w:tcPr>
            <w:tcW w:w="1200" w:type="dxa"/>
            <w:vAlign w:val="bottom"/>
            <w:tcBorders>
              <w:bottom w:val="single" w:sz="8" w:color="004054"/>
            </w:tcBorders>
            <w:shd w:val="clear" w:color="auto" w:fill="004054"/>
          </w:tcPr>
          <w:p>
            <w:pPr>
              <w:spacing w:after="0"/>
              <w:rPr>
                <w:sz w:val="2"/>
                <w:szCs w:val="2"/>
                <w:color w:val="auto"/>
              </w:rPr>
            </w:pPr>
          </w:p>
        </w:tc>
      </w:tr>
    </w:tbl>
    <w:p>
      <w:pPr>
        <w:ind w:left="40"/>
        <w:spacing w:after="0"/>
        <w:rPr>
          <w:sz w:val="20"/>
          <w:szCs w:val="20"/>
          <w:color w:val="auto"/>
        </w:rPr>
      </w:pPr>
      <w:r>
        <w:rPr>
          <w:rFonts w:ascii="Arial" w:cs="Arial" w:eastAsia="Arial" w:hAnsi="Arial"/>
          <w:sz w:val="16"/>
          <w:szCs w:val="16"/>
          <w:b w:val="1"/>
          <w:bCs w:val="1"/>
          <w:color w:val="51555C"/>
        </w:rPr>
        <w:t>Cash fows from operatng actvites</w:t>
      </w:r>
    </w:p>
    <w:p>
      <w:pPr>
        <w:sectPr>
          <w:pgSz w:w="11900" w:h="16838" w:orient="portrait"/>
          <w:cols w:equalWidth="0" w:num="1">
            <w:col w:w="11240"/>
          </w:cols>
          <w:pgMar w:left="320" w:top="1440" w:right="339" w:bottom="1440" w:gutter="0" w:footer="0" w:header="0"/>
        </w:sectPr>
      </w:pPr>
    </w:p>
    <w:p>
      <w:pPr>
        <w:spacing w:after="0" w:line="71"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Net loss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Adjustments to reconcile net loss to net cash provided by operatng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Arial" w:cs="Arial" w:eastAsia="Arial" w:hAnsi="Arial"/>
          <w:sz w:val="16"/>
          <w:szCs w:val="16"/>
          <w:color w:val="51555C"/>
        </w:rPr>
        <w:t>Depreciaton and amortzaton</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6"/>
          <w:szCs w:val="16"/>
          <w:color w:val="51555C"/>
        </w:rPr>
        <w:t>Provision for credit losses and sales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6"/>
          <w:szCs w:val="16"/>
          <w:color w:val="51555C"/>
        </w:rPr>
        <w:t>Stock-based compensaton expense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51555C"/>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6"/>
          <w:szCs w:val="16"/>
          <w:color w:val="51555C"/>
        </w:rPr>
        <w:t>Amortzaton of deferred fnancing costs and discount</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51555C"/>
        </w:rPr>
        <w:t>Other non-cash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4"/>
          <w:szCs w:val="14"/>
          <w:color w:val="51555C"/>
        </w:rPr>
        <w:t>Changes in operatng assets and liabilites, net of acquisiton and disposal of businesses: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Prepaid expenses and other assets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Accrued expenses and other liabilites</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51555C"/>
        </w:rPr>
        <w:t>Net cash provided by operatng actvites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1555C"/>
        </w:rPr>
        <w:t>Cash fows from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Purchase of property and equipment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Capitalized sofware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5"/>
          <w:szCs w:val="15"/>
          <w:color w:val="51555C"/>
        </w:rPr>
        <w:t>Purchase of net assets of acquired companies, net of cash and restricted cash acquired</w:t>
      </w:r>
    </w:p>
    <w:p>
      <w:pPr>
        <w:spacing w:after="0" w:line="7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51555C"/>
        </w:rPr>
        <w:t>Net cash used in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1555C"/>
        </w:rPr>
        <w:t>Cash fows from fnancing actvites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Payments on debt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Stock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140" w:right="3260"/>
        <w:spacing w:after="0" w:line="316" w:lineRule="auto"/>
        <w:rPr>
          <w:sz w:val="20"/>
          <w:szCs w:val="20"/>
          <w:color w:val="auto"/>
        </w:rPr>
      </w:pPr>
      <w:r>
        <w:rPr>
          <w:rFonts w:ascii="Arial" w:cs="Arial" w:eastAsia="Arial" w:hAnsi="Arial"/>
          <w:sz w:val="16"/>
          <w:szCs w:val="16"/>
          <w:color w:val="51555C"/>
        </w:rPr>
        <w:t>Employee taxes paid for withheld shares upon equity award setlement 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711517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51555C"/>
        </w:rPr>
        <w:t>Change in customer funds receivable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51555C"/>
        </w:rPr>
        <w:t>Net cash provided by (used in)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Efect of exchange rate on cash, cash equivalents and restricted cash</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1555C"/>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1555C"/>
        </w:rPr>
        <w:t>Cash, cash equivalents and restricted cash, beginning of period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51555C"/>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jc w:val="right"/>
              <w:ind w:right="15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(12,596)</w:t>
            </w:r>
          </w:p>
        </w:tc>
        <w:tc>
          <w:tcPr>
            <w:tcW w:w="340" w:type="dxa"/>
            <w:vAlign w:val="bottom"/>
          </w:tcPr>
          <w:p>
            <w:pPr>
              <w:jc w:val="right"/>
              <w:ind w:right="139"/>
              <w:spacing w:after="0"/>
              <w:rPr>
                <w:sz w:val="20"/>
                <w:szCs w:val="20"/>
                <w:color w:val="auto"/>
              </w:rPr>
            </w:pPr>
            <w:r>
              <w:rPr>
                <w:rFonts w:ascii="Arial" w:cs="Arial" w:eastAsia="Arial" w:hAnsi="Arial"/>
                <w:sz w:val="16"/>
                <w:szCs w:val="16"/>
                <w:color w:val="51555C"/>
              </w:rPr>
              <w:t>$</w:t>
            </w:r>
          </w:p>
        </w:tc>
        <w:tc>
          <w:tcPr>
            <w:tcW w:w="880" w:type="dxa"/>
            <w:vAlign w:val="bottom"/>
          </w:tcPr>
          <w:p>
            <w:pPr>
              <w:jc w:val="right"/>
              <w:spacing w:after="0"/>
              <w:rPr>
                <w:sz w:val="20"/>
                <w:szCs w:val="20"/>
                <w:color w:val="auto"/>
              </w:rPr>
            </w:pPr>
            <w:r>
              <w:rPr>
                <w:rFonts w:ascii="Arial" w:cs="Arial" w:eastAsia="Arial" w:hAnsi="Arial"/>
                <w:sz w:val="16"/>
                <w:szCs w:val="16"/>
                <w:color w:val="51555C"/>
              </w:rPr>
              <w:t>(13,829)</w:t>
            </w:r>
          </w:p>
        </w:tc>
      </w:tr>
      <w:tr>
        <w:trPr>
          <w:trHeight w:val="500"/>
        </w:trPr>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53,622</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51,283</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3,798</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3,653</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63,289</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55,714</w:t>
            </w:r>
          </w:p>
        </w:tc>
      </w:tr>
      <w:tr>
        <w:trPr>
          <w:trHeight w:val="257"/>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(33,101)</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(16,656)</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963</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1,254</w:t>
            </w:r>
          </w:p>
        </w:tc>
      </w:tr>
      <w:tr>
        <w:trPr>
          <w:trHeight w:val="257"/>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(1,569)</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4,225</w:t>
            </w:r>
          </w:p>
        </w:tc>
      </w:tr>
      <w:tr>
        <w:trPr>
          <w:trHeight w:val="486"/>
        </w:trPr>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(69,624)</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(50,818)</w:t>
            </w:r>
          </w:p>
        </w:tc>
      </w:tr>
      <w:tr>
        <w:trPr>
          <w:trHeight w:val="257"/>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9,470</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3,685</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(3,431)</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12,769</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11,948</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(8,739)</w:t>
            </w:r>
          </w:p>
        </w:tc>
      </w:tr>
      <w:tr>
        <w:trPr>
          <w:trHeight w:val="257"/>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52,233</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39,238</w:t>
            </w:r>
          </w:p>
        </w:tc>
      </w:tr>
      <w:tr>
        <w:trPr>
          <w:trHeight w:val="41"/>
        </w:trPr>
        <w:tc>
          <w:tcPr>
            <w:tcW w:w="3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7"/>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75,002</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81,779</w:t>
            </w:r>
          </w:p>
        </w:tc>
      </w:tr>
      <w:tr>
        <w:trPr>
          <w:trHeight w:val="498"/>
        </w:trPr>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(2,779)</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(7,518)</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(28,756)</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(27,183)</w:t>
            </w:r>
          </w:p>
        </w:tc>
      </w:tr>
      <w:tr>
        <w:trPr>
          <w:trHeight w:val="256"/>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(19,016)</w:t>
            </w:r>
          </w:p>
        </w:tc>
      </w:tr>
      <w:tr>
        <w:trPr>
          <w:trHeight w:val="41"/>
        </w:trPr>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97"/>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(31,535)</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(53,717)</w:t>
            </w:r>
          </w:p>
        </w:tc>
      </w:tr>
      <w:tr>
        <w:trPr>
          <w:trHeight w:val="484"/>
        </w:trPr>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158,000</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113,200</w:t>
            </w:r>
          </w:p>
        </w:tc>
      </w:tr>
      <w:tr>
        <w:trPr>
          <w:trHeight w:val="257"/>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(171,824)</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(129,548)</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(557)</w:t>
            </w:r>
          </w:p>
        </w:tc>
      </w:tr>
      <w:tr>
        <w:trPr>
          <w:trHeight w:val="256"/>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(33,687)</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(35,600)</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61,313</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(141,001)</w:t>
            </w:r>
          </w:p>
        </w:tc>
      </w:tr>
      <w:tr>
        <w:trPr>
          <w:trHeight w:val="243"/>
        </w:trPr>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(3,359)</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(546)</w:t>
            </w:r>
          </w:p>
        </w:tc>
      </w:tr>
      <w:tr>
        <w:trPr>
          <w:trHeight w:val="41"/>
        </w:trPr>
        <w:tc>
          <w:tcPr>
            <w:tcW w:w="3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7"/>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10,443</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(194,052)</w:t>
            </w:r>
          </w:p>
        </w:tc>
      </w:tr>
      <w:tr>
        <w:trPr>
          <w:trHeight w:val="255"/>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2,489</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(7,252)</w:t>
            </w:r>
          </w:p>
        </w:tc>
      </w:tr>
      <w:tr>
        <w:trPr>
          <w:trHeight w:val="41"/>
        </w:trPr>
        <w:tc>
          <w:tcPr>
            <w:tcW w:w="3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7"/>
        </w:trPr>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56,399</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(173,242)</w:t>
            </w:r>
          </w:p>
        </w:tc>
      </w:tr>
      <w:tr>
        <w:trPr>
          <w:trHeight w:val="255"/>
        </w:trPr>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733,931</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651,762</w:t>
            </w:r>
          </w:p>
        </w:tc>
      </w:tr>
      <w:tr>
        <w:trPr>
          <w:trHeight w:val="41"/>
        </w:trPr>
        <w:tc>
          <w:tcPr>
            <w:tcW w:w="34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r>
      <w:tr>
        <w:trPr>
          <w:trHeight w:val="197"/>
        </w:trPr>
        <w:tc>
          <w:tcPr>
            <w:tcW w:w="340" w:type="dxa"/>
            <w:vAlign w:val="bottom"/>
          </w:tcPr>
          <w:p>
            <w:pPr>
              <w:jc w:val="right"/>
              <w:ind w:right="15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790,330</w:t>
            </w:r>
          </w:p>
        </w:tc>
        <w:tc>
          <w:tcPr>
            <w:tcW w:w="340" w:type="dxa"/>
            <w:vAlign w:val="bottom"/>
          </w:tcPr>
          <w:p>
            <w:pPr>
              <w:jc w:val="right"/>
              <w:ind w:right="139"/>
              <w:spacing w:after="0"/>
              <w:rPr>
                <w:sz w:val="20"/>
                <w:szCs w:val="20"/>
                <w:color w:val="auto"/>
              </w:rPr>
            </w:pPr>
            <w:r>
              <w:rPr>
                <w:rFonts w:ascii="Arial" w:cs="Arial" w:eastAsia="Arial" w:hAnsi="Arial"/>
                <w:sz w:val="16"/>
                <w:szCs w:val="16"/>
                <w:color w:val="51555C"/>
              </w:rPr>
              <w:t>$</w:t>
            </w:r>
          </w:p>
        </w:tc>
        <w:tc>
          <w:tcPr>
            <w:tcW w:w="880" w:type="dxa"/>
            <w:vAlign w:val="bottom"/>
          </w:tcPr>
          <w:p>
            <w:pPr>
              <w:jc w:val="right"/>
              <w:spacing w:after="0"/>
              <w:rPr>
                <w:sz w:val="20"/>
                <w:szCs w:val="20"/>
                <w:color w:val="auto"/>
              </w:rPr>
            </w:pPr>
            <w:r>
              <w:rPr>
                <w:rFonts w:ascii="Arial" w:cs="Arial" w:eastAsia="Arial" w:hAnsi="Arial"/>
                <w:sz w:val="16"/>
                <w:szCs w:val="16"/>
                <w:color w:val="51555C"/>
              </w:rPr>
              <w:t>478,520</w:t>
            </w:r>
          </w:p>
        </w:tc>
      </w:tr>
    </w:tbl>
    <w:p>
      <w:pPr>
        <w:spacing w:after="0" w:line="200" w:lineRule="exact"/>
        <w:rPr>
          <w:sz w:val="20"/>
          <w:szCs w:val="20"/>
          <w:color w:val="auto"/>
        </w:rPr>
      </w:pPr>
    </w:p>
    <w:p>
      <w:pPr>
        <w:sectPr>
          <w:pgSz w:w="11900" w:h="16838" w:orient="portrait"/>
          <w:cols w:equalWidth="0" w:num="2">
            <w:col w:w="8080" w:space="720"/>
            <w:col w:w="2440"/>
          </w:cols>
          <w:pgMar w:left="320" w:top="1440" w:right="339" w:bottom="1440" w:gutter="0" w:footer="0" w:header="0"/>
          <w:type w:val="continuous"/>
        </w:sectPr>
      </w:pP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6"/>
          <w:szCs w:val="16"/>
          <w:color w:val="51555C"/>
        </w:rPr>
        <w:t>The following table provides a reconciliaton of cash and cash equivalents and restricted cash reported within the condensed consolidated balance sheets that sum to the total of the same such amounts shown above in the condensed consolidated statements of cash fows: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79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460" w:type="dxa"/>
            <w:vAlign w:val="bottom"/>
            <w:shd w:val="clear" w:color="auto" w:fill="004054"/>
          </w:tcPr>
          <w:p>
            <w:pPr>
              <w:spacing w:after="0"/>
              <w:rPr>
                <w:sz w:val="15"/>
                <w:szCs w:val="15"/>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20"/>
        </w:trPr>
        <w:tc>
          <w:tcPr>
            <w:tcW w:w="20" w:type="dxa"/>
            <w:vAlign w:val="bottom"/>
            <w:tcBorders>
              <w:bottom w:val="single" w:sz="8" w:color="004054"/>
            </w:tcBorders>
            <w:shd w:val="clear" w:color="auto" w:fill="004054"/>
          </w:tcPr>
          <w:p>
            <w:pPr>
              <w:spacing w:after="0"/>
              <w:rPr>
                <w:sz w:val="19"/>
                <w:szCs w:val="19"/>
                <w:color w:val="auto"/>
              </w:rPr>
            </w:pPr>
          </w:p>
        </w:tc>
        <w:tc>
          <w:tcPr>
            <w:tcW w:w="790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tcBorders>
              <w:bottom w:val="single" w:sz="8" w:color="004054"/>
            </w:tcBorders>
            <w:shd w:val="clear" w:color="auto" w:fill="004054"/>
          </w:tcPr>
          <w:p>
            <w:pPr>
              <w:spacing w:after="0"/>
              <w:rPr>
                <w:sz w:val="19"/>
                <w:szCs w:val="19"/>
                <w:color w:val="auto"/>
              </w:rPr>
            </w:pPr>
          </w:p>
        </w:tc>
        <w:tc>
          <w:tcPr>
            <w:tcW w:w="560" w:type="dxa"/>
            <w:vAlign w:val="bottom"/>
            <w:tcBorders>
              <w:bottom w:val="single" w:sz="8" w:color="004054"/>
            </w:tcBorders>
            <w:shd w:val="clear" w:color="auto" w:fill="004054"/>
          </w:tcPr>
          <w:p>
            <w:pPr>
              <w:spacing w:after="0"/>
              <w:rPr>
                <w:sz w:val="19"/>
                <w:szCs w:val="19"/>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60" w:type="dxa"/>
            <w:vAlign w:val="bottom"/>
            <w:tcBorders>
              <w:bottom w:val="single" w:sz="8" w:color="004054"/>
            </w:tcBorders>
            <w:shd w:val="clear" w:color="auto" w:fill="004054"/>
          </w:tcPr>
          <w:p>
            <w:pPr>
              <w:spacing w:after="0"/>
              <w:rPr>
                <w:sz w:val="19"/>
                <w:szCs w:val="19"/>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36"/>
        </w:trPr>
        <w:tc>
          <w:tcPr>
            <w:tcW w:w="20" w:type="dxa"/>
            <w:vAlign w:val="bottom"/>
          </w:tcPr>
          <w:p>
            <w:pPr>
              <w:spacing w:after="0"/>
              <w:rPr>
                <w:sz w:val="20"/>
                <w:szCs w:val="20"/>
                <w:color w:val="auto"/>
              </w:rPr>
            </w:pPr>
          </w:p>
        </w:tc>
        <w:tc>
          <w:tcPr>
            <w:tcW w:w="7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color w:val="51555C"/>
              </w:rPr>
              <w:t>Cash and cash equivalents</w:t>
            </w:r>
          </w:p>
        </w:tc>
        <w:tc>
          <w:tcPr>
            <w:tcW w:w="580" w:type="dxa"/>
            <w:vAlign w:val="bottom"/>
            <w:tcBorders>
              <w:bottom w:val="single" w:sz="8" w:color="EBFBFF"/>
            </w:tcBorders>
            <w:gridSpan w:val="2"/>
            <w:shd w:val="clear" w:color="auto" w:fill="EBFBFF"/>
          </w:tcPr>
          <w:p>
            <w:pPr>
              <w:jc w:val="right"/>
              <w:ind w:right="460"/>
              <w:spacing w:after="0"/>
              <w:rPr>
                <w:sz w:val="20"/>
                <w:szCs w:val="20"/>
                <w:color w:val="auto"/>
              </w:rPr>
            </w:pPr>
            <w:r>
              <w:rPr>
                <w:rFonts w:ascii="Arial" w:cs="Arial" w:eastAsia="Arial" w:hAnsi="Arial"/>
                <w:sz w:val="16"/>
                <w:szCs w:val="16"/>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29,041</w:t>
            </w:r>
          </w:p>
        </w:tc>
        <w:tc>
          <w:tcPr>
            <w:tcW w:w="460" w:type="dxa"/>
            <w:vAlign w:val="bottom"/>
            <w:tcBorders>
              <w:bottom w:val="single" w:sz="8" w:color="EBFBFF"/>
            </w:tcBorders>
            <w:shd w:val="clear" w:color="auto" w:fill="EBFBFF"/>
          </w:tcPr>
          <w:p>
            <w:pPr>
              <w:jc w:val="right"/>
              <w:ind w:right="279"/>
              <w:spacing w:after="0"/>
              <w:rPr>
                <w:sz w:val="20"/>
                <w:szCs w:val="20"/>
                <w:color w:val="auto"/>
              </w:rPr>
            </w:pPr>
            <w:r>
              <w:rPr>
                <w:rFonts w:ascii="Arial" w:cs="Arial" w:eastAsia="Arial" w:hAnsi="Arial"/>
                <w:sz w:val="16"/>
                <w:szCs w:val="16"/>
                <w:color w:val="51555C"/>
                <w:w w:val="89"/>
              </w:rPr>
              <w:t>$</w:t>
            </w:r>
          </w:p>
        </w:tc>
        <w:tc>
          <w:tcPr>
            <w:tcW w:w="1200" w:type="dxa"/>
            <w:vAlign w:val="bottom"/>
            <w:tcBorders>
              <w:bottom w:val="single" w:sz="8" w:color="EBFBFF"/>
            </w:tcBorders>
            <w:shd w:val="clear" w:color="auto" w:fill="EBFBFF"/>
          </w:tcPr>
          <w:p>
            <w:pPr>
              <w:jc w:val="right"/>
              <w:ind w:right="3"/>
              <w:spacing w:after="0"/>
              <w:rPr>
                <w:sz w:val="20"/>
                <w:szCs w:val="20"/>
                <w:color w:val="auto"/>
              </w:rPr>
            </w:pPr>
            <w:r>
              <w:rPr>
                <w:rFonts w:ascii="Arial" w:cs="Arial" w:eastAsia="Arial" w:hAnsi="Arial"/>
                <w:sz w:val="16"/>
                <w:szCs w:val="16"/>
                <w:color w:val="51555C"/>
              </w:rPr>
              <w:t>31,691</w:t>
            </w:r>
          </w:p>
        </w:tc>
      </w:tr>
      <w:tr>
        <w:trPr>
          <w:trHeight w:val="204"/>
        </w:trPr>
        <w:tc>
          <w:tcPr>
            <w:tcW w:w="20" w:type="dxa"/>
            <w:vAlign w:val="bottom"/>
          </w:tcPr>
          <w:p>
            <w:pPr>
              <w:spacing w:after="0"/>
              <w:rPr>
                <w:sz w:val="17"/>
                <w:szCs w:val="17"/>
                <w:color w:val="auto"/>
              </w:rPr>
            </w:pPr>
          </w:p>
        </w:tc>
        <w:tc>
          <w:tcPr>
            <w:tcW w:w="7900" w:type="dxa"/>
            <w:vAlign w:val="bottom"/>
          </w:tcPr>
          <w:p>
            <w:pPr>
              <w:ind w:left="20"/>
              <w:spacing w:after="0"/>
              <w:rPr>
                <w:sz w:val="20"/>
                <w:szCs w:val="20"/>
                <w:color w:val="auto"/>
              </w:rPr>
            </w:pPr>
            <w:r>
              <w:rPr>
                <w:rFonts w:ascii="Arial" w:cs="Arial" w:eastAsia="Arial" w:hAnsi="Arial"/>
                <w:sz w:val="16"/>
                <w:szCs w:val="16"/>
                <w:color w:val="51555C"/>
              </w:rPr>
              <w:t>Restricted cash</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51555C"/>
              </w:rPr>
              <w:t>761,289</w:t>
            </w:r>
          </w:p>
        </w:tc>
        <w:tc>
          <w:tcPr>
            <w:tcW w:w="4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51555C"/>
              </w:rPr>
              <w:t>702,240</w:t>
            </w:r>
          </w:p>
        </w:tc>
      </w:tr>
      <w:tr>
        <w:trPr>
          <w:trHeight w:val="39"/>
        </w:trPr>
        <w:tc>
          <w:tcPr>
            <w:tcW w:w="20" w:type="dxa"/>
            <w:vAlign w:val="bottom"/>
          </w:tcPr>
          <w:p>
            <w:pPr>
              <w:spacing w:after="0"/>
              <w:rPr>
                <w:sz w:val="3"/>
                <w:szCs w:val="3"/>
                <w:color w:val="auto"/>
              </w:rPr>
            </w:pPr>
          </w:p>
        </w:tc>
        <w:tc>
          <w:tcPr>
            <w:tcW w:w="79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Borders>
              <w:bottom w:val="single" w:sz="8" w:color="51555C"/>
            </w:tcBorders>
          </w:tcPr>
          <w:p>
            <w:pPr>
              <w:spacing w:after="0"/>
              <w:rPr>
                <w:sz w:val="3"/>
                <w:szCs w:val="3"/>
                <w:color w:val="auto"/>
              </w:rPr>
            </w:pPr>
          </w:p>
        </w:tc>
        <w:tc>
          <w:tcPr>
            <w:tcW w:w="1080" w:type="dxa"/>
            <w:vAlign w:val="bottom"/>
            <w:tcBorders>
              <w:bottom w:val="single" w:sz="8" w:color="51555C"/>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79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Total cash, cash equivalents and restricted cash in the statement of cash fows</w:t>
            </w:r>
          </w:p>
        </w:tc>
        <w:tc>
          <w:tcPr>
            <w:tcW w:w="580" w:type="dxa"/>
            <w:vAlign w:val="bottom"/>
            <w:tcBorders>
              <w:bottom w:val="single" w:sz="8" w:color="EBFBFF"/>
            </w:tcBorders>
            <w:gridSpan w:val="2"/>
            <w:shd w:val="clear" w:color="auto" w:fill="EBFBFF"/>
          </w:tcPr>
          <w:p>
            <w:pPr>
              <w:jc w:val="right"/>
              <w:ind w:right="460"/>
              <w:spacing w:after="0"/>
              <w:rPr>
                <w:sz w:val="20"/>
                <w:szCs w:val="20"/>
                <w:color w:val="auto"/>
              </w:rPr>
            </w:pPr>
            <w:r>
              <w:rPr>
                <w:rFonts w:ascii="Arial" w:cs="Arial" w:eastAsia="Arial" w:hAnsi="Arial"/>
                <w:sz w:val="16"/>
                <w:szCs w:val="16"/>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790,330</w:t>
            </w:r>
          </w:p>
        </w:tc>
        <w:tc>
          <w:tcPr>
            <w:tcW w:w="460" w:type="dxa"/>
            <w:vAlign w:val="bottom"/>
            <w:tcBorders>
              <w:bottom w:val="single" w:sz="8" w:color="EBFBFF"/>
            </w:tcBorders>
            <w:shd w:val="clear" w:color="auto" w:fill="EBFBFF"/>
          </w:tcPr>
          <w:p>
            <w:pPr>
              <w:jc w:val="right"/>
              <w:ind w:right="279"/>
              <w:spacing w:after="0"/>
              <w:rPr>
                <w:sz w:val="20"/>
                <w:szCs w:val="20"/>
                <w:color w:val="auto"/>
              </w:rPr>
            </w:pPr>
            <w:r>
              <w:rPr>
                <w:rFonts w:ascii="Arial" w:cs="Arial" w:eastAsia="Arial" w:hAnsi="Arial"/>
                <w:sz w:val="16"/>
                <w:szCs w:val="16"/>
                <w:color w:val="51555C"/>
                <w:w w:val="89"/>
              </w:rPr>
              <w:t>$</w:t>
            </w:r>
          </w:p>
        </w:tc>
        <w:tc>
          <w:tcPr>
            <w:tcW w:w="1200" w:type="dxa"/>
            <w:vAlign w:val="bottom"/>
            <w:tcBorders>
              <w:bottom w:val="single" w:sz="8" w:color="EBFBFF"/>
            </w:tcBorders>
            <w:shd w:val="clear" w:color="auto" w:fill="EBFBFF"/>
          </w:tcPr>
          <w:p>
            <w:pPr>
              <w:jc w:val="right"/>
              <w:ind w:right="3"/>
              <w:spacing w:after="0"/>
              <w:rPr>
                <w:sz w:val="20"/>
                <w:szCs w:val="20"/>
                <w:color w:val="auto"/>
              </w:rPr>
            </w:pPr>
            <w:r>
              <w:rPr>
                <w:rFonts w:ascii="Arial" w:cs="Arial" w:eastAsia="Arial" w:hAnsi="Arial"/>
                <w:sz w:val="16"/>
                <w:szCs w:val="16"/>
                <w:color w:val="51555C"/>
              </w:rPr>
              <w:t>733,931</w:t>
            </w: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578485</wp:posOffset>
            </wp:positionV>
            <wp:extent cx="67691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6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5</w:t>
            </w:r>
          </w:p>
        </w:tc>
      </w:tr>
      <w:tr>
        <w:trPr>
          <w:trHeight w:val="362"/>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ind w:right="-319"/>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1555C"/>
        </w:rPr>
        <w:t>Condensed Consolidated Statements of Stockholders' Equity</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46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74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220" w:type="dxa"/>
            <w:vAlign w:val="bottom"/>
            <w:shd w:val="clear" w:color="auto" w:fill="004054"/>
          </w:tcPr>
          <w:p>
            <w:pPr>
              <w:spacing w:after="0"/>
              <w:rPr>
                <w:sz w:val="15"/>
                <w:szCs w:val="15"/>
                <w:color w:val="auto"/>
              </w:rPr>
            </w:pPr>
          </w:p>
        </w:tc>
        <w:tc>
          <w:tcPr>
            <w:tcW w:w="68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8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4054"/>
          </w:tcPr>
          <w:p>
            <w:pPr>
              <w:spacing w:after="0"/>
              <w:rPr>
                <w:sz w:val="15"/>
                <w:szCs w:val="15"/>
                <w:color w:val="auto"/>
              </w:rPr>
            </w:pPr>
          </w:p>
        </w:tc>
        <w:tc>
          <w:tcPr>
            <w:tcW w:w="4460" w:type="dxa"/>
            <w:vAlign w:val="bottom"/>
            <w:shd w:val="clear" w:color="auto" w:fill="004054"/>
          </w:tcPr>
          <w:p>
            <w:pPr>
              <w:spacing w:after="0"/>
              <w:rPr>
                <w:sz w:val="15"/>
                <w:szCs w:val="15"/>
                <w:color w:val="auto"/>
              </w:rPr>
            </w:pPr>
          </w:p>
        </w:tc>
        <w:tc>
          <w:tcPr>
            <w:tcW w:w="164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7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Additonal</w:t>
            </w:r>
          </w:p>
        </w:tc>
        <w:tc>
          <w:tcPr>
            <w:tcW w:w="20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220" w:type="dxa"/>
            <w:vAlign w:val="bottom"/>
            <w:shd w:val="clear" w:color="auto" w:fill="004054"/>
          </w:tcPr>
          <w:p>
            <w:pPr>
              <w:spacing w:after="0"/>
              <w:rPr>
                <w:sz w:val="15"/>
                <w:szCs w:val="15"/>
                <w:color w:val="auto"/>
              </w:rPr>
            </w:pPr>
          </w:p>
        </w:tc>
        <w:tc>
          <w:tcPr>
            <w:tcW w:w="68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16"/>
        </w:trPr>
        <w:tc>
          <w:tcPr>
            <w:tcW w:w="20" w:type="dxa"/>
            <w:vAlign w:val="bottom"/>
            <w:shd w:val="clear" w:color="auto" w:fill="004054"/>
          </w:tcPr>
          <w:p>
            <w:pPr>
              <w:spacing w:after="0"/>
              <w:rPr>
                <w:sz w:val="10"/>
                <w:szCs w:val="10"/>
                <w:color w:val="auto"/>
              </w:rPr>
            </w:pPr>
          </w:p>
        </w:tc>
        <w:tc>
          <w:tcPr>
            <w:tcW w:w="4460" w:type="dxa"/>
            <w:vAlign w:val="bottom"/>
            <w:shd w:val="clear" w:color="auto" w:fill="004054"/>
          </w:tcPr>
          <w:p>
            <w:pPr>
              <w:spacing w:after="0"/>
              <w:rPr>
                <w:sz w:val="10"/>
                <w:szCs w:val="10"/>
                <w:color w:val="auto"/>
              </w:rPr>
            </w:pPr>
          </w:p>
        </w:tc>
        <w:tc>
          <w:tcPr>
            <w:tcW w:w="1640" w:type="dxa"/>
            <w:vAlign w:val="bottom"/>
            <w:gridSpan w:val="3"/>
            <w:vMerge w:val="continue"/>
            <w:shd w:val="clear" w:color="auto" w:fill="004054"/>
          </w:tcPr>
          <w:p>
            <w:pPr>
              <w:spacing w:after="0"/>
              <w:rPr>
                <w:sz w:val="10"/>
                <w:szCs w:val="10"/>
                <w:color w:val="auto"/>
              </w:rPr>
            </w:pPr>
          </w:p>
        </w:tc>
        <w:tc>
          <w:tcPr>
            <w:tcW w:w="20" w:type="dxa"/>
            <w:vAlign w:val="bottom"/>
            <w:shd w:val="clear" w:color="auto" w:fill="004054"/>
          </w:tcPr>
          <w:p>
            <w:pPr>
              <w:spacing w:after="0"/>
              <w:rPr>
                <w:sz w:val="10"/>
                <w:szCs w:val="10"/>
                <w:color w:val="auto"/>
              </w:rPr>
            </w:pPr>
          </w:p>
        </w:tc>
        <w:tc>
          <w:tcPr>
            <w:tcW w:w="140" w:type="dxa"/>
            <w:vAlign w:val="bottom"/>
            <w:shd w:val="clear" w:color="auto" w:fill="004054"/>
          </w:tcPr>
          <w:p>
            <w:pPr>
              <w:spacing w:after="0"/>
              <w:rPr>
                <w:sz w:val="10"/>
                <w:szCs w:val="10"/>
                <w:color w:val="auto"/>
              </w:rPr>
            </w:pPr>
          </w:p>
        </w:tc>
        <w:tc>
          <w:tcPr>
            <w:tcW w:w="74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200" w:type="dxa"/>
            <w:vAlign w:val="bottom"/>
            <w:shd w:val="clear" w:color="auto" w:fill="004054"/>
          </w:tcPr>
          <w:p>
            <w:pPr>
              <w:spacing w:after="0"/>
              <w:rPr>
                <w:sz w:val="10"/>
                <w:szCs w:val="10"/>
                <w:color w:val="auto"/>
              </w:rPr>
            </w:pPr>
          </w:p>
        </w:tc>
        <w:tc>
          <w:tcPr>
            <w:tcW w:w="7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004054"/>
          </w:tcPr>
          <w:p>
            <w:pPr>
              <w:spacing w:after="0"/>
              <w:rPr>
                <w:sz w:val="10"/>
                <w:szCs w:val="10"/>
                <w:color w:val="auto"/>
              </w:rPr>
            </w:pPr>
          </w:p>
        </w:tc>
        <w:tc>
          <w:tcPr>
            <w:tcW w:w="9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comprehensive</w:t>
            </w:r>
          </w:p>
        </w:tc>
        <w:tc>
          <w:tcPr>
            <w:tcW w:w="220" w:type="dxa"/>
            <w:vAlign w:val="bottom"/>
            <w:shd w:val="clear" w:color="auto" w:fill="004054"/>
          </w:tcPr>
          <w:p>
            <w:pPr>
              <w:spacing w:after="0"/>
              <w:rPr>
                <w:sz w:val="10"/>
                <w:szCs w:val="10"/>
                <w:color w:val="auto"/>
              </w:rPr>
            </w:pPr>
          </w:p>
        </w:tc>
        <w:tc>
          <w:tcPr>
            <w:tcW w:w="6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Retained</w:t>
            </w:r>
          </w:p>
        </w:tc>
        <w:tc>
          <w:tcPr>
            <w:tcW w:w="120" w:type="dxa"/>
            <w:vAlign w:val="bottom"/>
            <w:shd w:val="clear" w:color="auto" w:fill="004054"/>
          </w:tcPr>
          <w:p>
            <w:pPr>
              <w:spacing w:after="0"/>
              <w:rPr>
                <w:sz w:val="10"/>
                <w:szCs w:val="10"/>
                <w:color w:val="auto"/>
              </w:rPr>
            </w:pPr>
          </w:p>
        </w:tc>
        <w:tc>
          <w:tcPr>
            <w:tcW w:w="8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w w:val="83"/>
              </w:rPr>
              <w:t>stockholders'</w:t>
            </w:r>
          </w:p>
        </w:tc>
        <w:tc>
          <w:tcPr>
            <w:tcW w:w="0" w:type="dxa"/>
            <w:vAlign w:val="bottom"/>
          </w:tcPr>
          <w:p>
            <w:pPr>
              <w:spacing w:after="0"/>
              <w:rPr>
                <w:sz w:val="1"/>
                <w:szCs w:val="1"/>
                <w:color w:val="auto"/>
              </w:rPr>
            </w:pPr>
          </w:p>
        </w:tc>
      </w:tr>
      <w:tr>
        <w:trPr>
          <w:trHeight w:val="68"/>
        </w:trPr>
        <w:tc>
          <w:tcPr>
            <w:tcW w:w="20" w:type="dxa"/>
            <w:vAlign w:val="bottom"/>
            <w:shd w:val="clear" w:color="auto" w:fill="004054"/>
          </w:tcPr>
          <w:p>
            <w:pPr>
              <w:spacing w:after="0"/>
              <w:rPr>
                <w:sz w:val="5"/>
                <w:szCs w:val="5"/>
                <w:color w:val="auto"/>
              </w:rPr>
            </w:pPr>
          </w:p>
        </w:tc>
        <w:tc>
          <w:tcPr>
            <w:tcW w:w="4460" w:type="dxa"/>
            <w:vAlign w:val="bottom"/>
            <w:shd w:val="clear" w:color="auto" w:fill="004054"/>
          </w:tcPr>
          <w:p>
            <w:pPr>
              <w:spacing w:after="0"/>
              <w:rPr>
                <w:sz w:val="5"/>
                <w:szCs w:val="5"/>
                <w:color w:val="auto"/>
              </w:rPr>
            </w:pPr>
          </w:p>
        </w:tc>
        <w:tc>
          <w:tcPr>
            <w:tcW w:w="96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54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740" w:type="dxa"/>
            <w:vAlign w:val="bottom"/>
            <w:vMerge w:val="continue"/>
            <w:shd w:val="clear" w:color="auto" w:fill="004054"/>
          </w:tcPr>
          <w:p>
            <w:pPr>
              <w:spacing w:after="0"/>
              <w:rPr>
                <w:sz w:val="5"/>
                <w:szCs w:val="5"/>
                <w:color w:val="auto"/>
              </w:rPr>
            </w:pPr>
          </w:p>
        </w:tc>
        <w:tc>
          <w:tcPr>
            <w:tcW w:w="200" w:type="dxa"/>
            <w:vAlign w:val="bottom"/>
            <w:shd w:val="clear" w:color="auto" w:fill="004054"/>
          </w:tcPr>
          <w:p>
            <w:pPr>
              <w:spacing w:after="0"/>
              <w:rPr>
                <w:sz w:val="5"/>
                <w:szCs w:val="5"/>
                <w:color w:val="auto"/>
              </w:rPr>
            </w:pPr>
          </w:p>
        </w:tc>
        <w:tc>
          <w:tcPr>
            <w:tcW w:w="720" w:type="dxa"/>
            <w:vAlign w:val="bottom"/>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980" w:type="dxa"/>
            <w:vAlign w:val="bottom"/>
            <w:vMerge w:val="continue"/>
            <w:shd w:val="clear" w:color="auto" w:fill="004054"/>
          </w:tcPr>
          <w:p>
            <w:pPr>
              <w:spacing w:after="0"/>
              <w:rPr>
                <w:sz w:val="5"/>
                <w:szCs w:val="5"/>
                <w:color w:val="auto"/>
              </w:rPr>
            </w:pPr>
          </w:p>
        </w:tc>
        <w:tc>
          <w:tcPr>
            <w:tcW w:w="220" w:type="dxa"/>
            <w:vAlign w:val="bottom"/>
            <w:shd w:val="clear" w:color="auto" w:fill="004054"/>
          </w:tcPr>
          <w:p>
            <w:pPr>
              <w:spacing w:after="0"/>
              <w:rPr>
                <w:sz w:val="5"/>
                <w:szCs w:val="5"/>
                <w:color w:val="auto"/>
              </w:rPr>
            </w:pPr>
          </w:p>
        </w:tc>
        <w:tc>
          <w:tcPr>
            <w:tcW w:w="680" w:type="dxa"/>
            <w:vAlign w:val="bottom"/>
            <w:vMerge w:val="continue"/>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20" w:type="dxa"/>
            <w:vAlign w:val="bottom"/>
            <w:vMerge w:val="continue"/>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004054"/>
            </w:tcBorders>
            <w:shd w:val="clear" w:color="auto" w:fill="004054"/>
          </w:tcPr>
          <w:p>
            <w:pPr>
              <w:spacing w:after="0"/>
              <w:rPr>
                <w:sz w:val="20"/>
                <w:szCs w:val="20"/>
                <w:color w:val="auto"/>
              </w:rPr>
            </w:pPr>
          </w:p>
        </w:tc>
        <w:tc>
          <w:tcPr>
            <w:tcW w:w="446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40" w:type="dxa"/>
            <w:vAlign w:val="bottom"/>
            <w:tcBorders>
              <w:bottom w:val="single" w:sz="8" w:color="004054"/>
            </w:tcBorders>
            <w:shd w:val="clear" w:color="auto" w:fill="004054"/>
          </w:tcPr>
          <w:p>
            <w:pPr>
              <w:spacing w:after="0"/>
              <w:rPr>
                <w:sz w:val="20"/>
                <w:szCs w:val="20"/>
                <w:color w:val="auto"/>
              </w:rPr>
            </w:pPr>
          </w:p>
        </w:tc>
        <w:tc>
          <w:tcPr>
            <w:tcW w:w="5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w w:val="94"/>
              </w:rPr>
              <w:t>Amount</w:t>
            </w:r>
          </w:p>
        </w:tc>
        <w:tc>
          <w:tcPr>
            <w:tcW w:w="20" w:type="dxa"/>
            <w:vAlign w:val="bottom"/>
            <w:tcBorders>
              <w:bottom w:val="single" w:sz="8" w:color="004054"/>
            </w:tcBorders>
            <w:shd w:val="clear" w:color="auto" w:fill="004054"/>
          </w:tcPr>
          <w:p>
            <w:pPr>
              <w:spacing w:after="0"/>
              <w:rPr>
                <w:sz w:val="20"/>
                <w:szCs w:val="20"/>
                <w:color w:val="auto"/>
              </w:rPr>
            </w:pPr>
          </w:p>
        </w:tc>
        <w:tc>
          <w:tcPr>
            <w:tcW w:w="140" w:type="dxa"/>
            <w:vAlign w:val="bottom"/>
            <w:tcBorders>
              <w:bottom w:val="single" w:sz="8" w:color="004054"/>
            </w:tcBorders>
            <w:shd w:val="clear" w:color="auto" w:fill="004054"/>
          </w:tcPr>
          <w:p>
            <w:pPr>
              <w:spacing w:after="0"/>
              <w:rPr>
                <w:sz w:val="20"/>
                <w:szCs w:val="20"/>
                <w:color w:val="auto"/>
              </w:rPr>
            </w:pPr>
          </w:p>
        </w:tc>
        <w:tc>
          <w:tcPr>
            <w:tcW w:w="7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200" w:type="dxa"/>
            <w:vAlign w:val="bottom"/>
            <w:tcBorders>
              <w:bottom w:val="single" w:sz="8" w:color="004054"/>
            </w:tcBorders>
            <w:shd w:val="clear" w:color="auto" w:fill="004054"/>
          </w:tcPr>
          <w:p>
            <w:pPr>
              <w:spacing w:after="0"/>
              <w:rPr>
                <w:sz w:val="20"/>
                <w:szCs w:val="20"/>
                <w:color w:val="auto"/>
              </w:rPr>
            </w:pPr>
          </w:p>
        </w:tc>
        <w:tc>
          <w:tcPr>
            <w:tcW w:w="7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004054"/>
            </w:tcBorders>
            <w:shd w:val="clear" w:color="auto" w:fill="004054"/>
          </w:tcPr>
          <w:p>
            <w:pPr>
              <w:spacing w:after="0"/>
              <w:rPr>
                <w:sz w:val="20"/>
                <w:szCs w:val="20"/>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income</w:t>
            </w:r>
          </w:p>
        </w:tc>
        <w:tc>
          <w:tcPr>
            <w:tcW w:w="220" w:type="dxa"/>
            <w:vAlign w:val="bottom"/>
            <w:tcBorders>
              <w:bottom w:val="single" w:sz="8" w:color="004054"/>
            </w:tcBorders>
            <w:shd w:val="clear" w:color="auto" w:fill="004054"/>
          </w:tcPr>
          <w:p>
            <w:pPr>
              <w:spacing w:after="0"/>
              <w:rPr>
                <w:sz w:val="20"/>
                <w:szCs w:val="20"/>
                <w:color w:val="auto"/>
              </w:rPr>
            </w:pPr>
          </w:p>
        </w:tc>
        <w:tc>
          <w:tcPr>
            <w:tcW w:w="6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120" w:type="dxa"/>
            <w:vAlign w:val="bottom"/>
            <w:tcBorders>
              <w:bottom w:val="single" w:sz="8" w:color="004054"/>
            </w:tcBorders>
            <w:shd w:val="clear" w:color="auto" w:fill="004054"/>
          </w:tcPr>
          <w:p>
            <w:pPr>
              <w:spacing w:after="0"/>
              <w:rPr>
                <w:sz w:val="20"/>
                <w:szCs w:val="20"/>
                <w:color w:val="auto"/>
              </w:rPr>
            </w:pPr>
          </w:p>
        </w:tc>
        <w:tc>
          <w:tcPr>
            <w:tcW w:w="8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top w:val="single" w:sz="8" w:color="EBFBFF"/>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2022</w:t>
            </w:r>
          </w:p>
        </w:tc>
        <w:tc>
          <w:tcPr>
            <w:tcW w:w="96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67,814,044</w:t>
            </w:r>
          </w:p>
        </w:tc>
        <w:tc>
          <w:tcPr>
            <w:tcW w:w="1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20" w:type="dxa"/>
            <w:vAlign w:val="bottom"/>
            <w:tcBorders>
              <w:top w:val="single" w:sz="8" w:color="EBFBFF"/>
              <w:bottom w:val="single" w:sz="8" w:color="EBFBFF"/>
            </w:tcBorders>
            <w:shd w:val="clear" w:color="auto" w:fill="EBFBFF"/>
          </w:tcPr>
          <w:p>
            <w:pPr>
              <w:spacing w:after="0"/>
              <w:rPr>
                <w:sz w:val="18"/>
                <w:szCs w:val="18"/>
                <w:color w:val="auto"/>
              </w:rPr>
            </w:pPr>
          </w:p>
        </w:tc>
        <w:tc>
          <w:tcPr>
            <w:tcW w:w="1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5"/>
              </w:rPr>
              <w:t>1,075,264</w:t>
            </w:r>
          </w:p>
        </w:tc>
        <w:tc>
          <w:tcPr>
            <w:tcW w:w="20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9"/>
              </w:rPr>
              <w:t>(537,287)</w:t>
            </w:r>
          </w:p>
        </w:tc>
        <w:tc>
          <w:tcPr>
            <w:tcW w:w="16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98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8,938</w:t>
            </w:r>
          </w:p>
        </w:tc>
        <w:tc>
          <w:tcPr>
            <w:tcW w:w="220" w:type="dxa"/>
            <w:vAlign w:val="bottom"/>
            <w:tcBorders>
              <w:top w:val="single" w:sz="8" w:color="004054"/>
              <w:bottom w:val="single" w:sz="8" w:color="EBFBFF"/>
            </w:tcBorders>
            <w:shd w:val="clear" w:color="auto" w:fill="EBFBFF"/>
          </w:tcPr>
          <w:p>
            <w:pPr>
              <w:jc w:val="right"/>
              <w:ind w:right="39"/>
              <w:spacing w:after="0"/>
              <w:rPr>
                <w:sz w:val="20"/>
                <w:szCs w:val="20"/>
                <w:color w:val="auto"/>
              </w:rPr>
            </w:pPr>
            <w:r>
              <w:rPr>
                <w:rFonts w:ascii="Arial" w:cs="Arial" w:eastAsia="Arial" w:hAnsi="Arial"/>
                <w:sz w:val="16"/>
                <w:szCs w:val="16"/>
                <w:color w:val="51555C"/>
                <w:w w:val="89"/>
              </w:rPr>
              <w:t>$</w:t>
            </w:r>
          </w:p>
        </w:tc>
        <w:tc>
          <w:tcPr>
            <w:tcW w:w="68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197,049</w:t>
            </w:r>
          </w:p>
        </w:tc>
        <w:tc>
          <w:tcPr>
            <w:tcW w:w="1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8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744,032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Net loss</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(14,701)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(14,701)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Vestng of restricted stock units</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954,147</w:t>
            </w:r>
          </w:p>
        </w:tc>
        <w:tc>
          <w:tcPr>
            <w:tcW w:w="140" w:type="dxa"/>
            <w:vAlign w:val="bottom"/>
            <w:tcBorders>
              <w:bottom w:val="single" w:sz="8" w:color="EBFBFF"/>
            </w:tcBorders>
            <w:shd w:val="clear" w:color="auto" w:fill="EBFBFF"/>
          </w:tcPr>
          <w:p>
            <w:pPr>
              <w:spacing w:after="0"/>
              <w:rPr>
                <w:sz w:val="20"/>
                <w:szCs w:val="20"/>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40" w:type="dxa"/>
            <w:vAlign w:val="bottom"/>
            <w:tcBorders>
              <w:bottom w:val="single" w:sz="8" w:color="EBFBFF"/>
            </w:tcBorders>
            <w:shd w:val="clear" w:color="auto" w:fill="EBFBFF"/>
          </w:tcPr>
          <w:p>
            <w:pPr>
              <w:spacing w:after="0"/>
              <w:rPr>
                <w:sz w:val="20"/>
                <w:szCs w:val="20"/>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EBFBFF"/>
            </w:tcBorders>
            <w:shd w:val="clear" w:color="auto" w:fill="EBFBFF"/>
          </w:tcPr>
          <w:p>
            <w:pPr>
              <w:spacing w:after="0"/>
              <w:rPr>
                <w:sz w:val="20"/>
                <w:szCs w:val="20"/>
                <w:color w:val="auto"/>
              </w:rPr>
            </w:pP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w w:val="98"/>
              </w:rPr>
              <w:t>Employee taxes paid for 533,597 withheld shares upon equity</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award setlement</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(30,990)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(30,990)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Stock-based compensaton</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EBFBFF"/>
            </w:tcBorders>
            <w:shd w:val="clear" w:color="auto" w:fill="EBFBFF"/>
          </w:tcPr>
          <w:p>
            <w:pPr>
              <w:spacing w:after="0"/>
              <w:rPr>
                <w:sz w:val="20"/>
                <w:szCs w:val="20"/>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40" w:type="dxa"/>
            <w:vAlign w:val="bottom"/>
            <w:tcBorders>
              <w:bottom w:val="single" w:sz="8" w:color="EBFBFF"/>
            </w:tcBorders>
            <w:shd w:val="clear" w:color="auto" w:fill="EBFBFF"/>
          </w:tcPr>
          <w:p>
            <w:pPr>
              <w:spacing w:after="0"/>
              <w:rPr>
                <w:sz w:val="20"/>
                <w:szCs w:val="20"/>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29,925</w:t>
            </w:r>
          </w:p>
        </w:tc>
        <w:tc>
          <w:tcPr>
            <w:tcW w:w="20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EBFBFF"/>
            </w:tcBorders>
            <w:shd w:val="clear" w:color="auto" w:fill="EBFBFF"/>
          </w:tcPr>
          <w:p>
            <w:pPr>
              <w:spacing w:after="0"/>
              <w:rPr>
                <w:sz w:val="20"/>
                <w:szCs w:val="20"/>
                <w:color w:val="auto"/>
              </w:rPr>
            </w:pP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29,925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Restricted stock grants</w:t>
            </w:r>
          </w:p>
        </w:tc>
        <w:tc>
          <w:tcPr>
            <w:tcW w:w="960" w:type="dxa"/>
            <w:vAlign w:val="bottom"/>
          </w:tcPr>
          <w:p>
            <w:pPr>
              <w:jc w:val="right"/>
              <w:spacing w:after="0"/>
              <w:rPr>
                <w:sz w:val="20"/>
                <w:szCs w:val="20"/>
                <w:color w:val="auto"/>
              </w:rPr>
            </w:pPr>
            <w:r>
              <w:rPr>
                <w:rFonts w:ascii="Arial" w:cs="Arial" w:eastAsia="Arial" w:hAnsi="Arial"/>
                <w:sz w:val="16"/>
                <w:szCs w:val="16"/>
                <w:color w:val="51555C"/>
              </w:rPr>
              <w:t>427,941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Restricted stock cancellatons</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(41,269)</w:t>
            </w:r>
          </w:p>
        </w:tc>
        <w:tc>
          <w:tcPr>
            <w:tcW w:w="140" w:type="dxa"/>
            <w:vAlign w:val="bottom"/>
            <w:tcBorders>
              <w:bottom w:val="single" w:sz="8" w:color="EBFBFF"/>
            </w:tcBorders>
            <w:shd w:val="clear" w:color="auto" w:fill="EBFBFF"/>
          </w:tcPr>
          <w:p>
            <w:pPr>
              <w:spacing w:after="0"/>
              <w:rPr>
                <w:sz w:val="20"/>
                <w:szCs w:val="20"/>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40" w:type="dxa"/>
            <w:vAlign w:val="bottom"/>
            <w:tcBorders>
              <w:bottom w:val="single" w:sz="8" w:color="EBFBFF"/>
            </w:tcBorders>
            <w:shd w:val="clear" w:color="auto" w:fill="EBFBFF"/>
          </w:tcPr>
          <w:p>
            <w:pPr>
              <w:spacing w:after="0"/>
              <w:rPr>
                <w:sz w:val="20"/>
                <w:szCs w:val="20"/>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EBFBFF"/>
            </w:tcBorders>
            <w:shd w:val="clear" w:color="auto" w:fill="EBFBFF"/>
          </w:tcPr>
          <w:p>
            <w:pPr>
              <w:spacing w:after="0"/>
              <w:rPr>
                <w:sz w:val="20"/>
                <w:szCs w:val="20"/>
                <w:color w:val="auto"/>
              </w:rPr>
            </w:pP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Other comprehensive loss</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(8,534)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(8,534)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60" w:type="dxa"/>
            <w:vAlign w:val="bottom"/>
            <w:tcBorders>
              <w:bottom w:val="single" w:sz="8" w:color="EBFBFF"/>
            </w:tcBorders>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74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220" w:type="dxa"/>
            <w:vAlign w:val="bottom"/>
            <w:tcBorders>
              <w:bottom w:val="single" w:sz="8" w:color="51555C"/>
            </w:tcBorders>
          </w:tcPr>
          <w:p>
            <w:pPr>
              <w:spacing w:after="0"/>
              <w:rPr>
                <w:sz w:val="3"/>
                <w:szCs w:val="3"/>
                <w:color w:val="auto"/>
              </w:rPr>
            </w:pPr>
          </w:p>
        </w:tc>
        <w:tc>
          <w:tcPr>
            <w:tcW w:w="68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March 31, 2023</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69,154,863</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69</w:t>
            </w:r>
          </w:p>
        </w:tc>
        <w:tc>
          <w:tcPr>
            <w:tcW w:w="1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5"/>
              </w:rPr>
              <w:t>1,105,189</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9"/>
              </w:rPr>
              <w:t>(568,277)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404</w:t>
            </w:r>
          </w:p>
        </w:tc>
        <w:tc>
          <w:tcPr>
            <w:tcW w:w="220" w:type="dxa"/>
            <w:vAlign w:val="bottom"/>
            <w:tcBorders>
              <w:bottom w:val="single" w:sz="8" w:color="EBFBFF"/>
            </w:tcBorders>
            <w:shd w:val="clear" w:color="auto" w:fill="EBFBFF"/>
          </w:tcPr>
          <w:p>
            <w:pPr>
              <w:jc w:val="right"/>
              <w:ind w:right="39"/>
              <w:spacing w:after="0"/>
              <w:rPr>
                <w:sz w:val="20"/>
                <w:szCs w:val="20"/>
                <w:color w:val="auto"/>
              </w:rPr>
            </w:pPr>
            <w:r>
              <w:rPr>
                <w:rFonts w:ascii="Arial" w:cs="Arial" w:eastAsia="Arial" w:hAnsi="Arial"/>
                <w:sz w:val="16"/>
                <w:szCs w:val="16"/>
                <w:color w:val="51555C"/>
                <w:w w:val="89"/>
              </w:rPr>
              <w:t>$</w:t>
            </w: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182,348</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719,733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Net income</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2,105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2,105</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Vestng of restricted stock units</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23,550</w:t>
            </w:r>
          </w:p>
        </w:tc>
        <w:tc>
          <w:tcPr>
            <w:tcW w:w="14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19"/>
                <w:szCs w:val="19"/>
                <w:color w:val="auto"/>
              </w:rPr>
            </w:pPr>
          </w:p>
        </w:tc>
        <w:tc>
          <w:tcPr>
            <w:tcW w:w="14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EBFBFF"/>
            </w:tcBorders>
            <w:shd w:val="clear" w:color="auto" w:fill="EBFBFF"/>
          </w:tcPr>
          <w:p>
            <w:pPr>
              <w:spacing w:after="0"/>
              <w:rPr>
                <w:sz w:val="19"/>
                <w:szCs w:val="19"/>
                <w:color w:val="auto"/>
              </w:rPr>
            </w:pP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Employee taxes paid for 32,540 withheld shares upon equity</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award setlement</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(2,270)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(2,270)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Stock-based compensaton</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19"/>
                <w:szCs w:val="19"/>
                <w:color w:val="auto"/>
              </w:rPr>
            </w:pPr>
          </w:p>
        </w:tc>
        <w:tc>
          <w:tcPr>
            <w:tcW w:w="14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33,364</w:t>
            </w:r>
          </w:p>
        </w:tc>
        <w:tc>
          <w:tcPr>
            <w:tcW w:w="20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EBFBFF"/>
            </w:tcBorders>
            <w:shd w:val="clear" w:color="auto" w:fill="EBFBFF"/>
          </w:tcPr>
          <w:p>
            <w:pPr>
              <w:spacing w:after="0"/>
              <w:rPr>
                <w:sz w:val="19"/>
                <w:szCs w:val="19"/>
                <w:color w:val="auto"/>
              </w:rPr>
            </w:pP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33,364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Restricted stock grants</w:t>
            </w:r>
          </w:p>
        </w:tc>
        <w:tc>
          <w:tcPr>
            <w:tcW w:w="960" w:type="dxa"/>
            <w:vAlign w:val="bottom"/>
          </w:tcPr>
          <w:p>
            <w:pPr>
              <w:jc w:val="right"/>
              <w:spacing w:after="0"/>
              <w:rPr>
                <w:sz w:val="20"/>
                <w:szCs w:val="20"/>
                <w:color w:val="auto"/>
              </w:rPr>
            </w:pPr>
            <w:r>
              <w:rPr>
                <w:rFonts w:ascii="Arial" w:cs="Arial" w:eastAsia="Arial" w:hAnsi="Arial"/>
                <w:sz w:val="16"/>
                <w:szCs w:val="16"/>
                <w:color w:val="51555C"/>
              </w:rPr>
              <w:t>6,031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Restricted stock cancellatons</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(20,200)</w:t>
            </w:r>
          </w:p>
        </w:tc>
        <w:tc>
          <w:tcPr>
            <w:tcW w:w="140" w:type="dxa"/>
            <w:vAlign w:val="bottom"/>
            <w:tcBorders>
              <w:bottom w:val="single" w:sz="8" w:color="EBFBFF"/>
            </w:tcBorders>
            <w:shd w:val="clear" w:color="auto" w:fill="EBFBFF"/>
          </w:tcPr>
          <w:p>
            <w:pPr>
              <w:spacing w:after="0"/>
              <w:rPr>
                <w:sz w:val="19"/>
                <w:szCs w:val="19"/>
                <w:color w:val="auto"/>
              </w:rPr>
            </w:pP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19"/>
                <w:szCs w:val="19"/>
                <w:color w:val="auto"/>
              </w:rPr>
            </w:pPr>
          </w:p>
        </w:tc>
        <w:tc>
          <w:tcPr>
            <w:tcW w:w="14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EBFBFF"/>
            </w:tcBorders>
            <w:shd w:val="clear" w:color="auto" w:fill="EBFBFF"/>
          </w:tcPr>
          <w:p>
            <w:pPr>
              <w:spacing w:after="0"/>
              <w:rPr>
                <w:sz w:val="19"/>
                <w:szCs w:val="19"/>
                <w:color w:val="auto"/>
              </w:rPr>
            </w:pP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Other comprehensive income</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8,438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8,438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96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74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220" w:type="dxa"/>
            <w:vAlign w:val="bottom"/>
            <w:tcBorders>
              <w:bottom w:val="single" w:sz="8" w:color="51555C"/>
            </w:tcBorders>
          </w:tcPr>
          <w:p>
            <w:pPr>
              <w:spacing w:after="0"/>
              <w:rPr>
                <w:sz w:val="3"/>
                <w:szCs w:val="3"/>
                <w:color w:val="auto"/>
              </w:rPr>
            </w:pPr>
          </w:p>
        </w:tc>
        <w:tc>
          <w:tcPr>
            <w:tcW w:w="68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June 30, 2023</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69,164,244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69</w:t>
            </w:r>
          </w:p>
        </w:tc>
        <w:tc>
          <w:tcPr>
            <w:tcW w:w="1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5"/>
              </w:rPr>
              <w:t>1,138,553</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9"/>
              </w:rPr>
              <w:t>(570,547)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8,842</w:t>
            </w:r>
          </w:p>
        </w:tc>
        <w:tc>
          <w:tcPr>
            <w:tcW w:w="220" w:type="dxa"/>
            <w:vAlign w:val="bottom"/>
            <w:tcBorders>
              <w:bottom w:val="single" w:sz="8" w:color="EBFBFF"/>
            </w:tcBorders>
            <w:shd w:val="clear" w:color="auto" w:fill="EBFBFF"/>
          </w:tcPr>
          <w:p>
            <w:pPr>
              <w:jc w:val="right"/>
              <w:ind w:right="39"/>
              <w:spacing w:after="0"/>
              <w:rPr>
                <w:sz w:val="20"/>
                <w:szCs w:val="20"/>
                <w:color w:val="auto"/>
              </w:rPr>
            </w:pPr>
            <w:r>
              <w:rPr>
                <w:rFonts w:ascii="Arial" w:cs="Arial" w:eastAsia="Arial" w:hAnsi="Arial"/>
                <w:sz w:val="16"/>
                <w:szCs w:val="16"/>
                <w:color w:val="51555C"/>
                <w:w w:val="89"/>
              </w:rPr>
              <w:t>$</w:t>
            </w:r>
          </w:p>
        </w:tc>
        <w:tc>
          <w:tcPr>
            <w:tcW w:w="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184,453</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761,370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74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7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68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-3102610</wp:posOffset>
            </wp:positionV>
            <wp:extent cx="1037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hanging="314"/>
        <w:spacing w:after="0"/>
        <w:tabs>
          <w:tab w:leader="none" w:pos="340" w:val="left"/>
        </w:tabs>
        <w:numPr>
          <w:ilvl w:val="0"/>
          <w:numId w:val="3"/>
        </w:numPr>
        <w:rPr>
          <w:rFonts w:ascii="Arial" w:cs="Arial" w:eastAsia="Arial" w:hAnsi="Arial"/>
          <w:sz w:val="14"/>
          <w:szCs w:val="14"/>
          <w:color w:val="51555C"/>
        </w:rPr>
      </w:pPr>
      <w:r>
        <w:rPr>
          <w:rFonts w:ascii="Arial" w:cs="Arial" w:eastAsia="Arial" w:hAnsi="Arial"/>
          <w:sz w:val="1"/>
          <w:szCs w:val="1"/>
          <w:color w:val="51555C"/>
        </w:rPr>
        <w:drawing>
          <wp:inline distT="0" distB="0" distL="0" distR="0">
            <wp:extent cx="65151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5" w:right="6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Condensed Consolidated Statements of Stockholders' Equity (contnued)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46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76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004054"/>
          </w:tcPr>
          <w:p>
            <w:pPr>
              <w:spacing w:after="0"/>
              <w:rPr>
                <w:sz w:val="15"/>
                <w:szCs w:val="15"/>
                <w:color w:val="auto"/>
              </w:rPr>
            </w:pPr>
          </w:p>
        </w:tc>
        <w:tc>
          <w:tcPr>
            <w:tcW w:w="70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8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4054"/>
          </w:tcPr>
          <w:p>
            <w:pPr>
              <w:spacing w:after="0"/>
              <w:rPr>
                <w:sz w:val="15"/>
                <w:szCs w:val="15"/>
                <w:color w:val="auto"/>
              </w:rPr>
            </w:pPr>
          </w:p>
        </w:tc>
        <w:tc>
          <w:tcPr>
            <w:tcW w:w="446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164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7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Additonal</w:t>
            </w:r>
          </w:p>
        </w:tc>
        <w:tc>
          <w:tcPr>
            <w:tcW w:w="18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004054"/>
          </w:tcPr>
          <w:p>
            <w:pPr>
              <w:spacing w:after="0"/>
              <w:rPr>
                <w:sz w:val="15"/>
                <w:szCs w:val="15"/>
                <w:color w:val="auto"/>
              </w:rPr>
            </w:pPr>
          </w:p>
        </w:tc>
        <w:tc>
          <w:tcPr>
            <w:tcW w:w="70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16"/>
        </w:trPr>
        <w:tc>
          <w:tcPr>
            <w:tcW w:w="20" w:type="dxa"/>
            <w:vAlign w:val="bottom"/>
            <w:shd w:val="clear" w:color="auto" w:fill="004054"/>
          </w:tcPr>
          <w:p>
            <w:pPr>
              <w:spacing w:after="0"/>
              <w:rPr>
                <w:sz w:val="10"/>
                <w:szCs w:val="10"/>
                <w:color w:val="auto"/>
              </w:rPr>
            </w:pPr>
          </w:p>
        </w:tc>
        <w:tc>
          <w:tcPr>
            <w:tcW w:w="4460" w:type="dxa"/>
            <w:vAlign w:val="bottom"/>
            <w:shd w:val="clear" w:color="auto" w:fill="004054"/>
          </w:tcPr>
          <w:p>
            <w:pPr>
              <w:spacing w:after="0"/>
              <w:rPr>
                <w:sz w:val="10"/>
                <w:szCs w:val="10"/>
                <w:color w:val="auto"/>
              </w:rPr>
            </w:pPr>
          </w:p>
        </w:tc>
        <w:tc>
          <w:tcPr>
            <w:tcW w:w="20" w:type="dxa"/>
            <w:vAlign w:val="bottom"/>
            <w:shd w:val="clear" w:color="auto" w:fill="004054"/>
          </w:tcPr>
          <w:p>
            <w:pPr>
              <w:spacing w:after="0"/>
              <w:rPr>
                <w:sz w:val="10"/>
                <w:szCs w:val="10"/>
                <w:color w:val="auto"/>
              </w:rPr>
            </w:pPr>
          </w:p>
        </w:tc>
        <w:tc>
          <w:tcPr>
            <w:tcW w:w="1640" w:type="dxa"/>
            <w:vAlign w:val="bottom"/>
            <w:gridSpan w:val="3"/>
            <w:vMerge w:val="continue"/>
            <w:shd w:val="clear" w:color="auto" w:fill="004054"/>
          </w:tcPr>
          <w:p>
            <w:pPr>
              <w:spacing w:after="0"/>
              <w:rPr>
                <w:sz w:val="10"/>
                <w:szCs w:val="10"/>
                <w:color w:val="auto"/>
              </w:rPr>
            </w:pPr>
          </w:p>
        </w:tc>
        <w:tc>
          <w:tcPr>
            <w:tcW w:w="20" w:type="dxa"/>
            <w:vAlign w:val="bottom"/>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7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180" w:type="dxa"/>
            <w:vAlign w:val="bottom"/>
            <w:shd w:val="clear" w:color="auto" w:fill="004054"/>
          </w:tcPr>
          <w:p>
            <w:pPr>
              <w:spacing w:after="0"/>
              <w:rPr>
                <w:sz w:val="10"/>
                <w:szCs w:val="10"/>
                <w:color w:val="auto"/>
              </w:rPr>
            </w:pPr>
          </w:p>
        </w:tc>
        <w:tc>
          <w:tcPr>
            <w:tcW w:w="7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004054"/>
          </w:tcPr>
          <w:p>
            <w:pPr>
              <w:spacing w:after="0"/>
              <w:rPr>
                <w:sz w:val="10"/>
                <w:szCs w:val="10"/>
                <w:color w:val="auto"/>
              </w:rPr>
            </w:pPr>
          </w:p>
        </w:tc>
        <w:tc>
          <w:tcPr>
            <w:tcW w:w="9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comprehensive</w:t>
            </w:r>
          </w:p>
        </w:tc>
        <w:tc>
          <w:tcPr>
            <w:tcW w:w="200" w:type="dxa"/>
            <w:vAlign w:val="bottom"/>
            <w:shd w:val="clear" w:color="auto" w:fill="004054"/>
          </w:tcPr>
          <w:p>
            <w:pPr>
              <w:spacing w:after="0"/>
              <w:rPr>
                <w:sz w:val="10"/>
                <w:szCs w:val="10"/>
                <w:color w:val="auto"/>
              </w:rPr>
            </w:pPr>
          </w:p>
        </w:tc>
        <w:tc>
          <w:tcPr>
            <w:tcW w:w="7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Retained</w:t>
            </w:r>
          </w:p>
        </w:tc>
        <w:tc>
          <w:tcPr>
            <w:tcW w:w="120" w:type="dxa"/>
            <w:vAlign w:val="bottom"/>
            <w:shd w:val="clear" w:color="auto" w:fill="004054"/>
          </w:tcPr>
          <w:p>
            <w:pPr>
              <w:spacing w:after="0"/>
              <w:rPr>
                <w:sz w:val="10"/>
                <w:szCs w:val="10"/>
                <w:color w:val="auto"/>
              </w:rPr>
            </w:pPr>
          </w:p>
        </w:tc>
        <w:tc>
          <w:tcPr>
            <w:tcW w:w="8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w w:val="83"/>
              </w:rPr>
              <w:t>stockholders'</w:t>
            </w:r>
          </w:p>
        </w:tc>
        <w:tc>
          <w:tcPr>
            <w:tcW w:w="0" w:type="dxa"/>
            <w:vAlign w:val="bottom"/>
          </w:tcPr>
          <w:p>
            <w:pPr>
              <w:spacing w:after="0"/>
              <w:rPr>
                <w:sz w:val="1"/>
                <w:szCs w:val="1"/>
                <w:color w:val="auto"/>
              </w:rPr>
            </w:pPr>
          </w:p>
        </w:tc>
      </w:tr>
      <w:tr>
        <w:trPr>
          <w:trHeight w:val="68"/>
        </w:trPr>
        <w:tc>
          <w:tcPr>
            <w:tcW w:w="20" w:type="dxa"/>
            <w:vAlign w:val="bottom"/>
            <w:shd w:val="clear" w:color="auto" w:fill="004054"/>
          </w:tcPr>
          <w:p>
            <w:pPr>
              <w:spacing w:after="0"/>
              <w:rPr>
                <w:sz w:val="5"/>
                <w:szCs w:val="5"/>
                <w:color w:val="auto"/>
              </w:rPr>
            </w:pPr>
          </w:p>
        </w:tc>
        <w:tc>
          <w:tcPr>
            <w:tcW w:w="446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94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56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760" w:type="dxa"/>
            <w:vAlign w:val="bottom"/>
            <w:vMerge w:val="continue"/>
            <w:shd w:val="clear" w:color="auto" w:fill="004054"/>
          </w:tcPr>
          <w:p>
            <w:pPr>
              <w:spacing w:after="0"/>
              <w:rPr>
                <w:sz w:val="5"/>
                <w:szCs w:val="5"/>
                <w:color w:val="auto"/>
              </w:rPr>
            </w:pPr>
          </w:p>
        </w:tc>
        <w:tc>
          <w:tcPr>
            <w:tcW w:w="180" w:type="dxa"/>
            <w:vAlign w:val="bottom"/>
            <w:shd w:val="clear" w:color="auto" w:fill="004054"/>
          </w:tcPr>
          <w:p>
            <w:pPr>
              <w:spacing w:after="0"/>
              <w:rPr>
                <w:sz w:val="5"/>
                <w:szCs w:val="5"/>
                <w:color w:val="auto"/>
              </w:rPr>
            </w:pPr>
          </w:p>
        </w:tc>
        <w:tc>
          <w:tcPr>
            <w:tcW w:w="720" w:type="dxa"/>
            <w:vAlign w:val="bottom"/>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980" w:type="dxa"/>
            <w:vAlign w:val="bottom"/>
            <w:vMerge w:val="continue"/>
            <w:shd w:val="clear" w:color="auto" w:fill="004054"/>
          </w:tcPr>
          <w:p>
            <w:pPr>
              <w:spacing w:after="0"/>
              <w:rPr>
                <w:sz w:val="5"/>
                <w:szCs w:val="5"/>
                <w:color w:val="auto"/>
              </w:rPr>
            </w:pPr>
          </w:p>
        </w:tc>
        <w:tc>
          <w:tcPr>
            <w:tcW w:w="200" w:type="dxa"/>
            <w:vAlign w:val="bottom"/>
            <w:shd w:val="clear" w:color="auto" w:fill="004054"/>
          </w:tcPr>
          <w:p>
            <w:pPr>
              <w:spacing w:after="0"/>
              <w:rPr>
                <w:sz w:val="5"/>
                <w:szCs w:val="5"/>
                <w:color w:val="auto"/>
              </w:rPr>
            </w:pPr>
          </w:p>
        </w:tc>
        <w:tc>
          <w:tcPr>
            <w:tcW w:w="700" w:type="dxa"/>
            <w:vAlign w:val="bottom"/>
            <w:vMerge w:val="continue"/>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20" w:type="dxa"/>
            <w:vAlign w:val="bottom"/>
            <w:vMerge w:val="continue"/>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004054"/>
            </w:tcBorders>
            <w:shd w:val="clear" w:color="auto" w:fill="004054"/>
          </w:tcPr>
          <w:p>
            <w:pPr>
              <w:spacing w:after="0"/>
              <w:rPr>
                <w:sz w:val="20"/>
                <w:szCs w:val="20"/>
                <w:color w:val="auto"/>
              </w:rPr>
            </w:pPr>
          </w:p>
        </w:tc>
        <w:tc>
          <w:tcPr>
            <w:tcW w:w="446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tcBorders>
              <w:bottom w:val="single" w:sz="8" w:color="004054"/>
            </w:tcBorders>
            <w:shd w:val="clear" w:color="auto" w:fill="004054"/>
          </w:tcPr>
          <w:p>
            <w:pPr>
              <w:spacing w:after="0"/>
              <w:rPr>
                <w:sz w:val="20"/>
                <w:szCs w:val="20"/>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40" w:type="dxa"/>
            <w:vAlign w:val="bottom"/>
            <w:tcBorders>
              <w:bottom w:val="single" w:sz="8" w:color="004054"/>
            </w:tcBorders>
            <w:shd w:val="clear" w:color="auto" w:fill="004054"/>
          </w:tcPr>
          <w:p>
            <w:pPr>
              <w:spacing w:after="0"/>
              <w:rPr>
                <w:sz w:val="20"/>
                <w:szCs w:val="20"/>
                <w:color w:val="auto"/>
              </w:rPr>
            </w:pPr>
          </w:p>
        </w:tc>
        <w:tc>
          <w:tcPr>
            <w:tcW w:w="5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w w:val="98"/>
              </w:rPr>
              <w:t>Amount</w:t>
            </w:r>
          </w:p>
        </w:tc>
        <w:tc>
          <w:tcPr>
            <w:tcW w:w="20" w:type="dxa"/>
            <w:vAlign w:val="bottom"/>
            <w:tcBorders>
              <w:bottom w:val="single" w:sz="8" w:color="004054"/>
            </w:tcBorders>
            <w:shd w:val="clear" w:color="auto" w:fill="004054"/>
          </w:tcPr>
          <w:p>
            <w:pPr>
              <w:spacing w:after="0"/>
              <w:rPr>
                <w:sz w:val="20"/>
                <w:szCs w:val="20"/>
                <w:color w:val="auto"/>
              </w:rPr>
            </w:pPr>
          </w:p>
        </w:tc>
        <w:tc>
          <w:tcPr>
            <w:tcW w:w="120" w:type="dxa"/>
            <w:vAlign w:val="bottom"/>
            <w:tcBorders>
              <w:bottom w:val="single" w:sz="8" w:color="004054"/>
            </w:tcBorders>
            <w:shd w:val="clear" w:color="auto" w:fill="004054"/>
          </w:tcPr>
          <w:p>
            <w:pPr>
              <w:spacing w:after="0"/>
              <w:rPr>
                <w:sz w:val="20"/>
                <w:szCs w:val="20"/>
                <w:color w:val="auto"/>
              </w:rPr>
            </w:pPr>
          </w:p>
        </w:tc>
        <w:tc>
          <w:tcPr>
            <w:tcW w:w="7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80" w:type="dxa"/>
            <w:vAlign w:val="bottom"/>
            <w:tcBorders>
              <w:bottom w:val="single" w:sz="8" w:color="004054"/>
            </w:tcBorders>
            <w:shd w:val="clear" w:color="auto" w:fill="004054"/>
          </w:tcPr>
          <w:p>
            <w:pPr>
              <w:spacing w:after="0"/>
              <w:rPr>
                <w:sz w:val="20"/>
                <w:szCs w:val="20"/>
                <w:color w:val="auto"/>
              </w:rPr>
            </w:pPr>
          </w:p>
        </w:tc>
        <w:tc>
          <w:tcPr>
            <w:tcW w:w="7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004054"/>
            </w:tcBorders>
            <w:shd w:val="clear" w:color="auto" w:fill="004054"/>
          </w:tcPr>
          <w:p>
            <w:pPr>
              <w:spacing w:after="0"/>
              <w:rPr>
                <w:sz w:val="20"/>
                <w:szCs w:val="20"/>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income</w:t>
            </w:r>
          </w:p>
        </w:tc>
        <w:tc>
          <w:tcPr>
            <w:tcW w:w="200" w:type="dxa"/>
            <w:vAlign w:val="bottom"/>
            <w:tcBorders>
              <w:bottom w:val="single" w:sz="8" w:color="004054"/>
            </w:tcBorders>
            <w:shd w:val="clear" w:color="auto" w:fill="004054"/>
          </w:tcPr>
          <w:p>
            <w:pPr>
              <w:spacing w:after="0"/>
              <w:rPr>
                <w:sz w:val="20"/>
                <w:szCs w:val="20"/>
                <w:color w:val="auto"/>
              </w:rPr>
            </w:pPr>
          </w:p>
        </w:tc>
        <w:tc>
          <w:tcPr>
            <w:tcW w:w="7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120" w:type="dxa"/>
            <w:vAlign w:val="bottom"/>
            <w:tcBorders>
              <w:bottom w:val="single" w:sz="8" w:color="004054"/>
            </w:tcBorders>
            <w:shd w:val="clear" w:color="auto" w:fill="004054"/>
          </w:tcPr>
          <w:p>
            <w:pPr>
              <w:spacing w:after="0"/>
              <w:rPr>
                <w:sz w:val="20"/>
                <w:szCs w:val="20"/>
                <w:color w:val="auto"/>
              </w:rPr>
            </w:pPr>
          </w:p>
        </w:tc>
        <w:tc>
          <w:tcPr>
            <w:tcW w:w="8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top w:val="single" w:sz="8" w:color="EBFBFF"/>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2021</w:t>
            </w:r>
          </w:p>
        </w:tc>
        <w:tc>
          <w:tcPr>
            <w:tcW w:w="20" w:type="dxa"/>
            <w:vAlign w:val="bottom"/>
            <w:tcBorders>
              <w:top w:val="single" w:sz="8" w:color="EBFBFF"/>
              <w:bottom w:val="single" w:sz="8" w:color="EBFBFF"/>
            </w:tcBorders>
            <w:shd w:val="clear" w:color="auto" w:fill="EBFBFF"/>
          </w:tcPr>
          <w:p>
            <w:pPr>
              <w:spacing w:after="0"/>
              <w:rPr>
                <w:sz w:val="18"/>
                <w:szCs w:val="18"/>
                <w:color w:val="auto"/>
              </w:rPr>
            </w:pPr>
          </w:p>
        </w:tc>
        <w:tc>
          <w:tcPr>
            <w:tcW w:w="9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66,165,666</w:t>
            </w:r>
          </w:p>
        </w:tc>
        <w:tc>
          <w:tcPr>
            <w:tcW w:w="1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66</w:t>
            </w:r>
          </w:p>
        </w:tc>
        <w:tc>
          <w:tcPr>
            <w:tcW w:w="20" w:type="dxa"/>
            <w:vAlign w:val="bottom"/>
            <w:tcBorders>
              <w:top w:val="single" w:sz="8" w:color="EBFBFF"/>
              <w:bottom w:val="single" w:sz="8" w:color="EBFBFF"/>
            </w:tcBorders>
            <w:shd w:val="clear" w:color="auto" w:fill="EBFBFF"/>
          </w:tcPr>
          <w:p>
            <w:pPr>
              <w:spacing w:after="0"/>
              <w:rPr>
                <w:sz w:val="18"/>
                <w:szCs w:val="18"/>
                <w:color w:val="auto"/>
              </w:rPr>
            </w:pPr>
          </w:p>
        </w:tc>
        <w:tc>
          <w:tcPr>
            <w:tcW w:w="1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5"/>
                <w:szCs w:val="15"/>
                <w:color w:val="51555C"/>
                <w:w w:val="71"/>
              </w:rPr>
              <w:t>$</w:t>
            </w:r>
          </w:p>
        </w:tc>
        <w:tc>
          <w:tcPr>
            <w:tcW w:w="76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968,927</w:t>
            </w:r>
          </w:p>
        </w:tc>
        <w:tc>
          <w:tcPr>
            <w:tcW w:w="18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9"/>
              </w:rPr>
              <w:t>(500,911)</w:t>
            </w:r>
          </w:p>
        </w:tc>
        <w:tc>
          <w:tcPr>
            <w:tcW w:w="16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6,522</w:t>
            </w:r>
          </w:p>
        </w:tc>
        <w:tc>
          <w:tcPr>
            <w:tcW w:w="200" w:type="dxa"/>
            <w:vAlign w:val="bottom"/>
            <w:tcBorders>
              <w:top w:val="single" w:sz="8" w:color="004054"/>
              <w:bottom w:val="single" w:sz="8" w:color="EBFBFF"/>
            </w:tcBorders>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70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242,456</w:t>
            </w:r>
          </w:p>
        </w:tc>
        <w:tc>
          <w:tcPr>
            <w:tcW w:w="1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82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717,060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Net loss</w:t>
            </w: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(10,407)</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(10,407)</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Stock issuance costs related to purchase of EVERFI</w:t>
            </w:r>
          </w:p>
        </w:tc>
        <w:tc>
          <w:tcPr>
            <w:tcW w:w="20" w:type="dxa"/>
            <w:vAlign w:val="bottom"/>
            <w:tcBorders>
              <w:bottom w:val="single" w:sz="8" w:color="EBFBFF"/>
            </w:tcBorders>
            <w:shd w:val="clear" w:color="auto" w:fill="EBFBFF"/>
          </w:tcPr>
          <w:p>
            <w:pPr>
              <w:spacing w:after="0"/>
              <w:rPr>
                <w:sz w:val="20"/>
                <w:szCs w:val="20"/>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EBFBFF"/>
            </w:tcBorders>
            <w:shd w:val="clear" w:color="auto" w:fill="EBFBFF"/>
          </w:tcPr>
          <w:p>
            <w:pPr>
              <w:spacing w:after="0"/>
              <w:rPr>
                <w:sz w:val="20"/>
                <w:szCs w:val="20"/>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20" w:type="dxa"/>
            <w:vAlign w:val="bottom"/>
            <w:tcBorders>
              <w:bottom w:val="single" w:sz="8" w:color="EBFBFF"/>
            </w:tcBorders>
            <w:shd w:val="clear" w:color="auto" w:fill="EBFBFF"/>
          </w:tcPr>
          <w:p>
            <w:pPr>
              <w:spacing w:after="0"/>
              <w:rPr>
                <w:sz w:val="20"/>
                <w:szCs w:val="20"/>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(983)</w:t>
            </w:r>
          </w:p>
        </w:tc>
        <w:tc>
          <w:tcPr>
            <w:tcW w:w="18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Retrements of common stock</w:t>
            </w:r>
            <w:r>
              <w:rPr>
                <w:rFonts w:ascii="Arial" w:cs="Arial" w:eastAsia="Arial" w:hAnsi="Arial"/>
                <w:sz w:val="21"/>
                <w:szCs w:val="21"/>
                <w:color w:val="51555C"/>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51555C"/>
              </w:rPr>
              <w:t>(33,075)</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(2,581)</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Vestng of restricted stock units</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976,312</w:t>
            </w:r>
          </w:p>
        </w:tc>
        <w:tc>
          <w:tcPr>
            <w:tcW w:w="140" w:type="dxa"/>
            <w:vAlign w:val="bottom"/>
            <w:tcBorders>
              <w:bottom w:val="single" w:sz="8" w:color="EBFBFF"/>
            </w:tcBorders>
            <w:shd w:val="clear" w:color="auto" w:fill="EBFBFF"/>
          </w:tcPr>
          <w:p>
            <w:pPr>
              <w:spacing w:after="0"/>
              <w:rPr>
                <w:sz w:val="19"/>
                <w:szCs w:val="19"/>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19"/>
                <w:szCs w:val="19"/>
                <w:color w:val="auto"/>
              </w:rPr>
            </w:pPr>
          </w:p>
        </w:tc>
        <w:tc>
          <w:tcPr>
            <w:tcW w:w="12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19"/>
                <w:szCs w:val="19"/>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w w:val="98"/>
              </w:rPr>
              <w:t>Employee taxes paid for 533,139 withheld shares upon equity</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award setlement</w:t>
            </w: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(34,674)</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(34,674)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Stock-based compensaton</w:t>
            </w:r>
          </w:p>
        </w:tc>
        <w:tc>
          <w:tcPr>
            <w:tcW w:w="20" w:type="dxa"/>
            <w:vAlign w:val="bottom"/>
            <w:tcBorders>
              <w:bottom w:val="single" w:sz="8" w:color="EBFBFF"/>
            </w:tcBorders>
            <w:shd w:val="clear" w:color="auto" w:fill="EBFBFF"/>
          </w:tcPr>
          <w:p>
            <w:pPr>
              <w:spacing w:after="0"/>
              <w:rPr>
                <w:sz w:val="20"/>
                <w:szCs w:val="20"/>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EBFBFF"/>
            </w:tcBorders>
            <w:shd w:val="clear" w:color="auto" w:fill="EBFBFF"/>
          </w:tcPr>
          <w:p>
            <w:pPr>
              <w:spacing w:after="0"/>
              <w:rPr>
                <w:sz w:val="20"/>
                <w:szCs w:val="20"/>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20" w:type="dxa"/>
            <w:vAlign w:val="bottom"/>
            <w:tcBorders>
              <w:bottom w:val="single" w:sz="8" w:color="EBFBFF"/>
            </w:tcBorders>
            <w:shd w:val="clear" w:color="auto" w:fill="EBFBFF"/>
          </w:tcPr>
          <w:p>
            <w:pPr>
              <w:spacing w:after="0"/>
              <w:rPr>
                <w:sz w:val="20"/>
                <w:szCs w:val="20"/>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27,860</w:t>
            </w:r>
          </w:p>
        </w:tc>
        <w:tc>
          <w:tcPr>
            <w:tcW w:w="18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27,860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Restricted stock grants</w:t>
            </w:r>
          </w:p>
        </w:tc>
        <w:tc>
          <w:tcPr>
            <w:tcW w:w="960" w:type="dxa"/>
            <w:vAlign w:val="bottom"/>
            <w:gridSpan w:val="2"/>
          </w:tcPr>
          <w:p>
            <w:pPr>
              <w:jc w:val="right"/>
              <w:spacing w:after="0"/>
              <w:rPr>
                <w:sz w:val="20"/>
                <w:szCs w:val="20"/>
                <w:color w:val="auto"/>
              </w:rPr>
            </w:pPr>
            <w:r>
              <w:rPr>
                <w:rFonts w:ascii="Arial" w:cs="Arial" w:eastAsia="Arial" w:hAnsi="Arial"/>
                <w:sz w:val="16"/>
                <w:szCs w:val="16"/>
                <w:color w:val="51555C"/>
              </w:rPr>
              <w:t>580,209</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Restricted stock cancellatons</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(30,940)</w:t>
            </w:r>
          </w:p>
        </w:tc>
        <w:tc>
          <w:tcPr>
            <w:tcW w:w="140" w:type="dxa"/>
            <w:vAlign w:val="bottom"/>
            <w:tcBorders>
              <w:bottom w:val="single" w:sz="8" w:color="EBFBFF"/>
            </w:tcBorders>
            <w:shd w:val="clear" w:color="auto" w:fill="EBFBFF"/>
          </w:tcPr>
          <w:p>
            <w:pPr>
              <w:spacing w:after="0"/>
              <w:rPr>
                <w:sz w:val="19"/>
                <w:szCs w:val="19"/>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19"/>
                <w:szCs w:val="19"/>
                <w:color w:val="auto"/>
              </w:rPr>
            </w:pPr>
          </w:p>
        </w:tc>
        <w:tc>
          <w:tcPr>
            <w:tcW w:w="12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19"/>
                <w:szCs w:val="19"/>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Other comprehensive income</w:t>
            </w: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8,773</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8,773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60" w:type="dxa"/>
            <w:vAlign w:val="bottom"/>
            <w:tcBorders>
              <w:bottom w:val="single" w:sz="8" w:color="EBFBFF"/>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140" w:type="dxa"/>
            <w:vAlign w:val="bottom"/>
            <w:tcBorders>
              <w:bottom w:val="single" w:sz="8" w:color="51555C"/>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c>
          <w:tcPr>
            <w:tcW w:w="120" w:type="dxa"/>
            <w:vAlign w:val="bottom"/>
            <w:tcBorders>
              <w:bottom w:val="single" w:sz="8" w:color="51555C"/>
            </w:tcBorders>
          </w:tcPr>
          <w:p>
            <w:pPr>
              <w:spacing w:after="0"/>
              <w:rPr>
                <w:sz w:val="4"/>
                <w:szCs w:val="4"/>
                <w:color w:val="auto"/>
              </w:rPr>
            </w:pPr>
          </w:p>
        </w:tc>
        <w:tc>
          <w:tcPr>
            <w:tcW w:w="760" w:type="dxa"/>
            <w:vAlign w:val="bottom"/>
            <w:tcBorders>
              <w:bottom w:val="single" w:sz="8" w:color="51555C"/>
            </w:tcBorders>
          </w:tcPr>
          <w:p>
            <w:pPr>
              <w:spacing w:after="0"/>
              <w:rPr>
                <w:sz w:val="4"/>
                <w:szCs w:val="4"/>
                <w:color w:val="auto"/>
              </w:rPr>
            </w:pPr>
          </w:p>
        </w:tc>
        <w:tc>
          <w:tcPr>
            <w:tcW w:w="180" w:type="dxa"/>
            <w:vAlign w:val="bottom"/>
            <w:tcBorders>
              <w:bottom w:val="single" w:sz="8" w:color="51555C"/>
            </w:tcBorders>
          </w:tcPr>
          <w:p>
            <w:pPr>
              <w:spacing w:after="0"/>
              <w:rPr>
                <w:sz w:val="4"/>
                <w:szCs w:val="4"/>
                <w:color w:val="auto"/>
              </w:rPr>
            </w:pPr>
          </w:p>
        </w:tc>
        <w:tc>
          <w:tcPr>
            <w:tcW w:w="720" w:type="dxa"/>
            <w:vAlign w:val="bottom"/>
            <w:tcBorders>
              <w:bottom w:val="single" w:sz="8" w:color="51555C"/>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0" w:type="dxa"/>
            <w:vAlign w:val="bottom"/>
            <w:tcBorders>
              <w:bottom w:val="single" w:sz="8" w:color="51555C"/>
            </w:tcBorders>
          </w:tcPr>
          <w:p>
            <w:pPr>
              <w:spacing w:after="0"/>
              <w:rPr>
                <w:sz w:val="4"/>
                <w:szCs w:val="4"/>
                <w:color w:val="auto"/>
              </w:rPr>
            </w:pPr>
          </w:p>
        </w:tc>
        <w:tc>
          <w:tcPr>
            <w:tcW w:w="700" w:type="dxa"/>
            <w:vAlign w:val="bottom"/>
            <w:tcBorders>
              <w:bottom w:val="single" w:sz="8" w:color="51555C"/>
            </w:tcBorders>
          </w:tcPr>
          <w:p>
            <w:pPr>
              <w:spacing w:after="0"/>
              <w:rPr>
                <w:sz w:val="4"/>
                <w:szCs w:val="4"/>
                <w:color w:val="auto"/>
              </w:rPr>
            </w:pPr>
          </w:p>
        </w:tc>
        <w:tc>
          <w:tcPr>
            <w:tcW w:w="12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March 31, 2022</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67,658,172</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14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993,223</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9"/>
              </w:rPr>
              <w:t>(535,585)</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15,295</w:t>
            </w:r>
          </w:p>
        </w:tc>
        <w:tc>
          <w:tcPr>
            <w:tcW w:w="200" w:type="dxa"/>
            <w:vAlign w:val="bottom"/>
            <w:tcBorders>
              <w:bottom w:val="single" w:sz="8" w:color="EBFBFF"/>
            </w:tcBorders>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232,049</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705,050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Net loss</w:t>
            </w: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(3,422)</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(3,422)</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Stock issuance costs related to purchase of EVERFI</w:t>
            </w:r>
          </w:p>
        </w:tc>
        <w:tc>
          <w:tcPr>
            <w:tcW w:w="20" w:type="dxa"/>
            <w:vAlign w:val="bottom"/>
            <w:tcBorders>
              <w:bottom w:val="single" w:sz="8" w:color="EBFBFF"/>
            </w:tcBorders>
            <w:shd w:val="clear" w:color="auto" w:fill="EBFBFF"/>
          </w:tcPr>
          <w:p>
            <w:pPr>
              <w:spacing w:after="0"/>
              <w:rPr>
                <w:sz w:val="19"/>
                <w:szCs w:val="19"/>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19"/>
                <w:szCs w:val="19"/>
                <w:color w:val="auto"/>
              </w:rPr>
            </w:pPr>
          </w:p>
        </w:tc>
        <w:tc>
          <w:tcPr>
            <w:tcW w:w="12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(223)</w:t>
            </w:r>
          </w:p>
        </w:tc>
        <w:tc>
          <w:tcPr>
            <w:tcW w:w="18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19"/>
                <w:szCs w:val="19"/>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Retrements of common stock</w:t>
            </w:r>
            <w:r>
              <w:rPr>
                <w:rFonts w:ascii="Arial" w:cs="Arial" w:eastAsia="Arial" w:hAnsi="Arial"/>
                <w:sz w:val="21"/>
                <w:szCs w:val="21"/>
                <w:color w:val="51555C"/>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51555C"/>
              </w:rPr>
              <w:t>(395)</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(19)</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Vestng of restricted stock units</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23,549</w:t>
            </w:r>
          </w:p>
        </w:tc>
        <w:tc>
          <w:tcPr>
            <w:tcW w:w="140" w:type="dxa"/>
            <w:vAlign w:val="bottom"/>
            <w:tcBorders>
              <w:bottom w:val="single" w:sz="8" w:color="EBFBFF"/>
            </w:tcBorders>
            <w:shd w:val="clear" w:color="auto" w:fill="EBFBFF"/>
          </w:tcPr>
          <w:p>
            <w:pPr>
              <w:spacing w:after="0"/>
              <w:rPr>
                <w:sz w:val="20"/>
                <w:szCs w:val="20"/>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20" w:type="dxa"/>
            <w:vAlign w:val="bottom"/>
            <w:tcBorders>
              <w:bottom w:val="single" w:sz="8" w:color="EBFBFF"/>
            </w:tcBorders>
            <w:shd w:val="clear" w:color="auto" w:fill="EBFBFF"/>
          </w:tcPr>
          <w:p>
            <w:pPr>
              <w:spacing w:after="0"/>
              <w:rPr>
                <w:sz w:val="20"/>
                <w:szCs w:val="20"/>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Employee taxes paid for 15,540 withheld shares upon equity</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award setlement</w:t>
            </w: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(926)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(926)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Stock-based compensaton</w:t>
            </w:r>
          </w:p>
        </w:tc>
        <w:tc>
          <w:tcPr>
            <w:tcW w:w="20" w:type="dxa"/>
            <w:vAlign w:val="bottom"/>
            <w:tcBorders>
              <w:bottom w:val="single" w:sz="8" w:color="EBFBFF"/>
            </w:tcBorders>
            <w:shd w:val="clear" w:color="auto" w:fill="EBFBFF"/>
          </w:tcPr>
          <w:p>
            <w:pPr>
              <w:spacing w:after="0"/>
              <w:rPr>
                <w:sz w:val="20"/>
                <w:szCs w:val="20"/>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EBFBFF"/>
            </w:tcBorders>
            <w:shd w:val="clear" w:color="auto" w:fill="EBFBFF"/>
          </w:tcPr>
          <w:p>
            <w:pPr>
              <w:spacing w:after="0"/>
              <w:rPr>
                <w:sz w:val="20"/>
                <w:szCs w:val="20"/>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20" w:type="dxa"/>
            <w:vAlign w:val="bottom"/>
            <w:tcBorders>
              <w:bottom w:val="single" w:sz="8" w:color="EBFBFF"/>
            </w:tcBorders>
            <w:shd w:val="clear" w:color="auto" w:fill="EBFBFF"/>
          </w:tcPr>
          <w:p>
            <w:pPr>
              <w:spacing w:after="0"/>
              <w:rPr>
                <w:sz w:val="20"/>
                <w:szCs w:val="20"/>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27,854</w:t>
            </w:r>
          </w:p>
        </w:tc>
        <w:tc>
          <w:tcPr>
            <w:tcW w:w="18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27,854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Restricted stock grants</w:t>
            </w:r>
          </w:p>
        </w:tc>
        <w:tc>
          <w:tcPr>
            <w:tcW w:w="960" w:type="dxa"/>
            <w:vAlign w:val="bottom"/>
            <w:gridSpan w:val="2"/>
          </w:tcPr>
          <w:p>
            <w:pPr>
              <w:jc w:val="right"/>
              <w:spacing w:after="0"/>
              <w:rPr>
                <w:sz w:val="20"/>
                <w:szCs w:val="20"/>
                <w:color w:val="auto"/>
              </w:rPr>
            </w:pPr>
            <w:r>
              <w:rPr>
                <w:rFonts w:ascii="Arial" w:cs="Arial" w:eastAsia="Arial" w:hAnsi="Arial"/>
                <w:sz w:val="16"/>
                <w:szCs w:val="16"/>
                <w:color w:val="51555C"/>
              </w:rPr>
              <w:t>136,598</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6"/>
                <w:szCs w:val="16"/>
                <w:color w:val="51555C"/>
              </w:rPr>
              <w:t>Restricted stock cancellatons</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(62,550)</w:t>
            </w:r>
          </w:p>
        </w:tc>
        <w:tc>
          <w:tcPr>
            <w:tcW w:w="140" w:type="dxa"/>
            <w:vAlign w:val="bottom"/>
            <w:tcBorders>
              <w:bottom w:val="single" w:sz="8" w:color="EBFBFF"/>
            </w:tcBorders>
            <w:shd w:val="clear" w:color="auto" w:fill="EBFBFF"/>
          </w:tcPr>
          <w:p>
            <w:pPr>
              <w:spacing w:after="0"/>
              <w:rPr>
                <w:sz w:val="20"/>
                <w:szCs w:val="20"/>
                <w:color w:val="auto"/>
              </w:rPr>
            </w:pP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Borders>
              <w:bottom w:val="single" w:sz="8" w:color="EBFBFF"/>
            </w:tcBorders>
            <w:shd w:val="clear" w:color="auto" w:fill="EBFBFF"/>
          </w:tcPr>
          <w:p>
            <w:pPr>
              <w:spacing w:after="0"/>
              <w:rPr>
                <w:sz w:val="20"/>
                <w:szCs w:val="20"/>
                <w:color w:val="auto"/>
              </w:rPr>
            </w:pPr>
          </w:p>
        </w:tc>
        <w:tc>
          <w:tcPr>
            <w:tcW w:w="120" w:type="dxa"/>
            <w:vAlign w:val="bottom"/>
            <w:tcBorders>
              <w:bottom w:val="single" w:sz="8" w:color="EBFBFF"/>
            </w:tcBorders>
            <w:shd w:val="clear" w:color="auto" w:fill="EBFBFF"/>
          </w:tcPr>
          <w:p>
            <w:pPr>
              <w:spacing w:after="0"/>
              <w:rPr>
                <w:sz w:val="20"/>
                <w:szCs w:val="20"/>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tcBorders>
              <w:bottom w:val="single" w:sz="8" w:color="EBFBFF"/>
            </w:tcBorders>
            <w:shd w:val="clear" w:color="auto" w:fill="EBFBFF"/>
          </w:tcPr>
          <w:p>
            <w:pPr>
              <w:spacing w:after="0"/>
              <w:rPr>
                <w:sz w:val="20"/>
                <w:szCs w:val="20"/>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tcPr>
          <w:p>
            <w:pPr>
              <w:ind w:left="120"/>
              <w:spacing w:after="0"/>
              <w:rPr>
                <w:sz w:val="20"/>
                <w:szCs w:val="20"/>
                <w:color w:val="auto"/>
              </w:rPr>
            </w:pPr>
            <w:r>
              <w:rPr>
                <w:rFonts w:ascii="Arial" w:cs="Arial" w:eastAsia="Arial" w:hAnsi="Arial"/>
                <w:sz w:val="16"/>
                <w:szCs w:val="16"/>
                <w:color w:val="51555C"/>
              </w:rPr>
              <w:t>Other comprehensive loss</w:t>
            </w: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(7,840)</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(7,840)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56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760" w:type="dxa"/>
            <w:vAlign w:val="bottom"/>
            <w:tcBorders>
              <w:bottom w:val="single" w:sz="8" w:color="51555C"/>
            </w:tcBorders>
          </w:tcPr>
          <w:p>
            <w:pPr>
              <w:spacing w:after="0"/>
              <w:rPr>
                <w:sz w:val="3"/>
                <w:szCs w:val="3"/>
                <w:color w:val="auto"/>
              </w:rPr>
            </w:pPr>
          </w:p>
        </w:tc>
        <w:tc>
          <w:tcPr>
            <w:tcW w:w="180" w:type="dxa"/>
            <w:vAlign w:val="bottom"/>
            <w:tcBorders>
              <w:bottom w:val="single" w:sz="8" w:color="51555C"/>
            </w:tcBorders>
          </w:tcPr>
          <w:p>
            <w:pPr>
              <w:spacing w:after="0"/>
              <w:rPr>
                <w:sz w:val="3"/>
                <w:szCs w:val="3"/>
                <w:color w:val="auto"/>
              </w:rPr>
            </w:pPr>
          </w:p>
        </w:tc>
        <w:tc>
          <w:tcPr>
            <w:tcW w:w="72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200" w:type="dxa"/>
            <w:vAlign w:val="bottom"/>
            <w:tcBorders>
              <w:bottom w:val="single" w:sz="8" w:color="51555C"/>
            </w:tcBorders>
          </w:tcPr>
          <w:p>
            <w:pPr>
              <w:spacing w:after="0"/>
              <w:rPr>
                <w:sz w:val="3"/>
                <w:szCs w:val="3"/>
                <w:color w:val="auto"/>
              </w:rPr>
            </w:pPr>
          </w:p>
        </w:tc>
        <w:tc>
          <w:tcPr>
            <w:tcW w:w="70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June 30, 2022</w:t>
            </w:r>
          </w:p>
        </w:tc>
        <w:tc>
          <w:tcPr>
            <w:tcW w:w="9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rPr>
              <w:t>67,755,374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14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5"/>
              </w:rPr>
              <w:t>1,020,835</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99"/>
              </w:rPr>
              <w:t>(536,511)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7,455</w:t>
            </w:r>
          </w:p>
        </w:tc>
        <w:tc>
          <w:tcPr>
            <w:tcW w:w="200" w:type="dxa"/>
            <w:vAlign w:val="bottom"/>
            <w:tcBorders>
              <w:bottom w:val="single" w:sz="8" w:color="EBFBFF"/>
            </w:tcBorders>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228,627</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6"/>
                <w:szCs w:val="16"/>
                <w:color w:val="51555C"/>
              </w:rPr>
              <w:t>720,474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76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7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70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-3736975</wp:posOffset>
            </wp:positionV>
            <wp:extent cx="1036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77" w:lineRule="exact"/>
        <w:rPr>
          <w:sz w:val="20"/>
          <w:szCs w:val="20"/>
          <w:color w:val="auto"/>
        </w:rPr>
      </w:pPr>
    </w:p>
    <w:p>
      <w:pPr>
        <w:jc w:val="both"/>
        <w:ind w:left="340" w:hanging="332"/>
        <w:spacing w:after="0" w:line="277" w:lineRule="auto"/>
        <w:tabs>
          <w:tab w:leader="none" w:pos="340" w:val="left"/>
        </w:tabs>
        <w:numPr>
          <w:ilvl w:val="0"/>
          <w:numId w:val="4"/>
        </w:numPr>
        <w:rPr>
          <w:rFonts w:ascii="Arial" w:cs="Arial" w:eastAsia="Arial" w:hAnsi="Arial"/>
          <w:sz w:val="14"/>
          <w:szCs w:val="14"/>
          <w:color w:val="51555C"/>
        </w:rPr>
      </w:pPr>
      <w:r>
        <w:rPr>
          <w:rFonts w:ascii="Arial" w:cs="Arial" w:eastAsia="Arial" w:hAnsi="Arial"/>
          <w:sz w:val="14"/>
          <w:szCs w:val="14"/>
          <w:color w:val="51555C"/>
        </w:rPr>
        <w:t>Represents shares retred afer determining certain EVERFI's selling shareholders would be paid in cash, rather than shares of our common stock. For more informaton regarding our acquisiton of EVERFI on December 31, 2021, please see Note 3 of the fnancial statements included in our Annual Report on Form 10-K for the year ended December 31, 2022, fled with the SEC on February 22,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51555C"/>
        </w:rPr>
        <w:t>The accompanying notes are an integral part of these condensed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330200</wp:posOffset>
            </wp:positionV>
            <wp:extent cx="6597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80" w:type="dxa"/>
            <w:vAlign w:val="bottom"/>
          </w:tcPr>
          <w:p>
            <w:pPr>
              <w:ind w:left="7920"/>
              <w:spacing w:after="0"/>
              <w:rPr>
                <w:sz w:val="20"/>
                <w:szCs w:val="20"/>
                <w:color w:val="auto"/>
              </w:rPr>
            </w:pPr>
            <w:r>
              <w:rPr>
                <w:rFonts w:ascii="Arial" w:cs="Arial" w:eastAsia="Arial" w:hAnsi="Arial"/>
                <w:sz w:val="14"/>
                <w:szCs w:val="14"/>
                <w:color w:val="51555C"/>
              </w:rPr>
              <w:t>Second Quarter 2023 Form 10-Q</w:t>
            </w:r>
          </w:p>
        </w:tc>
        <w:tc>
          <w:tcPr>
            <w:tcW w:w="760" w:type="dxa"/>
            <w:vAlign w:val="bottom"/>
          </w:tcPr>
          <w:p>
            <w:pPr>
              <w:jc w:val="right"/>
              <w:spacing w:after="0"/>
              <w:rPr>
                <w:sz w:val="20"/>
                <w:szCs w:val="20"/>
                <w:color w:val="auto"/>
              </w:rPr>
            </w:pPr>
            <w:r>
              <w:rPr>
                <w:rFonts w:ascii="Arial" w:cs="Arial" w:eastAsia="Arial" w:hAnsi="Arial"/>
                <w:sz w:val="14"/>
                <w:szCs w:val="14"/>
                <w:color w:val="51555C"/>
              </w:rPr>
              <w:t>7</w:t>
            </w:r>
          </w:p>
        </w:tc>
      </w:tr>
      <w:tr>
        <w:trPr>
          <w:trHeight w:val="363"/>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 Organizaton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and the United Kingdom, supportng users in 100+ countries.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Unaudited condensed consolidated interim fnancial statements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51555C"/>
        </w:rPr>
        <w:t>The accompanying condensed consolidated interim fnancial statements have been prepared pursuant to the rules and regulatons of the United States Securites and Exchange Commission ("SEC") for interim fnancial reportng. These consolidated statements are unaudited and, in the opinion of management, include all adjustments (consistng of normal recurring adjustments and accruals) necessary to state fairly the consolidated balance sheets, consolidated statements of comprehensive income, consolidated statements of cash fows and consolidated statements of stockholders’ equity, for the periods presented in accordance with accountng principles generally accepted in the United States ("U.S.") ("GAAP"). The consolidated balance sheet at December 31, 2022 has been derived from the audited consolidated fnancial statements at that date. Operatng results and cash fows for the six months ended June 30, 2023 are not necessarily indicatve of the results that may be expected for the fscal year ending December 31, 2023, or any other future period. Certain informaton and footnote disclosures normally included in annual fnancial statements prepared in accordance with GAAP have been omited in accordance with the rules and regulatons for interim reportng of the SEC. These condensed consolidated interim fnancial statements should be read in conjuncton with the consolidated fnancial statements and notes thereto included in our Annual Report on Form 10-K for the year ended December 31, 2022, and other forms fled with the SEC from tme to tme.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of consolidaton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 condensed consolidated fnancial statements include the accounts of Blackbaud, Inc. and its wholly owned subsidiaries. All intercompany balances and transactons have been eliminated in consolidaton.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Reportable segment</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report our operatng results and fnancial informaton in one operatng and reportable segment. Our chief operatng decision maker uses consolidated fnancial informaton to make operatng decisions, assess fnancial performance and allocate resources. Our chief operatng decision maker is our chief executve ofcer.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Use of estmates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preparaton of fnancial statements in conformity with GAAP requires management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 including those that impact revenue recogniton, long-lived and intangible assets, income taxes, business combinatons, stock-based compensaton, capitalizaton of sofware and content development costs, our allowances for credit losses and sales returns, costs of obtaining contracts, valuaton of derivatve instruments, loss contngencies and insurance recoveries, among others. Changes in the facts or circumstances underlying these estmates could result in material changes and actual results could materially difer from these estmates.</w:t>
      </w:r>
    </w:p>
    <w:p>
      <w:pPr>
        <w:spacing w:after="0" w:line="332"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8</w:t>
      </w:r>
      <w:r>
        <w:rPr>
          <w:sz w:val="20"/>
          <w:szCs w:val="20"/>
          <w:color w:val="auto"/>
        </w:rPr>
        <w:tab/>
      </w:r>
      <w:r>
        <w:rPr>
          <w:sz w:val="1"/>
          <w:szCs w:val="1"/>
          <w:color w:val="auto"/>
        </w:rPr>
        <w:drawing>
          <wp:inline distT="0" distB="0" distL="0" distR="0">
            <wp:extent cx="65151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adopted accountng pronouncements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 xml:space="preserve">In September 2022, the Financial Accountng Standards Board issued Accountng Standards Update 2022-04, </w:t>
      </w:r>
      <w:r>
        <w:rPr>
          <w:rFonts w:ascii="Arial" w:cs="Arial" w:eastAsia="Arial" w:hAnsi="Arial"/>
          <w:sz w:val="18"/>
          <w:szCs w:val="18"/>
          <w:i w:val="1"/>
          <w:iCs w:val="1"/>
          <w:color w:val="51555C"/>
        </w:rPr>
        <w:t>Liabilites-Supplier Finance Programs</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(Subtopic 405-50): Disclosure of Supplier Finance Program Obligatons </w:t>
      </w:r>
      <w:r>
        <w:rPr>
          <w:rFonts w:ascii="Arial" w:cs="Arial" w:eastAsia="Arial" w:hAnsi="Arial"/>
          <w:sz w:val="18"/>
          <w:szCs w:val="18"/>
          <w:color w:val="51555C"/>
        </w:rPr>
        <w:t>("ASU 2022-04"). This update requires enttes that use supplier fnance programs</w:t>
      </w:r>
      <w:r>
        <w:rPr>
          <w:rFonts w:ascii="Arial" w:cs="Arial" w:eastAsia="Arial" w:hAnsi="Arial"/>
          <w:sz w:val="18"/>
          <w:szCs w:val="18"/>
          <w:i w:val="1"/>
          <w:iCs w:val="1"/>
          <w:color w:val="51555C"/>
        </w:rPr>
        <w:t xml:space="preserve"> </w:t>
      </w:r>
      <w:r>
        <w:rPr>
          <w:rFonts w:ascii="Arial" w:cs="Arial" w:eastAsia="Arial" w:hAnsi="Arial"/>
          <w:sz w:val="18"/>
          <w:szCs w:val="18"/>
          <w:color w:val="51555C"/>
        </w:rPr>
        <w:t>in connecton with the purchase of goods and services to disclose key terms of the programs and informaton about obligatons outstanding at the end of the reportng period, including a rollforward of those obligatons. The guidance does not afect the recogniton, measurement, or fnancial statement presentaton of supplier fnance programs. We adopted ASU 2022-04 on January 1, 2023 and the adopton did not have a material impact on our condensed consolidated fnancial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issued accountng pronouncements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There are no recently issued accountng pronouncements that we expect to have a material impact on our consolidated fnancial statements when adopted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Summary of signifcant accountng policies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There have been no material changes to our signifcant accountng policies described in our Annual Report on Form 10-K for the year ended December 31, 2022, fled with the SEC on February 24, 2023.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3.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51555C"/>
        </w:rPr>
        <w:t>We compute basic earnings (loss) per share by dividing net income (loss) available to common stockholders by the weighted average number of common shares outstanding during the period. Diluted earnings (loss) per share is computed by dividing net income (loss) available to common stockholders by the weighted average number of common shares and dilutve potental common shares outstanding during the period. Diluted earnings (loss) per share refects the assumed exercise, setlement and vestng of all dilutve securites using the “treasury stock method” except when the efect is ant-dilutve. Potentally dilutve securites consist of shares issuable upon the exercise of stock optons, setlement of stock appreciaton rights and vestng of restricted stock awards and units. Diluted loss per share for the three months ended June 30, 2022 and six months ended June 30, 2023 and 2022 was the same as basic loss per share as there were net losses each of those periods and inclusion of potentally dilutve securites was ant-dilutve.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computaton of basic and diluted earnings (loss) per share: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584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1060" w:type="dxa"/>
            <w:vAlign w:val="bottom"/>
            <w:shd w:val="clear" w:color="auto" w:fill="004054"/>
          </w:tcPr>
          <w:p>
            <w:pPr>
              <w:spacing w:after="0"/>
              <w:rPr>
                <w:sz w:val="15"/>
                <w:szCs w:val="15"/>
                <w:color w:val="auto"/>
              </w:rPr>
            </w:pPr>
          </w:p>
        </w:tc>
        <w:tc>
          <w:tcPr>
            <w:tcW w:w="13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w w:val="92"/>
              </w:rPr>
              <w:t>Three months ended</w:t>
            </w:r>
          </w:p>
        </w:tc>
        <w:tc>
          <w:tcPr>
            <w:tcW w:w="10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04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Six months ended</w:t>
            </w:r>
          </w:p>
        </w:tc>
      </w:tr>
      <w:tr>
        <w:trPr>
          <w:trHeight w:val="184"/>
        </w:trPr>
        <w:tc>
          <w:tcPr>
            <w:tcW w:w="20" w:type="dxa"/>
            <w:vAlign w:val="bottom"/>
            <w:shd w:val="clear" w:color="auto" w:fill="004054"/>
          </w:tcPr>
          <w:p>
            <w:pPr>
              <w:spacing w:after="0"/>
              <w:rPr>
                <w:sz w:val="15"/>
                <w:szCs w:val="15"/>
                <w:color w:val="auto"/>
              </w:rPr>
            </w:pPr>
          </w:p>
        </w:tc>
        <w:tc>
          <w:tcPr>
            <w:tcW w:w="584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106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04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29"/>
        </w:trPr>
        <w:tc>
          <w:tcPr>
            <w:tcW w:w="20" w:type="dxa"/>
            <w:vAlign w:val="bottom"/>
            <w:shd w:val="clear" w:color="auto" w:fill="004054"/>
          </w:tcPr>
          <w:p>
            <w:pPr>
              <w:spacing w:after="0"/>
              <w:rPr>
                <w:sz w:val="19"/>
                <w:szCs w:val="19"/>
                <w:color w:val="auto"/>
              </w:rPr>
            </w:pPr>
          </w:p>
        </w:tc>
        <w:tc>
          <w:tcPr>
            <w:tcW w:w="584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6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6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Pr>
          <w:p>
            <w:pPr>
              <w:spacing w:after="0"/>
              <w:rPr>
                <w:sz w:val="19"/>
                <w:szCs w:val="19"/>
                <w:color w:val="auto"/>
              </w:rPr>
            </w:pPr>
          </w:p>
        </w:tc>
        <w:tc>
          <w:tcPr>
            <w:tcW w:w="28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60" w:type="dxa"/>
            <w:vAlign w:val="bottom"/>
            <w:shd w:val="clear" w:color="auto" w:fill="004054"/>
          </w:tcPr>
          <w:p>
            <w:pPr>
              <w:spacing w:after="0"/>
              <w:rPr>
                <w:sz w:val="19"/>
                <w:szCs w:val="19"/>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584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Numerator:</w:t>
            </w: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51555C"/>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51555C"/>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2,105</w:t>
            </w:r>
          </w:p>
        </w:tc>
        <w:tc>
          <w:tcPr>
            <w:tcW w:w="260" w:type="dxa"/>
            <w:vAlign w:val="bottom"/>
          </w:tcPr>
          <w:p>
            <w:pPr>
              <w:jc w:val="right"/>
              <w:ind w:right="75"/>
              <w:spacing w:after="0"/>
              <w:rPr>
                <w:sz w:val="20"/>
                <w:szCs w:val="20"/>
                <w:color w:val="auto"/>
              </w:rPr>
            </w:pPr>
            <w:r>
              <w:rPr>
                <w:rFonts w:ascii="Arial" w:cs="Arial" w:eastAsia="Arial" w:hAnsi="Arial"/>
                <w:sz w:val="18"/>
                <w:szCs w:val="18"/>
                <w:color w:val="51555C"/>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(3,422)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51555C"/>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(12,596)</w:t>
            </w:r>
          </w:p>
        </w:tc>
        <w:tc>
          <w:tcPr>
            <w:tcW w:w="16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51555C"/>
              </w:rPr>
              <w:t>(13,829)</w:t>
            </w:r>
          </w:p>
        </w:tc>
      </w:tr>
      <w:tr>
        <w:trPr>
          <w:trHeight w:val="43"/>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Denominator:</w:t>
            </w: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51555C"/>
              </w:rPr>
              <w:t>Weighted average common shares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52,642,411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51,660,739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52,389,112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51,431,501</w:t>
            </w:r>
          </w:p>
        </w:tc>
      </w:tr>
      <w:tr>
        <w:trPr>
          <w:trHeight w:val="43"/>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efect of dilutve securites:</w:t>
            </w: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51555C"/>
              </w:rPr>
              <w:t>Stock-based awards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1,000,713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w:t>
            </w:r>
          </w:p>
        </w:tc>
      </w:tr>
      <w:tr>
        <w:trPr>
          <w:trHeight w:val="43"/>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6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104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160" w:type="dxa"/>
            <w:vAlign w:val="bottom"/>
            <w:tcBorders>
              <w:bottom w:val="single" w:sz="8" w:color="51555C"/>
            </w:tcBorders>
          </w:tcPr>
          <w:p>
            <w:pPr>
              <w:spacing w:after="0"/>
              <w:rPr>
                <w:sz w:val="3"/>
                <w:szCs w:val="3"/>
                <w:color w:val="auto"/>
              </w:rPr>
            </w:pPr>
          </w:p>
        </w:tc>
      </w:tr>
      <w:tr>
        <w:trPr>
          <w:trHeight w:val="268"/>
        </w:trPr>
        <w:tc>
          <w:tcPr>
            <w:tcW w:w="20" w:type="dxa"/>
            <w:vAlign w:val="bottom"/>
          </w:tcPr>
          <w:p>
            <w:pPr>
              <w:spacing w:after="0"/>
              <w:rPr>
                <w:sz w:val="22"/>
                <w:szCs w:val="22"/>
                <w:color w:val="auto"/>
              </w:rPr>
            </w:pPr>
          </w:p>
        </w:tc>
        <w:tc>
          <w:tcPr>
            <w:tcW w:w="58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Weighted average common shares assuming diluton</w:t>
            </w:r>
          </w:p>
        </w:tc>
        <w:tc>
          <w:tcPr>
            <w:tcW w:w="260" w:type="dxa"/>
            <w:vAlign w:val="bottom"/>
            <w:tcBorders>
              <w:bottom w:val="single" w:sz="8" w:color="EBFBFF"/>
            </w:tcBorders>
            <w:shd w:val="clear" w:color="auto" w:fill="EBFBFF"/>
          </w:tcPr>
          <w:p>
            <w:pPr>
              <w:spacing w:after="0"/>
              <w:rPr>
                <w:sz w:val="22"/>
                <w:szCs w:val="22"/>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53,643,124</w:t>
            </w:r>
          </w:p>
        </w:tc>
        <w:tc>
          <w:tcPr>
            <w:tcW w:w="260" w:type="dxa"/>
            <w:vAlign w:val="bottom"/>
            <w:tcBorders>
              <w:bottom w:val="single" w:sz="8" w:color="EBFBFF"/>
            </w:tcBorders>
            <w:shd w:val="clear" w:color="auto" w:fill="EBFBFF"/>
          </w:tcPr>
          <w:p>
            <w:pPr>
              <w:spacing w:after="0"/>
              <w:rPr>
                <w:sz w:val="22"/>
                <w:szCs w:val="22"/>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51,660,739</w:t>
            </w:r>
          </w:p>
        </w:tc>
        <w:tc>
          <w:tcPr>
            <w:tcW w:w="100" w:type="dxa"/>
            <w:vAlign w:val="bottom"/>
            <w:tcBorders>
              <w:bottom w:val="single" w:sz="8" w:color="EBFBFF"/>
            </w:tcBorders>
            <w:shd w:val="clear" w:color="auto" w:fill="EBFBFF"/>
          </w:tcPr>
          <w:p>
            <w:pPr>
              <w:spacing w:after="0"/>
              <w:rPr>
                <w:sz w:val="22"/>
                <w:szCs w:val="22"/>
                <w:color w:val="auto"/>
              </w:rPr>
            </w:pPr>
          </w:p>
        </w:tc>
        <w:tc>
          <w:tcPr>
            <w:tcW w:w="280" w:type="dxa"/>
            <w:vAlign w:val="bottom"/>
            <w:tcBorders>
              <w:bottom w:val="single" w:sz="8" w:color="EBFBFF"/>
            </w:tcBorders>
            <w:shd w:val="clear" w:color="auto" w:fill="EBFBFF"/>
          </w:tcPr>
          <w:p>
            <w:pPr>
              <w:spacing w:after="0"/>
              <w:rPr>
                <w:sz w:val="22"/>
                <w:szCs w:val="22"/>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52,389,112</w:t>
            </w:r>
          </w:p>
        </w:tc>
        <w:tc>
          <w:tcPr>
            <w:tcW w:w="160" w:type="dxa"/>
            <w:vAlign w:val="bottom"/>
            <w:tcBorders>
              <w:bottom w:val="single" w:sz="8" w:color="EBFBFF"/>
            </w:tcBorders>
            <w:shd w:val="clear" w:color="auto" w:fill="EBFBFF"/>
          </w:tcPr>
          <w:p>
            <w:pPr>
              <w:spacing w:after="0"/>
              <w:rPr>
                <w:sz w:val="22"/>
                <w:szCs w:val="22"/>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51,431,501</w:t>
            </w:r>
          </w:p>
        </w:tc>
      </w:tr>
      <w:tr>
        <w:trPr>
          <w:trHeight w:val="220"/>
        </w:trPr>
        <w:tc>
          <w:tcPr>
            <w:tcW w:w="20" w:type="dxa"/>
            <w:vAlign w:val="bottom"/>
          </w:tcPr>
          <w:p>
            <w:pPr>
              <w:spacing w:after="0"/>
              <w:rPr>
                <w:sz w:val="19"/>
                <w:szCs w:val="19"/>
                <w:color w:val="auto"/>
              </w:rPr>
            </w:pPr>
          </w:p>
        </w:tc>
        <w:tc>
          <w:tcPr>
            <w:tcW w:w="5840" w:type="dxa"/>
            <w:vAlign w:val="bottom"/>
            <w:tcBorders>
              <w:top w:val="single" w:sz="8" w:color="EBFBFF"/>
            </w:tcBorders>
          </w:tcPr>
          <w:p>
            <w:pPr>
              <w:ind w:left="20"/>
              <w:spacing w:after="0"/>
              <w:rPr>
                <w:sz w:val="20"/>
                <w:szCs w:val="20"/>
                <w:color w:val="auto"/>
              </w:rPr>
            </w:pPr>
            <w:r>
              <w:rPr>
                <w:rFonts w:ascii="Arial" w:cs="Arial" w:eastAsia="Arial" w:hAnsi="Arial"/>
                <w:sz w:val="18"/>
                <w:szCs w:val="18"/>
                <w:color w:val="51555C"/>
              </w:rPr>
              <w:t>Earnings (loss) per share</w:t>
            </w:r>
          </w:p>
        </w:tc>
        <w:tc>
          <w:tcPr>
            <w:tcW w:w="260" w:type="dxa"/>
            <w:vAlign w:val="bottom"/>
            <w:tcBorders>
              <w:top w:val="single" w:sz="8" w:color="51555C"/>
            </w:tcBorders>
          </w:tcPr>
          <w:p>
            <w:pPr>
              <w:spacing w:after="0"/>
              <w:rPr>
                <w:sz w:val="19"/>
                <w:szCs w:val="19"/>
                <w:color w:val="auto"/>
              </w:rPr>
            </w:pPr>
          </w:p>
        </w:tc>
        <w:tc>
          <w:tcPr>
            <w:tcW w:w="1060" w:type="dxa"/>
            <w:vAlign w:val="bottom"/>
            <w:tcBorders>
              <w:top w:val="single" w:sz="8" w:color="51555C"/>
            </w:tcBorders>
          </w:tcPr>
          <w:p>
            <w:pPr>
              <w:spacing w:after="0"/>
              <w:rPr>
                <w:sz w:val="19"/>
                <w:szCs w:val="19"/>
                <w:color w:val="auto"/>
              </w:rPr>
            </w:pPr>
          </w:p>
        </w:tc>
        <w:tc>
          <w:tcPr>
            <w:tcW w:w="260" w:type="dxa"/>
            <w:vAlign w:val="bottom"/>
            <w:tcBorders>
              <w:top w:val="single" w:sz="8" w:color="51555C"/>
            </w:tcBorders>
          </w:tcPr>
          <w:p>
            <w:pPr>
              <w:spacing w:after="0"/>
              <w:rPr>
                <w:sz w:val="19"/>
                <w:szCs w:val="19"/>
                <w:color w:val="auto"/>
              </w:rPr>
            </w:pPr>
          </w:p>
        </w:tc>
        <w:tc>
          <w:tcPr>
            <w:tcW w:w="1060" w:type="dxa"/>
            <w:vAlign w:val="bottom"/>
            <w:tcBorders>
              <w:top w:val="single" w:sz="8" w:color="51555C"/>
            </w:tcBorders>
          </w:tcPr>
          <w:p>
            <w:pPr>
              <w:spacing w:after="0"/>
              <w:rPr>
                <w:sz w:val="19"/>
                <w:szCs w:val="19"/>
                <w:color w:val="auto"/>
              </w:rPr>
            </w:pPr>
          </w:p>
        </w:tc>
        <w:tc>
          <w:tcPr>
            <w:tcW w:w="100" w:type="dxa"/>
            <w:vAlign w:val="bottom"/>
            <w:tcBorders>
              <w:top w:val="single" w:sz="8" w:color="EBFBFF"/>
            </w:tcBorders>
          </w:tcPr>
          <w:p>
            <w:pPr>
              <w:spacing w:after="0"/>
              <w:rPr>
                <w:sz w:val="19"/>
                <w:szCs w:val="19"/>
                <w:color w:val="auto"/>
              </w:rPr>
            </w:pPr>
          </w:p>
        </w:tc>
        <w:tc>
          <w:tcPr>
            <w:tcW w:w="280" w:type="dxa"/>
            <w:vAlign w:val="bottom"/>
            <w:tcBorders>
              <w:top w:val="single" w:sz="8" w:color="51555C"/>
            </w:tcBorders>
          </w:tcPr>
          <w:p>
            <w:pPr>
              <w:spacing w:after="0"/>
              <w:rPr>
                <w:sz w:val="19"/>
                <w:szCs w:val="19"/>
                <w:color w:val="auto"/>
              </w:rPr>
            </w:pPr>
          </w:p>
        </w:tc>
        <w:tc>
          <w:tcPr>
            <w:tcW w:w="1040" w:type="dxa"/>
            <w:vAlign w:val="bottom"/>
            <w:tcBorders>
              <w:top w:val="single" w:sz="8" w:color="51555C"/>
            </w:tcBorders>
          </w:tcPr>
          <w:p>
            <w:pPr>
              <w:spacing w:after="0"/>
              <w:rPr>
                <w:sz w:val="19"/>
                <w:szCs w:val="19"/>
                <w:color w:val="auto"/>
              </w:rPr>
            </w:pPr>
          </w:p>
        </w:tc>
        <w:tc>
          <w:tcPr>
            <w:tcW w:w="160" w:type="dxa"/>
            <w:vAlign w:val="bottom"/>
            <w:tcBorders>
              <w:top w:val="single" w:sz="8" w:color="51555C"/>
            </w:tcBorders>
          </w:tcPr>
          <w:p>
            <w:pPr>
              <w:spacing w:after="0"/>
              <w:rPr>
                <w:sz w:val="19"/>
                <w:szCs w:val="19"/>
                <w:color w:val="auto"/>
              </w:rPr>
            </w:pPr>
          </w:p>
        </w:tc>
        <w:tc>
          <w:tcPr>
            <w:tcW w:w="1160" w:type="dxa"/>
            <w:vAlign w:val="bottom"/>
            <w:tcBorders>
              <w:top w:val="single" w:sz="8" w:color="51555C"/>
            </w:tcBorders>
          </w:tcPr>
          <w:p>
            <w:pPr>
              <w:spacing w:after="0"/>
              <w:rPr>
                <w:sz w:val="19"/>
                <w:szCs w:val="19"/>
                <w:color w:val="auto"/>
              </w:rPr>
            </w:pPr>
          </w:p>
        </w:tc>
      </w:tr>
      <w:tr>
        <w:trPr>
          <w:trHeight w:val="43"/>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Basic</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7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0.04</w:t>
            </w:r>
          </w:p>
        </w:tc>
        <w:tc>
          <w:tcPr>
            <w:tcW w:w="260" w:type="dxa"/>
            <w:vAlign w:val="bottom"/>
            <w:tcBorders>
              <w:bottom w:val="single" w:sz="8" w:color="EBFBFF"/>
            </w:tcBorders>
            <w:shd w:val="clear" w:color="auto" w:fill="EBFBFF"/>
          </w:tcPr>
          <w:p>
            <w:pPr>
              <w:jc w:val="right"/>
              <w:ind w:right="75"/>
              <w:spacing w:after="0"/>
              <w:rPr>
                <w:sz w:val="20"/>
                <w:szCs w:val="20"/>
                <w:color w:val="auto"/>
              </w:rPr>
            </w:pPr>
            <w:r>
              <w:rPr>
                <w:rFonts w:ascii="Arial" w:cs="Arial" w:eastAsia="Arial" w:hAnsi="Arial"/>
                <w:sz w:val="18"/>
                <w:szCs w:val="18"/>
                <w:color w:val="51555C"/>
                <w:w w:val="7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(0.07)</w:t>
            </w:r>
          </w:p>
        </w:tc>
        <w:tc>
          <w:tcPr>
            <w:tcW w:w="38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Arial" w:cs="Arial" w:eastAsia="Arial" w:hAnsi="Arial"/>
                <w:sz w:val="18"/>
                <w:szCs w:val="18"/>
                <w:color w:val="51555C"/>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(0.24)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(0.27)</w:t>
            </w:r>
          </w:p>
        </w:tc>
      </w:tr>
      <w:tr>
        <w:trPr>
          <w:trHeight w:val="227"/>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Arial" w:cs="Arial" w:eastAsia="Arial" w:hAnsi="Arial"/>
                <w:sz w:val="18"/>
                <w:szCs w:val="18"/>
                <w:color w:val="51555C"/>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51555C"/>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0.04</w:t>
            </w:r>
          </w:p>
        </w:tc>
        <w:tc>
          <w:tcPr>
            <w:tcW w:w="260" w:type="dxa"/>
            <w:vAlign w:val="bottom"/>
          </w:tcPr>
          <w:p>
            <w:pPr>
              <w:jc w:val="right"/>
              <w:ind w:right="75"/>
              <w:spacing w:after="0"/>
              <w:rPr>
                <w:sz w:val="20"/>
                <w:szCs w:val="20"/>
                <w:color w:val="auto"/>
              </w:rPr>
            </w:pPr>
            <w:r>
              <w:rPr>
                <w:rFonts w:ascii="Arial" w:cs="Arial" w:eastAsia="Arial" w:hAnsi="Arial"/>
                <w:sz w:val="18"/>
                <w:szCs w:val="18"/>
                <w:color w:val="51555C"/>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51555C"/>
              </w:rPr>
              <w:t>(0.07)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51555C"/>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(0.24)</w:t>
            </w:r>
          </w:p>
        </w:tc>
        <w:tc>
          <w:tcPr>
            <w:tcW w:w="16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51555C"/>
              </w:rPr>
              <w:t>(0.27)</w:t>
            </w:r>
          </w:p>
        </w:tc>
      </w:tr>
      <w:tr>
        <w:trPr>
          <w:trHeight w:val="43"/>
        </w:trPr>
        <w:tc>
          <w:tcPr>
            <w:tcW w:w="20" w:type="dxa"/>
            <w:vAlign w:val="bottom"/>
          </w:tcPr>
          <w:p>
            <w:pPr>
              <w:spacing w:after="0"/>
              <w:rPr>
                <w:sz w:val="3"/>
                <w:szCs w:val="3"/>
                <w:color w:val="auto"/>
              </w:rPr>
            </w:pPr>
          </w:p>
        </w:tc>
        <w:tc>
          <w:tcPr>
            <w:tcW w:w="5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584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6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160" w:type="dxa"/>
            <w:vAlign w:val="bottom"/>
            <w:shd w:val="clear" w:color="auto" w:fill="EBFBFF"/>
          </w:tcPr>
          <w:p>
            <w:pPr>
              <w:spacing w:after="0"/>
              <w:rPr>
                <w:sz w:val="23"/>
                <w:szCs w:val="23"/>
                <w:color w:val="auto"/>
              </w:rPr>
            </w:pPr>
          </w:p>
        </w:tc>
      </w:tr>
      <w:tr>
        <w:trPr>
          <w:trHeight w:val="211"/>
        </w:trPr>
        <w:tc>
          <w:tcPr>
            <w:tcW w:w="20" w:type="dxa"/>
            <w:vAlign w:val="bottom"/>
          </w:tcPr>
          <w:p>
            <w:pPr>
              <w:spacing w:after="0"/>
              <w:rPr>
                <w:sz w:val="18"/>
                <w:szCs w:val="18"/>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51555C"/>
                <w:w w:val="98"/>
              </w:rPr>
              <w:t>Ant-dilutve shares excluded from calculatons of diluted earnings (loss) per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840" w:type="dxa"/>
            <w:vAlign w:val="bottom"/>
          </w:tcPr>
          <w:p>
            <w:pPr>
              <w:ind w:left="20"/>
              <w:spacing w:after="0"/>
              <w:rPr>
                <w:sz w:val="20"/>
                <w:szCs w:val="20"/>
                <w:color w:val="auto"/>
              </w:rPr>
            </w:pPr>
            <w:r>
              <w:rPr>
                <w:rFonts w:ascii="Arial" w:cs="Arial" w:eastAsia="Arial" w:hAnsi="Arial"/>
                <w:sz w:val="18"/>
                <w:szCs w:val="18"/>
                <w:color w:val="51555C"/>
              </w:rPr>
              <w:t>share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9,487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1,167,368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1,151,974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2,090,267</w:t>
            </w:r>
          </w:p>
        </w:tc>
      </w:tr>
      <w:tr>
        <w:trPr>
          <w:trHeight w:val="48"/>
        </w:trPr>
        <w:tc>
          <w:tcPr>
            <w:tcW w:w="20" w:type="dxa"/>
            <w:vAlign w:val="bottom"/>
          </w:tcPr>
          <w:p>
            <w:pPr>
              <w:spacing w:after="0"/>
              <w:rPr>
                <w:sz w:val="4"/>
                <w:szCs w:val="4"/>
                <w:color w:val="auto"/>
              </w:rPr>
            </w:pPr>
          </w:p>
        </w:tc>
        <w:tc>
          <w:tcPr>
            <w:tcW w:w="584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2480" w:type="dxa"/>
            <w:vAlign w:val="bottom"/>
            <w:tcBorders>
              <w:bottom w:val="single" w:sz="8" w:color="0CD973"/>
            </w:tcBorders>
            <w:gridSpan w:val="4"/>
          </w:tcPr>
          <w:p>
            <w:pPr>
              <w:spacing w:after="0"/>
              <w:rPr>
                <w:sz w:val="4"/>
                <w:szCs w:val="4"/>
                <w:color w:val="auto"/>
              </w:rPr>
            </w:pPr>
          </w:p>
        </w:tc>
        <w:tc>
          <w:tcPr>
            <w:tcW w:w="160" w:type="dxa"/>
            <w:vAlign w:val="bottom"/>
            <w:tcBorders>
              <w:bottom w:val="single" w:sz="8" w:color="0CD973"/>
            </w:tcBorders>
          </w:tcPr>
          <w:p>
            <w:pPr>
              <w:spacing w:after="0"/>
              <w:rPr>
                <w:sz w:val="4"/>
                <w:szCs w:val="4"/>
                <w:color w:val="auto"/>
              </w:rPr>
            </w:pPr>
          </w:p>
        </w:tc>
        <w:tc>
          <w:tcPr>
            <w:tcW w:w="1160" w:type="dxa"/>
            <w:vAlign w:val="bottom"/>
            <w:tcBorders>
              <w:bottom w:val="single" w:sz="8" w:color="0CD973"/>
            </w:tcBorders>
          </w:tcPr>
          <w:p>
            <w:pPr>
              <w:spacing w:after="0"/>
              <w:rPr>
                <w:sz w:val="4"/>
                <w:szCs w:val="4"/>
                <w:color w:val="auto"/>
              </w:rPr>
            </w:pPr>
          </w:p>
        </w:tc>
      </w:tr>
      <w:tr>
        <w:trPr>
          <w:trHeight w:val="651"/>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right"/>
              <w:ind w:right="272"/>
              <w:spacing w:after="0"/>
              <w:rPr>
                <w:sz w:val="20"/>
                <w:szCs w:val="20"/>
                <w:color w:val="auto"/>
              </w:rPr>
            </w:pPr>
            <w:r>
              <w:rPr>
                <w:rFonts w:ascii="Arial" w:cs="Arial" w:eastAsia="Arial" w:hAnsi="Arial"/>
                <w:sz w:val="14"/>
                <w:szCs w:val="14"/>
                <w:color w:val="51555C"/>
              </w:rPr>
              <w:t>Second Quarter 2023 Form 10-Q</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51555C"/>
              </w:rPr>
              <w:t>9</w:t>
            </w:r>
          </w:p>
        </w:tc>
      </w:tr>
      <w:tr>
        <w:trPr>
          <w:trHeight w:val="349"/>
        </w:trPr>
        <w:tc>
          <w:tcPr>
            <w:tcW w:w="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-3034030</wp:posOffset>
            </wp:positionV>
            <wp:extent cx="3402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-368300</wp:posOffset>
            </wp:positionV>
            <wp:extent cx="66040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4.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51555C"/>
        </w:rPr>
        <w:t>We use a three-ter fair value hierarchy to measure fair value. This hierarchy prioritzes the inputs into three broad levels as follows:</w:t>
      </w:r>
    </w:p>
    <w:p>
      <w:pPr>
        <w:spacing w:after="0" w:line="171"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Level 1 - Quoted prices for identcal assets or liabilites in actve markets;</w:t>
      </w:r>
    </w:p>
    <w:p>
      <w:pPr>
        <w:spacing w:after="0" w:line="171" w:lineRule="exact"/>
        <w:rPr>
          <w:rFonts w:ascii="Arial" w:cs="Arial" w:eastAsia="Arial" w:hAnsi="Arial"/>
          <w:sz w:val="18"/>
          <w:szCs w:val="18"/>
          <w:color w:val="51555C"/>
        </w:rPr>
      </w:pPr>
    </w:p>
    <w:p>
      <w:pPr>
        <w:ind w:left="740" w:hanging="327"/>
        <w:spacing w:after="0" w:line="303" w:lineRule="auto"/>
        <w:tabs>
          <w:tab w:leader="none" w:pos="740" w:val="left"/>
        </w:tabs>
        <w:numPr>
          <w:ilvl w:val="0"/>
          <w:numId w:val="5"/>
        </w:numPr>
        <w:rPr>
          <w:rFonts w:ascii="Arial" w:cs="Arial" w:eastAsia="Arial" w:hAnsi="Arial"/>
          <w:sz w:val="17"/>
          <w:szCs w:val="17"/>
          <w:color w:val="51555C"/>
        </w:rPr>
      </w:pPr>
      <w:r>
        <w:rPr>
          <w:rFonts w:ascii="Arial" w:cs="Arial" w:eastAsia="Arial" w:hAnsi="Arial"/>
          <w:sz w:val="17"/>
          <w:szCs w:val="17"/>
          <w:color w:val="51555C"/>
        </w:rPr>
        <w:t>Level 2 - Quoted prices for similar assets and liabilites in actve markets, quoted prices for identcal or similar assets in markets that are not actve, and model-derived valuatons in which all signifcant inputs and signifcant value drivers are observable in actve markets; and</w:t>
      </w:r>
    </w:p>
    <w:p>
      <w:pPr>
        <w:spacing w:after="0" w:line="100" w:lineRule="exact"/>
        <w:rPr>
          <w:rFonts w:ascii="Arial" w:cs="Arial" w:eastAsia="Arial" w:hAnsi="Arial"/>
          <w:sz w:val="17"/>
          <w:szCs w:val="17"/>
          <w:color w:val="51555C"/>
        </w:rPr>
      </w:pPr>
    </w:p>
    <w:p>
      <w:pPr>
        <w:ind w:left="740" w:hanging="327"/>
        <w:spacing w:after="0"/>
        <w:tabs>
          <w:tab w:leader="none" w:pos="74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Level 3 - Valuatons derived from valuaton techniques in which one or more signifcant inputs are unobservable.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Recurring fair value 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1555C"/>
        </w:rPr>
        <w:t>Financial assets and liabilites that are measured at fair value on a recurring basis consisted of the following, as of the dates indicated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004054"/>
          </w:tcPr>
          <w:p>
            <w:pPr>
              <w:spacing w:after="0"/>
              <w:rPr>
                <w:sz w:val="17"/>
                <w:szCs w:val="17"/>
                <w:color w:val="auto"/>
              </w:rPr>
            </w:pPr>
          </w:p>
        </w:tc>
        <w:tc>
          <w:tcPr>
            <w:tcW w:w="1580" w:type="dxa"/>
            <w:vAlign w:val="bottom"/>
            <w:shd w:val="clear" w:color="auto" w:fill="004054"/>
          </w:tcPr>
          <w:p>
            <w:pPr>
              <w:spacing w:after="0"/>
              <w:rPr>
                <w:sz w:val="17"/>
                <w:szCs w:val="17"/>
                <w:color w:val="auto"/>
              </w:rPr>
            </w:pPr>
          </w:p>
        </w:tc>
        <w:tc>
          <w:tcPr>
            <w:tcW w:w="33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32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2880" w:type="dxa"/>
            <w:vAlign w:val="bottom"/>
            <w:gridSpan w:val="4"/>
            <w:shd w:val="clear" w:color="auto" w:fill="004054"/>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2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r>
      <w:tr>
        <w:trPr>
          <w:trHeight w:val="204"/>
        </w:trPr>
        <w:tc>
          <w:tcPr>
            <w:tcW w:w="20" w:type="dxa"/>
            <w:vAlign w:val="bottom"/>
            <w:shd w:val="clear" w:color="auto" w:fill="004054"/>
          </w:tcPr>
          <w:p>
            <w:pPr>
              <w:spacing w:after="0"/>
              <w:rPr>
                <w:sz w:val="17"/>
                <w:szCs w:val="17"/>
                <w:color w:val="auto"/>
              </w:rPr>
            </w:pPr>
          </w:p>
        </w:tc>
        <w:tc>
          <w:tcPr>
            <w:tcW w:w="1580" w:type="dxa"/>
            <w:vAlign w:val="bottom"/>
            <w:shd w:val="clear" w:color="auto" w:fill="004054"/>
          </w:tcPr>
          <w:p>
            <w:pPr>
              <w:spacing w:after="0"/>
              <w:rPr>
                <w:sz w:val="17"/>
                <w:szCs w:val="17"/>
                <w:color w:val="auto"/>
              </w:rPr>
            </w:pPr>
          </w:p>
        </w:tc>
        <w:tc>
          <w:tcPr>
            <w:tcW w:w="3320" w:type="dxa"/>
            <w:vAlign w:val="bottom"/>
            <w:shd w:val="clear" w:color="auto" w:fill="004054"/>
          </w:tcPr>
          <w:p>
            <w:pPr>
              <w:spacing w:after="0"/>
              <w:rPr>
                <w:sz w:val="17"/>
                <w:szCs w:val="17"/>
                <w:color w:val="auto"/>
              </w:rPr>
            </w:pPr>
          </w:p>
        </w:tc>
        <w:tc>
          <w:tcPr>
            <w:tcW w:w="14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w w:val="95"/>
              </w:rPr>
              <w:t>Quoted Prices in Actve</w:t>
            </w:r>
          </w:p>
        </w:tc>
        <w:tc>
          <w:tcPr>
            <w:tcW w:w="2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2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34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r>
      <w:tr>
        <w:trPr>
          <w:trHeight w:val="175"/>
        </w:trPr>
        <w:tc>
          <w:tcPr>
            <w:tcW w:w="20" w:type="dxa"/>
            <w:vAlign w:val="bottom"/>
            <w:shd w:val="clear" w:color="auto" w:fill="004054"/>
          </w:tcPr>
          <w:p>
            <w:pPr>
              <w:spacing w:after="0"/>
              <w:rPr>
                <w:sz w:val="15"/>
                <w:szCs w:val="15"/>
                <w:color w:val="auto"/>
              </w:rPr>
            </w:pPr>
          </w:p>
        </w:tc>
        <w:tc>
          <w:tcPr>
            <w:tcW w:w="1580" w:type="dxa"/>
            <w:vAlign w:val="bottom"/>
            <w:shd w:val="clear" w:color="auto" w:fill="004054"/>
          </w:tcPr>
          <w:p>
            <w:pPr>
              <w:spacing w:after="0"/>
              <w:rPr>
                <w:sz w:val="15"/>
                <w:szCs w:val="15"/>
                <w:color w:val="auto"/>
              </w:rPr>
            </w:pPr>
          </w:p>
        </w:tc>
        <w:tc>
          <w:tcPr>
            <w:tcW w:w="33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8"/>
              </w:rPr>
              <w:t>Markets for Identcal</w:t>
            </w:r>
          </w:p>
        </w:tc>
        <w:tc>
          <w:tcPr>
            <w:tcW w:w="2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Signifcant Other</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Signifcant</w:t>
            </w:r>
          </w:p>
        </w:tc>
        <w:tc>
          <w:tcPr>
            <w:tcW w:w="1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r>
      <w:tr>
        <w:trPr>
          <w:trHeight w:val="176"/>
        </w:trPr>
        <w:tc>
          <w:tcPr>
            <w:tcW w:w="20" w:type="dxa"/>
            <w:vAlign w:val="bottom"/>
            <w:shd w:val="clear" w:color="auto" w:fill="004054"/>
          </w:tcPr>
          <w:p>
            <w:pPr>
              <w:spacing w:after="0"/>
              <w:rPr>
                <w:sz w:val="15"/>
                <w:szCs w:val="15"/>
                <w:color w:val="auto"/>
              </w:rPr>
            </w:pPr>
          </w:p>
        </w:tc>
        <w:tc>
          <w:tcPr>
            <w:tcW w:w="1580" w:type="dxa"/>
            <w:vAlign w:val="bottom"/>
            <w:shd w:val="clear" w:color="auto" w:fill="004054"/>
          </w:tcPr>
          <w:p>
            <w:pPr>
              <w:spacing w:after="0"/>
              <w:rPr>
                <w:sz w:val="15"/>
                <w:szCs w:val="15"/>
                <w:color w:val="auto"/>
              </w:rPr>
            </w:pPr>
          </w:p>
        </w:tc>
        <w:tc>
          <w:tcPr>
            <w:tcW w:w="33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3"/>
              </w:rPr>
              <w:t>Assets and Liabilites</w:t>
            </w:r>
          </w:p>
        </w:tc>
        <w:tc>
          <w:tcPr>
            <w:tcW w:w="2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8"/>
              </w:rPr>
              <w:t>Observable Inputs</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3"/>
              </w:rPr>
              <w:t>Unobservable Inputs</w:t>
            </w:r>
          </w:p>
        </w:tc>
        <w:tc>
          <w:tcPr>
            <w:tcW w:w="1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r>
      <w:tr>
        <w:trPr>
          <w:trHeight w:val="184"/>
        </w:trPr>
        <w:tc>
          <w:tcPr>
            <w:tcW w:w="20" w:type="dxa"/>
            <w:vAlign w:val="bottom"/>
            <w:shd w:val="clear" w:color="auto" w:fill="004054"/>
          </w:tcPr>
          <w:p>
            <w:pPr>
              <w:spacing w:after="0"/>
              <w:rPr>
                <w:sz w:val="15"/>
                <w:szCs w:val="15"/>
                <w:color w:val="auto"/>
              </w:rPr>
            </w:pPr>
          </w:p>
        </w:tc>
        <w:tc>
          <w:tcPr>
            <w:tcW w:w="158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(Level 1)</w:t>
            </w:r>
          </w:p>
        </w:tc>
        <w:tc>
          <w:tcPr>
            <w:tcW w:w="2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(Level 2)</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(Level 3)</w:t>
            </w:r>
          </w:p>
        </w:tc>
        <w:tc>
          <w:tcPr>
            <w:tcW w:w="1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70"/>
        </w:trPr>
        <w:tc>
          <w:tcPr>
            <w:tcW w:w="20" w:type="dxa"/>
            <w:vAlign w:val="bottom"/>
            <w:shd w:val="clear" w:color="auto" w:fill="004054"/>
          </w:tcPr>
          <w:p>
            <w:pPr>
              <w:spacing w:after="0"/>
              <w:rPr>
                <w:sz w:val="6"/>
                <w:szCs w:val="6"/>
                <w:color w:val="auto"/>
              </w:rPr>
            </w:pPr>
          </w:p>
        </w:tc>
        <w:tc>
          <w:tcPr>
            <w:tcW w:w="4900" w:type="dxa"/>
            <w:vAlign w:val="bottom"/>
            <w:gridSpan w:val="2"/>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3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40" w:type="dxa"/>
            <w:vAlign w:val="bottom"/>
            <w:shd w:val="clear" w:color="auto" w:fill="004054"/>
          </w:tcPr>
          <w:p>
            <w:pPr>
              <w:spacing w:after="0"/>
              <w:rPr>
                <w:sz w:val="6"/>
                <w:szCs w:val="6"/>
                <w:color w:val="auto"/>
              </w:rPr>
            </w:pPr>
          </w:p>
        </w:tc>
        <w:tc>
          <w:tcPr>
            <w:tcW w:w="126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1340" w:type="dxa"/>
            <w:vAlign w:val="bottom"/>
            <w:shd w:val="clear" w:color="auto" w:fill="004054"/>
          </w:tcPr>
          <w:p>
            <w:pPr>
              <w:spacing w:after="0"/>
              <w:rPr>
                <w:sz w:val="6"/>
                <w:szCs w:val="6"/>
                <w:color w:val="auto"/>
              </w:rPr>
            </w:pPr>
          </w:p>
        </w:tc>
        <w:tc>
          <w:tcPr>
            <w:tcW w:w="1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June 30, 2023</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51555C"/>
              </w:rPr>
              <w:t>Financial assets:</w:t>
            </w:r>
          </w:p>
        </w:tc>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1"/>
        </w:trPr>
        <w:tc>
          <w:tcPr>
            <w:tcW w:w="20" w:type="dxa"/>
            <w:vAlign w:val="bottom"/>
          </w:tcPr>
          <w:p>
            <w:pPr>
              <w:spacing w:after="0"/>
              <w:rPr>
                <w:sz w:val="22"/>
                <w:szCs w:val="22"/>
                <w:color w:val="auto"/>
              </w:rPr>
            </w:pPr>
          </w:p>
        </w:tc>
        <w:tc>
          <w:tcPr>
            <w:tcW w:w="158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i w:val="1"/>
                <w:iCs w:val="1"/>
                <w:color w:val="51555C"/>
                <w:w w:val="94"/>
              </w:rPr>
              <w:t>Interest rate swaps</w:t>
            </w:r>
          </w:p>
        </w:tc>
        <w:tc>
          <w:tcPr>
            <w:tcW w:w="3320" w:type="dxa"/>
            <w:vAlign w:val="bottom"/>
            <w:tcBorders>
              <w:bottom w:val="single" w:sz="8" w:color="EBFBFF"/>
            </w:tcBorders>
            <w:shd w:val="clear" w:color="auto" w:fill="EBFBFF"/>
          </w:tcPr>
          <w:p>
            <w:pPr>
              <w:spacing w:after="0"/>
              <w:rPr>
                <w:sz w:val="22"/>
                <w:szCs w:val="22"/>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gridSpan w:val="3"/>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26,978</w:t>
            </w:r>
          </w:p>
        </w:tc>
        <w:tc>
          <w:tcPr>
            <w:tcW w:w="2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26,978</w:t>
            </w:r>
          </w:p>
        </w:tc>
      </w:tr>
      <w:tr>
        <w:trPr>
          <w:trHeight w:val="220"/>
        </w:trPr>
        <w:tc>
          <w:tcPr>
            <w:tcW w:w="20" w:type="dxa"/>
            <w:vAlign w:val="bottom"/>
          </w:tcPr>
          <w:p>
            <w:pPr>
              <w:spacing w:after="0"/>
              <w:rPr>
                <w:sz w:val="19"/>
                <w:szCs w:val="19"/>
                <w:color w:val="auto"/>
              </w:rPr>
            </w:pPr>
          </w:p>
        </w:tc>
        <w:tc>
          <w:tcPr>
            <w:tcW w:w="4900" w:type="dxa"/>
            <w:vAlign w:val="bottom"/>
            <w:tcBorders>
              <w:top w:val="single" w:sz="8" w:color="EBFBFF"/>
            </w:tcBorders>
            <w:gridSpan w:val="2"/>
          </w:tcPr>
          <w:p>
            <w:pPr>
              <w:ind w:left="220"/>
              <w:spacing w:after="0"/>
              <w:rPr>
                <w:sz w:val="20"/>
                <w:szCs w:val="20"/>
                <w:color w:val="auto"/>
              </w:rPr>
            </w:pPr>
            <w:r>
              <w:rPr>
                <w:rFonts w:ascii="Arial" w:cs="Arial" w:eastAsia="Arial" w:hAnsi="Arial"/>
                <w:sz w:val="18"/>
                <w:szCs w:val="18"/>
                <w:color w:val="51555C"/>
              </w:rPr>
              <w:t>Total fnancial assets</w:t>
            </w:r>
          </w:p>
        </w:tc>
        <w:tc>
          <w:tcPr>
            <w:tcW w:w="1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top w:val="single" w:sz="8" w:color="51555C"/>
            </w:tcBorders>
          </w:tcPr>
          <w:p>
            <w:pPr>
              <w:ind w:left="1100"/>
              <w:spacing w:after="0"/>
              <w:rPr>
                <w:sz w:val="20"/>
                <w:szCs w:val="20"/>
                <w:color w:val="auto"/>
              </w:rPr>
            </w:pPr>
            <w:r>
              <w:rPr>
                <w:rFonts w:ascii="Arial" w:cs="Arial" w:eastAsia="Arial" w:hAnsi="Arial"/>
                <w:sz w:val="18"/>
                <w:szCs w:val="18"/>
                <w:color w:val="51555C"/>
              </w:rPr>
              <w:t>—</w:t>
            </w:r>
          </w:p>
        </w:tc>
        <w:tc>
          <w:tcPr>
            <w:tcW w:w="20" w:type="dxa"/>
            <w:vAlign w:val="bottom"/>
            <w:tcBorders>
              <w:top w:val="single" w:sz="8" w:color="51555C"/>
            </w:tcBorders>
          </w:tcPr>
          <w:p>
            <w:pPr>
              <w:spacing w:after="0"/>
              <w:rPr>
                <w:sz w:val="19"/>
                <w:szCs w:val="19"/>
                <w:color w:val="auto"/>
              </w:rPr>
            </w:pPr>
          </w:p>
        </w:tc>
        <w:tc>
          <w:tcPr>
            <w:tcW w:w="100" w:type="dxa"/>
            <w:vAlign w:val="bottom"/>
            <w:tcBorders>
              <w:top w:val="single" w:sz="8" w:color="EBFBFF"/>
            </w:tcBorders>
          </w:tcPr>
          <w:p>
            <w:pPr>
              <w:spacing w:after="0"/>
              <w:rPr>
                <w:sz w:val="19"/>
                <w:szCs w:val="19"/>
                <w:color w:val="auto"/>
              </w:rPr>
            </w:pPr>
          </w:p>
        </w:tc>
        <w:tc>
          <w:tcPr>
            <w:tcW w:w="240" w:type="dxa"/>
            <w:vAlign w:val="bottom"/>
            <w:tcBorders>
              <w:top w:val="single" w:sz="8" w:color="51555C"/>
            </w:tcBorders>
          </w:tcPr>
          <w:p>
            <w:pPr>
              <w:jc w:val="right"/>
              <w:ind w:right="30"/>
              <w:spacing w:after="0"/>
              <w:rPr>
                <w:sz w:val="20"/>
                <w:szCs w:val="20"/>
                <w:color w:val="auto"/>
              </w:rPr>
            </w:pPr>
            <w:r>
              <w:rPr>
                <w:rFonts w:ascii="Arial" w:cs="Arial" w:eastAsia="Arial" w:hAnsi="Arial"/>
                <w:sz w:val="18"/>
                <w:szCs w:val="18"/>
                <w:color w:val="51555C"/>
                <w:w w:val="99"/>
              </w:rPr>
              <w:t>$</w:t>
            </w:r>
          </w:p>
        </w:tc>
        <w:tc>
          <w:tcPr>
            <w:tcW w:w="12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26,978</w:t>
            </w:r>
          </w:p>
        </w:tc>
        <w:tc>
          <w:tcPr>
            <w:tcW w:w="100" w:type="dxa"/>
            <w:vAlign w:val="bottom"/>
            <w:tcBorders>
              <w:top w:val="single" w:sz="8" w:color="EBFBFF"/>
            </w:tcBorders>
          </w:tcPr>
          <w:p>
            <w:pPr>
              <w:spacing w:after="0"/>
              <w:rPr>
                <w:sz w:val="19"/>
                <w:szCs w:val="19"/>
                <w:color w:val="auto"/>
              </w:rPr>
            </w:pP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20" w:type="dxa"/>
            <w:vAlign w:val="bottom"/>
            <w:tcBorders>
              <w:top w:val="single" w:sz="8" w:color="EBFBFF"/>
            </w:tcBorders>
          </w:tcPr>
          <w:p>
            <w:pPr>
              <w:spacing w:after="0"/>
              <w:rPr>
                <w:sz w:val="19"/>
                <w:szCs w:val="19"/>
                <w:color w:val="auto"/>
              </w:rPr>
            </w:pPr>
          </w:p>
        </w:tc>
        <w:tc>
          <w:tcPr>
            <w:tcW w:w="50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79"/>
              </w:rPr>
              <w:t>$</w:t>
            </w:r>
          </w:p>
        </w:tc>
        <w:tc>
          <w:tcPr>
            <w:tcW w:w="9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26,978</w:t>
            </w:r>
          </w:p>
        </w:tc>
      </w:tr>
      <w:tr>
        <w:trPr>
          <w:trHeight w:val="43"/>
        </w:trPr>
        <w:tc>
          <w:tcPr>
            <w:tcW w:w="20" w:type="dxa"/>
            <w:vAlign w:val="bottom"/>
          </w:tcPr>
          <w:p>
            <w:pPr>
              <w:spacing w:after="0"/>
              <w:rPr>
                <w:sz w:val="3"/>
                <w:szCs w:val="3"/>
                <w:color w:val="auto"/>
              </w:rPr>
            </w:pPr>
          </w:p>
        </w:tc>
        <w:tc>
          <w:tcPr>
            <w:tcW w:w="4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900" w:type="dxa"/>
            <w:vAlign w:val="bottom"/>
            <w:gridSpan w:val="2"/>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2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34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500" w:type="dxa"/>
            <w:vAlign w:val="bottom"/>
            <w:shd w:val="clear" w:color="auto" w:fill="EBFBFF"/>
          </w:tcPr>
          <w:p>
            <w:pPr>
              <w:spacing w:after="0"/>
              <w:rPr>
                <w:sz w:val="23"/>
                <w:szCs w:val="23"/>
                <w:color w:val="auto"/>
              </w:rPr>
            </w:pPr>
          </w:p>
        </w:tc>
        <w:tc>
          <w:tcPr>
            <w:tcW w:w="980" w:type="dxa"/>
            <w:vAlign w:val="bottom"/>
            <w:shd w:val="clear" w:color="auto" w:fill="EBFBFF"/>
          </w:tcPr>
          <w:p>
            <w:pPr>
              <w:spacing w:after="0"/>
              <w:rPr>
                <w:sz w:val="23"/>
                <w:szCs w:val="23"/>
                <w:color w:val="auto"/>
              </w:rPr>
            </w:pPr>
          </w:p>
        </w:tc>
      </w:tr>
      <w:tr>
        <w:trPr>
          <w:trHeight w:val="231"/>
        </w:trPr>
        <w:tc>
          <w:tcPr>
            <w:tcW w:w="2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51555C"/>
              </w:rPr>
              <w:t>Fair value as of June 30, 2023</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15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Financial liabilites:</w:t>
            </w:r>
          </w:p>
        </w:tc>
        <w:tc>
          <w:tcPr>
            <w:tcW w:w="33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580" w:type="dxa"/>
            <w:vAlign w:val="bottom"/>
          </w:tcPr>
          <w:p>
            <w:pPr>
              <w:ind w:left="120"/>
              <w:spacing w:after="0"/>
              <w:rPr>
                <w:sz w:val="20"/>
                <w:szCs w:val="20"/>
                <w:color w:val="auto"/>
              </w:rPr>
            </w:pPr>
            <w:r>
              <w:rPr>
                <w:rFonts w:ascii="Arial" w:cs="Arial" w:eastAsia="Arial" w:hAnsi="Arial"/>
                <w:sz w:val="18"/>
                <w:szCs w:val="18"/>
                <w:i w:val="1"/>
                <w:iCs w:val="1"/>
                <w:color w:val="51555C"/>
                <w:w w:val="94"/>
              </w:rPr>
              <w:t>Interest rate swaps</w:t>
            </w:r>
          </w:p>
        </w:tc>
        <w:tc>
          <w:tcPr>
            <w:tcW w:w="3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Pr>
          <w:p>
            <w:pPr>
              <w:ind w:left="1100"/>
              <w:spacing w:after="0"/>
              <w:rPr>
                <w:sz w:val="20"/>
                <w:szCs w:val="20"/>
                <w:color w:val="auto"/>
              </w:rPr>
            </w:pPr>
            <w:r>
              <w:rPr>
                <w:rFonts w:ascii="Arial" w:cs="Arial" w:eastAsia="Arial" w:hAnsi="Arial"/>
                <w:sz w:val="18"/>
                <w:szCs w:val="18"/>
                <w:color w:val="51555C"/>
              </w:rPr>
              <w:t>—</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Pr>
          <w:p>
            <w:pPr>
              <w:jc w:val="right"/>
              <w:spacing w:after="0"/>
              <w:rPr>
                <w:sz w:val="20"/>
                <w:szCs w:val="20"/>
                <w:color w:val="auto"/>
              </w:rPr>
            </w:pPr>
            <w:r>
              <w:rPr>
                <w:rFonts w:ascii="Arial" w:cs="Arial" w:eastAsia="Arial" w:hAnsi="Arial"/>
                <w:sz w:val="18"/>
                <w:szCs w:val="18"/>
                <w:color w:val="51555C"/>
              </w:rPr>
              <w:t>1,774</w:t>
            </w:r>
          </w:p>
        </w:tc>
        <w:tc>
          <w:tcPr>
            <w:tcW w:w="280" w:type="dxa"/>
            <w:vAlign w:val="bottom"/>
            <w:gridSpan w:val="2"/>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Pr>
          <w:p>
            <w:pPr>
              <w:jc w:val="right"/>
              <w:spacing w:after="0"/>
              <w:rPr>
                <w:sz w:val="20"/>
                <w:szCs w:val="20"/>
                <w:color w:val="auto"/>
              </w:rPr>
            </w:pPr>
            <w:r>
              <w:rPr>
                <w:rFonts w:ascii="Arial" w:cs="Arial" w:eastAsia="Arial" w:hAnsi="Arial"/>
                <w:sz w:val="18"/>
                <w:szCs w:val="18"/>
                <w:color w:val="51555C"/>
              </w:rPr>
              <w:t>—</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Pr>
          <w:p>
            <w:pPr>
              <w:jc w:val="right"/>
              <w:spacing w:after="0"/>
              <w:rPr>
                <w:sz w:val="20"/>
                <w:szCs w:val="20"/>
                <w:color w:val="auto"/>
              </w:rPr>
            </w:pPr>
            <w:r>
              <w:rPr>
                <w:rFonts w:ascii="Arial" w:cs="Arial" w:eastAsia="Arial" w:hAnsi="Arial"/>
                <w:sz w:val="18"/>
                <w:szCs w:val="18"/>
                <w:color w:val="51555C"/>
              </w:rPr>
              <w:t>1,774</w:t>
            </w:r>
          </w:p>
        </w:tc>
      </w:tr>
      <w:tr>
        <w:trPr>
          <w:trHeight w:val="43"/>
        </w:trPr>
        <w:tc>
          <w:tcPr>
            <w:tcW w:w="20" w:type="dxa"/>
            <w:vAlign w:val="bottom"/>
          </w:tcPr>
          <w:p>
            <w:pPr>
              <w:spacing w:after="0"/>
              <w:rPr>
                <w:sz w:val="3"/>
                <w:szCs w:val="3"/>
                <w:color w:val="auto"/>
              </w:rPr>
            </w:pPr>
          </w:p>
        </w:tc>
        <w:tc>
          <w:tcPr>
            <w:tcW w:w="4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120"/>
              <w:spacing w:after="0"/>
              <w:rPr>
                <w:sz w:val="20"/>
                <w:szCs w:val="20"/>
                <w:color w:val="auto"/>
              </w:rPr>
            </w:pPr>
            <w:r>
              <w:rPr>
                <w:rFonts w:ascii="Arial" w:cs="Arial" w:eastAsia="Arial" w:hAnsi="Arial"/>
                <w:sz w:val="18"/>
                <w:szCs w:val="18"/>
                <w:i w:val="1"/>
                <w:iCs w:val="1"/>
                <w:color w:val="51555C"/>
              </w:rPr>
              <w:t>Foreign currency forward contracts</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693</w:t>
            </w: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693</w:t>
            </w:r>
          </w:p>
        </w:tc>
      </w:tr>
      <w:tr>
        <w:trPr>
          <w:trHeight w:val="235"/>
        </w:trPr>
        <w:tc>
          <w:tcPr>
            <w:tcW w:w="2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51555C"/>
              </w:rPr>
              <w:t>Contngent consideraton obligatons</w:t>
            </w:r>
          </w:p>
        </w:tc>
        <w:tc>
          <w:tcPr>
            <w:tcW w:w="160" w:type="dxa"/>
            <w:vAlign w:val="bottom"/>
          </w:tcPr>
          <w:p>
            <w:pPr>
              <w:spacing w:after="0"/>
              <w:rPr>
                <w:sz w:val="20"/>
                <w:szCs w:val="20"/>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51555C"/>
              </w:rPr>
              <w:t>1,379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1,379</w:t>
            </w:r>
          </w:p>
        </w:tc>
      </w:tr>
      <w:tr>
        <w:trPr>
          <w:trHeight w:val="35"/>
        </w:trPr>
        <w:tc>
          <w:tcPr>
            <w:tcW w:w="20" w:type="dxa"/>
            <w:vAlign w:val="bottom"/>
          </w:tcPr>
          <w:p>
            <w:pPr>
              <w:spacing w:after="0"/>
              <w:rPr>
                <w:sz w:val="3"/>
                <w:szCs w:val="3"/>
                <w:color w:val="auto"/>
              </w:rPr>
            </w:pPr>
          </w:p>
        </w:tc>
        <w:tc>
          <w:tcPr>
            <w:tcW w:w="4900" w:type="dxa"/>
            <w:vAlign w:val="bottom"/>
            <w:gridSpan w:val="2"/>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32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51555C"/>
            </w:tcBorders>
          </w:tcPr>
          <w:p>
            <w:pPr>
              <w:spacing w:after="0"/>
              <w:rPr>
                <w:sz w:val="3"/>
                <w:szCs w:val="3"/>
                <w:color w:val="auto"/>
              </w:rPr>
            </w:pPr>
          </w:p>
        </w:tc>
        <w:tc>
          <w:tcPr>
            <w:tcW w:w="126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51555C"/>
            </w:tcBorders>
          </w:tcPr>
          <w:p>
            <w:pPr>
              <w:spacing w:after="0"/>
              <w:rPr>
                <w:sz w:val="3"/>
                <w:szCs w:val="3"/>
                <w:color w:val="auto"/>
              </w:rPr>
            </w:pPr>
          </w:p>
        </w:tc>
        <w:tc>
          <w:tcPr>
            <w:tcW w:w="1340" w:type="dxa"/>
            <w:vAlign w:val="bottom"/>
            <w:tcBorders>
              <w:bottom w:val="single" w:sz="8" w:color="51555C"/>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220"/>
              <w:spacing w:after="0"/>
              <w:rPr>
                <w:sz w:val="20"/>
                <w:szCs w:val="20"/>
                <w:color w:val="auto"/>
              </w:rPr>
            </w:pPr>
            <w:r>
              <w:rPr>
                <w:rFonts w:ascii="Arial" w:cs="Arial" w:eastAsia="Arial" w:hAnsi="Arial"/>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gridSpan w:val="3"/>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2,467</w:t>
            </w:r>
          </w:p>
        </w:tc>
        <w:tc>
          <w:tcPr>
            <w:tcW w:w="2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1,379</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3,846</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December 31, 2022</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51555C"/>
              </w:rPr>
              <w:t>Financial assets:</w:t>
            </w:r>
          </w:p>
        </w:tc>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
        </w:trPr>
        <w:tc>
          <w:tcPr>
            <w:tcW w:w="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158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i w:val="1"/>
                <w:iCs w:val="1"/>
                <w:color w:val="51555C"/>
                <w:w w:val="94"/>
              </w:rPr>
              <w:t>Interest rate swaps</w:t>
            </w:r>
          </w:p>
        </w:tc>
        <w:tc>
          <w:tcPr>
            <w:tcW w:w="33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gridSpan w:val="3"/>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31,870</w:t>
            </w:r>
          </w:p>
        </w:tc>
        <w:tc>
          <w:tcPr>
            <w:tcW w:w="2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31,870</w:t>
            </w:r>
          </w:p>
        </w:tc>
      </w:tr>
      <w:tr>
        <w:trPr>
          <w:trHeight w:val="235"/>
        </w:trPr>
        <w:tc>
          <w:tcPr>
            <w:tcW w:w="20" w:type="dxa"/>
            <w:vAlign w:val="bottom"/>
          </w:tcPr>
          <w:p>
            <w:pPr>
              <w:spacing w:after="0"/>
              <w:rPr>
                <w:sz w:val="20"/>
                <w:szCs w:val="20"/>
                <w:color w:val="auto"/>
              </w:rPr>
            </w:pPr>
          </w:p>
        </w:tc>
        <w:tc>
          <w:tcPr>
            <w:tcW w:w="4900" w:type="dxa"/>
            <w:vAlign w:val="bottom"/>
            <w:gridSpan w:val="2"/>
          </w:tcPr>
          <w:p>
            <w:pPr>
              <w:ind w:left="120"/>
              <w:spacing w:after="0"/>
              <w:rPr>
                <w:sz w:val="20"/>
                <w:szCs w:val="20"/>
                <w:color w:val="auto"/>
              </w:rPr>
            </w:pPr>
            <w:r>
              <w:rPr>
                <w:rFonts w:ascii="Arial" w:cs="Arial" w:eastAsia="Arial" w:hAnsi="Arial"/>
                <w:sz w:val="18"/>
                <w:szCs w:val="18"/>
                <w:i w:val="1"/>
                <w:iCs w:val="1"/>
                <w:color w:val="51555C"/>
              </w:rPr>
              <w:t>Foreign currency forward contracts</w:t>
            </w:r>
          </w:p>
        </w:tc>
        <w:tc>
          <w:tcPr>
            <w:tcW w:w="160" w:type="dxa"/>
            <w:vAlign w:val="bottom"/>
          </w:tcPr>
          <w:p>
            <w:pPr>
              <w:spacing w:after="0"/>
              <w:rPr>
                <w:sz w:val="20"/>
                <w:szCs w:val="20"/>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247</w:t>
            </w:r>
          </w:p>
        </w:tc>
      </w:tr>
      <w:tr>
        <w:trPr>
          <w:trHeight w:val="35"/>
        </w:trPr>
        <w:tc>
          <w:tcPr>
            <w:tcW w:w="20" w:type="dxa"/>
            <w:vAlign w:val="bottom"/>
          </w:tcPr>
          <w:p>
            <w:pPr>
              <w:spacing w:after="0"/>
              <w:rPr>
                <w:sz w:val="3"/>
                <w:szCs w:val="3"/>
                <w:color w:val="auto"/>
              </w:rPr>
            </w:pPr>
          </w:p>
        </w:tc>
        <w:tc>
          <w:tcPr>
            <w:tcW w:w="4900" w:type="dxa"/>
            <w:vAlign w:val="bottom"/>
            <w:gridSpan w:val="2"/>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32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51555C"/>
            </w:tcBorders>
          </w:tcPr>
          <w:p>
            <w:pPr>
              <w:spacing w:after="0"/>
              <w:rPr>
                <w:sz w:val="3"/>
                <w:szCs w:val="3"/>
                <w:color w:val="auto"/>
              </w:rPr>
            </w:pPr>
          </w:p>
        </w:tc>
        <w:tc>
          <w:tcPr>
            <w:tcW w:w="126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51555C"/>
            </w:tcBorders>
          </w:tcPr>
          <w:p>
            <w:pPr>
              <w:spacing w:after="0"/>
              <w:rPr>
                <w:sz w:val="3"/>
                <w:szCs w:val="3"/>
                <w:color w:val="auto"/>
              </w:rPr>
            </w:pPr>
          </w:p>
        </w:tc>
        <w:tc>
          <w:tcPr>
            <w:tcW w:w="1340" w:type="dxa"/>
            <w:vAlign w:val="bottom"/>
            <w:tcBorders>
              <w:bottom w:val="single" w:sz="8" w:color="51555C"/>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220"/>
              <w:spacing w:after="0"/>
              <w:rPr>
                <w:sz w:val="20"/>
                <w:szCs w:val="20"/>
                <w:color w:val="auto"/>
              </w:rPr>
            </w:pPr>
            <w:r>
              <w:rPr>
                <w:rFonts w:ascii="Arial" w:cs="Arial" w:eastAsia="Arial" w:hAnsi="Arial"/>
                <w:sz w:val="18"/>
                <w:szCs w:val="18"/>
                <w:color w:val="51555C"/>
              </w:rPr>
              <w:t>Total fnancial assets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gridSpan w:val="3"/>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32,117</w:t>
            </w:r>
          </w:p>
        </w:tc>
        <w:tc>
          <w:tcPr>
            <w:tcW w:w="2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32,117</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December 31, 2022</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51555C"/>
              </w:rPr>
              <w:t>Financial liabilites:</w:t>
            </w:r>
          </w:p>
        </w:tc>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
        </w:trPr>
        <w:tc>
          <w:tcPr>
            <w:tcW w:w="20" w:type="dxa"/>
            <w:vAlign w:val="bottom"/>
          </w:tcPr>
          <w:p>
            <w:pPr>
              <w:spacing w:after="0"/>
              <w:rPr>
                <w:sz w:val="3"/>
                <w:szCs w:val="3"/>
                <w:color w:val="auto"/>
              </w:rPr>
            </w:pPr>
          </w:p>
        </w:tc>
        <w:tc>
          <w:tcPr>
            <w:tcW w:w="49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EBFBFF"/>
            </w:tcBorders>
            <w:gridSpan w:val="2"/>
            <w:shd w:val="clear" w:color="auto" w:fill="EBFBFF"/>
          </w:tcPr>
          <w:p>
            <w:pPr>
              <w:ind w:left="120"/>
              <w:spacing w:after="0"/>
              <w:rPr>
                <w:sz w:val="20"/>
                <w:szCs w:val="20"/>
                <w:color w:val="auto"/>
              </w:rPr>
            </w:pPr>
            <w:r>
              <w:rPr>
                <w:rFonts w:ascii="Arial" w:cs="Arial" w:eastAsia="Arial" w:hAnsi="Arial"/>
                <w:sz w:val="18"/>
                <w:szCs w:val="18"/>
                <w:i w:val="1"/>
                <w:iCs w:val="1"/>
                <w:color w:val="51555C"/>
              </w:rPr>
              <w:t>Foreign currency forward contracts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gridSpan w:val="3"/>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c>
          <w:tcPr>
            <w:tcW w:w="2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r>
      <w:tr>
        <w:trPr>
          <w:trHeight w:val="235"/>
        </w:trPr>
        <w:tc>
          <w:tcPr>
            <w:tcW w:w="2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color w:val="51555C"/>
              </w:rPr>
              <w:t>Contngent consideraton obligatons</w:t>
            </w:r>
          </w:p>
        </w:tc>
        <w:tc>
          <w:tcPr>
            <w:tcW w:w="160" w:type="dxa"/>
            <w:vAlign w:val="bottom"/>
          </w:tcPr>
          <w:p>
            <w:pPr>
              <w:spacing w:after="0"/>
              <w:rPr>
                <w:sz w:val="20"/>
                <w:szCs w:val="20"/>
                <w:color w:val="auto"/>
              </w:rPr>
            </w:pPr>
          </w:p>
        </w:tc>
        <w:tc>
          <w:tcPr>
            <w:tcW w:w="1320" w:type="dxa"/>
            <w:vAlign w:val="bottom"/>
          </w:tcPr>
          <w:p>
            <w:pPr>
              <w:ind w:left="1100"/>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51555C"/>
              </w:rPr>
              <w:t>2,710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2,710</w:t>
            </w:r>
          </w:p>
        </w:tc>
      </w:tr>
      <w:tr>
        <w:trPr>
          <w:trHeight w:val="35"/>
        </w:trPr>
        <w:tc>
          <w:tcPr>
            <w:tcW w:w="20" w:type="dxa"/>
            <w:vAlign w:val="bottom"/>
          </w:tcPr>
          <w:p>
            <w:pPr>
              <w:spacing w:after="0"/>
              <w:rPr>
                <w:sz w:val="3"/>
                <w:szCs w:val="3"/>
                <w:color w:val="auto"/>
              </w:rPr>
            </w:pPr>
          </w:p>
        </w:tc>
        <w:tc>
          <w:tcPr>
            <w:tcW w:w="4900" w:type="dxa"/>
            <w:vAlign w:val="bottom"/>
            <w:gridSpan w:val="2"/>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1320" w:type="dxa"/>
            <w:vAlign w:val="bottom"/>
            <w:tcBorders>
              <w:bottom w:val="single" w:sz="8" w:color="51555C"/>
            </w:tcBorders>
          </w:tcPr>
          <w:p>
            <w:pPr>
              <w:spacing w:after="0"/>
              <w:rPr>
                <w:sz w:val="3"/>
                <w:szCs w:val="3"/>
                <w:color w:val="auto"/>
              </w:rPr>
            </w:pPr>
          </w:p>
        </w:tc>
        <w:tc>
          <w:tcPr>
            <w:tcW w:w="2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51555C"/>
            </w:tcBorders>
          </w:tcPr>
          <w:p>
            <w:pPr>
              <w:spacing w:after="0"/>
              <w:rPr>
                <w:sz w:val="3"/>
                <w:szCs w:val="3"/>
                <w:color w:val="auto"/>
              </w:rPr>
            </w:pPr>
          </w:p>
        </w:tc>
        <w:tc>
          <w:tcPr>
            <w:tcW w:w="126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51555C"/>
            </w:tcBorders>
          </w:tcPr>
          <w:p>
            <w:pPr>
              <w:spacing w:after="0"/>
              <w:rPr>
                <w:sz w:val="3"/>
                <w:szCs w:val="3"/>
                <w:color w:val="auto"/>
              </w:rPr>
            </w:pPr>
          </w:p>
        </w:tc>
        <w:tc>
          <w:tcPr>
            <w:tcW w:w="1340" w:type="dxa"/>
            <w:vAlign w:val="bottom"/>
            <w:tcBorders>
              <w:bottom w:val="single" w:sz="8" w:color="51555C"/>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r>
      <w:tr>
        <w:trPr>
          <w:trHeight w:val="269"/>
        </w:trPr>
        <w:tc>
          <w:tcPr>
            <w:tcW w:w="20" w:type="dxa"/>
            <w:vAlign w:val="bottom"/>
          </w:tcPr>
          <w:p>
            <w:pPr>
              <w:spacing w:after="0"/>
              <w:rPr>
                <w:sz w:val="22"/>
                <w:szCs w:val="22"/>
                <w:color w:val="auto"/>
              </w:rPr>
            </w:pPr>
          </w:p>
        </w:tc>
        <w:tc>
          <w:tcPr>
            <w:tcW w:w="4900" w:type="dxa"/>
            <w:vAlign w:val="bottom"/>
            <w:tcBorders>
              <w:bottom w:val="single" w:sz="8" w:color="EBFBFF"/>
            </w:tcBorders>
            <w:gridSpan w:val="2"/>
            <w:shd w:val="clear" w:color="auto" w:fill="EBFBFF"/>
          </w:tcPr>
          <w:p>
            <w:pPr>
              <w:ind w:left="220"/>
              <w:spacing w:after="0"/>
              <w:rPr>
                <w:sz w:val="20"/>
                <w:szCs w:val="20"/>
                <w:color w:val="auto"/>
              </w:rPr>
            </w:pPr>
            <w:r>
              <w:rPr>
                <w:rFonts w:ascii="Arial" w:cs="Arial" w:eastAsia="Arial" w:hAnsi="Arial"/>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360" w:type="dxa"/>
            <w:vAlign w:val="bottom"/>
            <w:tcBorders>
              <w:bottom w:val="single" w:sz="8" w:color="EBFBFF"/>
            </w:tcBorders>
            <w:gridSpan w:val="3"/>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c>
          <w:tcPr>
            <w:tcW w:w="2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2,710</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3,033</w:t>
            </w:r>
          </w:p>
        </w:tc>
      </w:tr>
      <w:tr>
        <w:trPr>
          <w:trHeight w:val="664"/>
        </w:trPr>
        <w:tc>
          <w:tcPr>
            <w:tcW w:w="20" w:type="dxa"/>
            <w:vAlign w:val="bottom"/>
          </w:tcPr>
          <w:p>
            <w:pPr>
              <w:spacing w:after="0"/>
              <w:rPr>
                <w:sz w:val="24"/>
                <w:szCs w:val="24"/>
                <w:color w:val="auto"/>
              </w:rPr>
            </w:pPr>
          </w:p>
        </w:tc>
        <w:tc>
          <w:tcPr>
            <w:tcW w:w="1580" w:type="dxa"/>
            <w:vAlign w:val="bottom"/>
            <w:tcBorders>
              <w:top w:val="single" w:sz="8" w:color="0CD973"/>
            </w:tcBorders>
          </w:tcPr>
          <w:p>
            <w:pPr>
              <w:spacing w:after="0"/>
              <w:rPr>
                <w:sz w:val="20"/>
                <w:szCs w:val="20"/>
                <w:color w:val="auto"/>
              </w:rPr>
            </w:pPr>
            <w:r>
              <w:rPr>
                <w:rFonts w:ascii="Arial" w:cs="Arial" w:eastAsia="Arial" w:hAnsi="Arial"/>
                <w:sz w:val="14"/>
                <w:szCs w:val="14"/>
                <w:color w:val="51555C"/>
              </w:rPr>
              <w:t>10</w:t>
            </w:r>
          </w:p>
        </w:tc>
        <w:tc>
          <w:tcPr>
            <w:tcW w:w="3320" w:type="dxa"/>
            <w:vAlign w:val="bottom"/>
            <w:tcBorders>
              <w:top w:val="single" w:sz="8" w:color="0CD973"/>
            </w:tcBorders>
          </w:tcPr>
          <w:p>
            <w:pPr>
              <w:ind w:left="80"/>
              <w:spacing w:after="0"/>
              <w:rPr>
                <w:sz w:val="20"/>
                <w:szCs w:val="20"/>
                <w:color w:val="auto"/>
              </w:rPr>
            </w:pPr>
            <w:r>
              <w:rPr>
                <w:rFonts w:ascii="Arial" w:cs="Arial" w:eastAsia="Arial" w:hAnsi="Arial"/>
                <w:sz w:val="14"/>
                <w:szCs w:val="14"/>
                <w:color w:val="51555C"/>
              </w:rPr>
              <w:t>Second Quarter 2023 Form 10-Q</w:t>
            </w:r>
          </w:p>
        </w:tc>
        <w:tc>
          <w:tcPr>
            <w:tcW w:w="160" w:type="dxa"/>
            <w:vAlign w:val="bottom"/>
            <w:tcBorders>
              <w:top w:val="single" w:sz="8" w:color="0CD973"/>
            </w:tcBorders>
          </w:tcPr>
          <w:p>
            <w:pPr>
              <w:spacing w:after="0"/>
              <w:rPr>
                <w:sz w:val="24"/>
                <w:szCs w:val="24"/>
                <w:color w:val="auto"/>
              </w:rPr>
            </w:pPr>
          </w:p>
        </w:tc>
        <w:tc>
          <w:tcPr>
            <w:tcW w:w="1320" w:type="dxa"/>
            <w:vAlign w:val="bottom"/>
            <w:tcBorders>
              <w:top w:val="single" w:sz="8" w:color="0CD973"/>
            </w:tcBorders>
          </w:tcPr>
          <w:p>
            <w:pPr>
              <w:spacing w:after="0"/>
              <w:rPr>
                <w:sz w:val="24"/>
                <w:szCs w:val="24"/>
                <w:color w:val="auto"/>
              </w:rPr>
            </w:pPr>
          </w:p>
        </w:tc>
        <w:tc>
          <w:tcPr>
            <w:tcW w:w="20" w:type="dxa"/>
            <w:vAlign w:val="bottom"/>
            <w:tcBorders>
              <w:top w:val="single" w:sz="8" w:color="0CD973"/>
            </w:tcBorders>
          </w:tcPr>
          <w:p>
            <w:pPr>
              <w:spacing w:after="0"/>
              <w:rPr>
                <w:sz w:val="24"/>
                <w:szCs w:val="24"/>
                <w:color w:val="auto"/>
              </w:rPr>
            </w:pPr>
          </w:p>
        </w:tc>
        <w:tc>
          <w:tcPr>
            <w:tcW w:w="10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260" w:type="dxa"/>
            <w:vAlign w:val="bottom"/>
            <w:tcBorders>
              <w:top w:val="single" w:sz="8" w:color="0CD973"/>
            </w:tcBorders>
          </w:tcPr>
          <w:p>
            <w:pPr>
              <w:spacing w:after="0"/>
              <w:rPr>
                <w:sz w:val="24"/>
                <w:szCs w:val="24"/>
                <w:color w:val="auto"/>
              </w:rPr>
            </w:pPr>
          </w:p>
        </w:tc>
        <w:tc>
          <w:tcPr>
            <w:tcW w:w="100" w:type="dxa"/>
            <w:vAlign w:val="bottom"/>
            <w:tcBorders>
              <w:top w:val="single" w:sz="8" w:color="0CD973"/>
            </w:tcBorders>
          </w:tcPr>
          <w:p>
            <w:pPr>
              <w:spacing w:after="0"/>
              <w:rPr>
                <w:sz w:val="24"/>
                <w:szCs w:val="24"/>
                <w:color w:val="auto"/>
              </w:rPr>
            </w:pPr>
          </w:p>
        </w:tc>
        <w:tc>
          <w:tcPr>
            <w:tcW w:w="180" w:type="dxa"/>
            <w:vAlign w:val="bottom"/>
            <w:tcBorders>
              <w:top w:val="single" w:sz="8" w:color="0CD973"/>
            </w:tcBorders>
          </w:tcPr>
          <w:p>
            <w:pPr>
              <w:spacing w:after="0"/>
              <w:rPr>
                <w:sz w:val="24"/>
                <w:szCs w:val="24"/>
                <w:color w:val="auto"/>
              </w:rPr>
            </w:pPr>
          </w:p>
        </w:tc>
        <w:tc>
          <w:tcPr>
            <w:tcW w:w="1340" w:type="dxa"/>
            <w:vAlign w:val="bottom"/>
            <w:tcBorders>
              <w:top w:val="single" w:sz="8" w:color="0CD973"/>
            </w:tcBorders>
          </w:tcPr>
          <w:p>
            <w:pPr>
              <w:spacing w:after="0"/>
              <w:rPr>
                <w:sz w:val="24"/>
                <w:szCs w:val="24"/>
                <w:color w:val="auto"/>
              </w:rPr>
            </w:pPr>
          </w:p>
        </w:tc>
        <w:tc>
          <w:tcPr>
            <w:tcW w:w="120" w:type="dxa"/>
            <w:vAlign w:val="bottom"/>
            <w:tcBorders>
              <w:top w:val="single" w:sz="8" w:color="0CD973"/>
            </w:tcBorders>
          </w:tcPr>
          <w:p>
            <w:pPr>
              <w:spacing w:after="0"/>
              <w:rPr>
                <w:sz w:val="24"/>
                <w:szCs w:val="24"/>
                <w:color w:val="auto"/>
              </w:rPr>
            </w:pPr>
          </w:p>
        </w:tc>
        <w:tc>
          <w:tcPr>
            <w:tcW w:w="50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spacing w:after="0"/>
              <w:rPr>
                <w:sz w:val="24"/>
                <w:szCs w:val="24"/>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-5125720</wp:posOffset>
            </wp:positionV>
            <wp:extent cx="29921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921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-367665</wp:posOffset>
            </wp:positionV>
            <wp:extent cx="65151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 xml:space="preserve">Our derivatve instruments within the scope of Accountng Standards Codifcaton ("ASC") 815, </w:t>
      </w:r>
      <w:r>
        <w:rPr>
          <w:rFonts w:ascii="Arial" w:cs="Arial" w:eastAsia="Arial" w:hAnsi="Arial"/>
          <w:sz w:val="18"/>
          <w:szCs w:val="18"/>
          <w:i w:val="1"/>
          <w:iCs w:val="1"/>
          <w:color w:val="51555C"/>
        </w:rPr>
        <w:t>Derivatves and Hedging</w:t>
      </w:r>
      <w:r>
        <w:rPr>
          <w:rFonts w:ascii="Arial" w:cs="Arial" w:eastAsia="Arial" w:hAnsi="Arial"/>
          <w:sz w:val="18"/>
          <w:szCs w:val="18"/>
          <w:color w:val="51555C"/>
        </w:rPr>
        <w:t>, are required to be recorded at fair value. Our derivatve instruments that are recorded at fair value include interest rate swaps and foreign currency forward contracts. See Note 7 to these condensed consolidated fnancial statements for additonal informaton about our derivatve instruments.</w:t>
      </w:r>
    </w:p>
    <w:p>
      <w:pPr>
        <w:spacing w:after="0" w:line="13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51555C"/>
        </w:rPr>
        <w:t>The fair value of our interest rate swaps and foreign currency forward contracts are based on model-driven valuatons using Secured Overnight Financing Rate ("SOFR") rates and foreign currency forward rates, respectvely, which are observable at commonly quoted intervals. Accordingly, our interest rate swaps and foreign currency forward contracts are classifed within Level 2 of the fair value hierarchy. Our fnancial contracts that were indexed to LIBOR were modifed to reference SOFR during the three months ended September 30, 2022. These modifcatons did not have a signifcant fnancial impact.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Contngent consideraton obligatons arise from business acquisitons. The fair values are based on discounted cash fow analyses refectng a probability-weighted assessment approach derived from the likelihood of possible achievement of specifed performance measures or events and captures the contractual nature of the contngencies, commercial risk, and the tme value of money. As the fair value measurements for our contngent consideraton obligatons contain signifcant unobservable inputs, they are classifed within Level 3 of the fair value hierarchy.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believe the carrying amounts of our cash and cash equivalents, restricted cash, accounts receivable, trade accounts payable, accrued expenses and other current liabilites and due to customers approximate their fair values at June 30, 2023 and December 31, 2022, due to the immediate or short-term maturity of these instruments.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We believe the carrying amount of our debt approximates its fair value at June 30, 2023 and December 31, 2022, as the debt bears interest rates that approximate market value. As SOFR rates are observable at commonly quoted intervals, our debt under the 2020 Credit Facility (as defned below) is classifed within Level 2 of the fair value hierarchy. Our fxed rate debt is also classifed within Level 2 of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51555C"/>
        </w:rPr>
        <w:t>We did not transfer any assets or liabilites among the levels within the fair value hierarchy during the six months ended June 30,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Non-recurring fair value measurements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51555C"/>
        </w:rPr>
        <w:t>Assets and liabilites that are measured at fair value on a non-recurring basis include long-lived assets, intangible assets, goodwill and operatng lease right-of-use ("ROU") assets. These assets are recognized at fair value during the period in which an acquisiton is completed or at lease commencement, from updated estmates and assumptons during the measurement period, or when they are considered to be impaired. These non-recurring fair value measurements, primarily for long-lived assets, intangible assets acquired and operatng lease ROU assets, are based on Level 3 unobservable inputs. In the event of an impairment, we determine the fair value of these assets other than goodwill using a discounted cash fow approach, which contains signifcant unobservable inputs and, therefore, is considered a Level 3 fair value measurement. The unobservable inputs in the analysis generally include future cash fow projectons and a discount rate. For goodwill impairment testng, we estmate fair value using market-based methods including the use of market capitalizaton and consideraton of a control premium.</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There were no material non-recurring fair value adjustments to our long-lived assets, intangible assets, goodwill and operatng lease ROU assets during the six months ended June 30, 2023.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5.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cash</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5220" w:type="dxa"/>
            <w:vAlign w:val="bottom"/>
            <w:shd w:val="clear" w:color="auto" w:fill="004054"/>
          </w:tcPr>
          <w:p>
            <w:pPr>
              <w:spacing w:after="0"/>
              <w:rPr>
                <w:sz w:val="15"/>
                <w:szCs w:val="15"/>
                <w:color w:val="auto"/>
              </w:rPr>
            </w:pPr>
          </w:p>
        </w:tc>
        <w:tc>
          <w:tcPr>
            <w:tcW w:w="29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42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20"/>
        </w:trPr>
        <w:tc>
          <w:tcPr>
            <w:tcW w:w="20" w:type="dxa"/>
            <w:vAlign w:val="bottom"/>
            <w:tcBorders>
              <w:bottom w:val="single" w:sz="8" w:color="004054"/>
            </w:tcBorders>
            <w:shd w:val="clear" w:color="auto" w:fill="004054"/>
          </w:tcPr>
          <w:p>
            <w:pPr>
              <w:spacing w:after="0"/>
              <w:rPr>
                <w:sz w:val="19"/>
                <w:szCs w:val="19"/>
                <w:color w:val="auto"/>
              </w:rPr>
            </w:pPr>
          </w:p>
        </w:tc>
        <w:tc>
          <w:tcPr>
            <w:tcW w:w="522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920" w:type="dxa"/>
            <w:vAlign w:val="bottom"/>
            <w:tcBorders>
              <w:bottom w:val="single" w:sz="8" w:color="004054"/>
            </w:tcBorders>
            <w:shd w:val="clear" w:color="auto" w:fill="004054"/>
          </w:tcPr>
          <w:p>
            <w:pPr>
              <w:spacing w:after="0"/>
              <w:rPr>
                <w:sz w:val="19"/>
                <w:szCs w:val="19"/>
                <w:color w:val="auto"/>
              </w:rPr>
            </w:pPr>
          </w:p>
        </w:tc>
        <w:tc>
          <w:tcPr>
            <w:tcW w:w="500" w:type="dxa"/>
            <w:vAlign w:val="bottom"/>
            <w:tcBorders>
              <w:bottom w:val="single" w:sz="8" w:color="004054"/>
            </w:tcBorders>
            <w:shd w:val="clear" w:color="auto" w:fill="004054"/>
          </w:tcPr>
          <w:p>
            <w:pPr>
              <w:spacing w:after="0"/>
              <w:rPr>
                <w:sz w:val="19"/>
                <w:szCs w:val="19"/>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20" w:type="dxa"/>
            <w:vAlign w:val="bottom"/>
            <w:tcBorders>
              <w:bottom w:val="single" w:sz="8" w:color="004054"/>
            </w:tcBorders>
            <w:shd w:val="clear" w:color="auto" w:fill="004054"/>
          </w:tcPr>
          <w:p>
            <w:pPr>
              <w:spacing w:after="0"/>
              <w:rPr>
                <w:sz w:val="19"/>
                <w:szCs w:val="19"/>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50"/>
        </w:trPr>
        <w:tc>
          <w:tcPr>
            <w:tcW w:w="20" w:type="dxa"/>
            <w:vAlign w:val="bottom"/>
          </w:tcPr>
          <w:p>
            <w:pPr>
              <w:spacing w:after="0"/>
              <w:rPr>
                <w:sz w:val="21"/>
                <w:szCs w:val="21"/>
                <w:color w:val="auto"/>
              </w:rPr>
            </w:pPr>
          </w:p>
        </w:tc>
        <w:tc>
          <w:tcPr>
            <w:tcW w:w="5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Restricted cash due to customers</w:t>
            </w:r>
          </w:p>
        </w:tc>
        <w:tc>
          <w:tcPr>
            <w:tcW w:w="34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760,114</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700,611</w:t>
            </w:r>
          </w:p>
        </w:tc>
      </w:tr>
      <w:tr>
        <w:trPr>
          <w:trHeight w:val="275"/>
        </w:trPr>
        <w:tc>
          <w:tcPr>
            <w:tcW w:w="2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51555C"/>
              </w:rPr>
              <w:t>Real estate escrow balances and other</w:t>
            </w:r>
          </w:p>
        </w:tc>
        <w:tc>
          <w:tcPr>
            <w:tcW w:w="2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1,175</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1,629</w:t>
            </w:r>
          </w:p>
        </w:tc>
      </w:tr>
      <w:tr>
        <w:trPr>
          <w:trHeight w:val="49"/>
        </w:trPr>
        <w:tc>
          <w:tcPr>
            <w:tcW w:w="20" w:type="dxa"/>
            <w:vAlign w:val="bottom"/>
          </w:tcPr>
          <w:p>
            <w:pPr>
              <w:spacing w:after="0"/>
              <w:rPr>
                <w:sz w:val="4"/>
                <w:szCs w:val="4"/>
                <w:color w:val="auto"/>
              </w:rPr>
            </w:pPr>
          </w:p>
        </w:tc>
        <w:tc>
          <w:tcPr>
            <w:tcW w:w="5220" w:type="dxa"/>
            <w:vAlign w:val="bottom"/>
            <w:tcBorders>
              <w:bottom w:val="single" w:sz="8" w:color="EBFBFF"/>
            </w:tcBorders>
          </w:tcPr>
          <w:p>
            <w:pPr>
              <w:spacing w:after="0"/>
              <w:rPr>
                <w:sz w:val="4"/>
                <w:szCs w:val="4"/>
                <w:color w:val="auto"/>
              </w:rPr>
            </w:pPr>
          </w:p>
        </w:tc>
        <w:tc>
          <w:tcPr>
            <w:tcW w:w="292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r>
      <w:tr>
        <w:trPr>
          <w:trHeight w:val="268"/>
        </w:trPr>
        <w:tc>
          <w:tcPr>
            <w:tcW w:w="20" w:type="dxa"/>
            <w:vAlign w:val="bottom"/>
          </w:tcPr>
          <w:p>
            <w:pPr>
              <w:spacing w:after="0"/>
              <w:rPr>
                <w:sz w:val="22"/>
                <w:szCs w:val="22"/>
                <w:color w:val="auto"/>
              </w:rPr>
            </w:pPr>
          </w:p>
        </w:tc>
        <w:tc>
          <w:tcPr>
            <w:tcW w:w="522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Total restricted cash</w:t>
            </w:r>
          </w:p>
        </w:tc>
        <w:tc>
          <w:tcPr>
            <w:tcW w:w="2920" w:type="dxa"/>
            <w:vAlign w:val="bottom"/>
            <w:tcBorders>
              <w:bottom w:val="single" w:sz="8" w:color="EBFBFF"/>
            </w:tcBorders>
            <w:shd w:val="clear" w:color="auto" w:fill="EBFBFF"/>
          </w:tcPr>
          <w:p>
            <w:pPr>
              <w:spacing w:after="0"/>
              <w:rPr>
                <w:sz w:val="22"/>
                <w:szCs w:val="22"/>
                <w:color w:val="auto"/>
              </w:rPr>
            </w:pP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761,289</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702,240</w:t>
            </w:r>
          </w:p>
        </w:tc>
      </w:tr>
      <w:tr>
        <w:trPr>
          <w:trHeight w:val="651"/>
        </w:trPr>
        <w:tc>
          <w:tcPr>
            <w:tcW w:w="20" w:type="dxa"/>
            <w:vAlign w:val="bottom"/>
          </w:tcPr>
          <w:p>
            <w:pPr>
              <w:spacing w:after="0"/>
              <w:rPr>
                <w:sz w:val="24"/>
                <w:szCs w:val="24"/>
                <w:color w:val="auto"/>
              </w:rPr>
            </w:pPr>
          </w:p>
        </w:tc>
        <w:tc>
          <w:tcPr>
            <w:tcW w:w="5220" w:type="dxa"/>
            <w:vAlign w:val="bottom"/>
            <w:tcBorders>
              <w:top w:val="single" w:sz="8" w:color="0CD973"/>
            </w:tcBorders>
          </w:tcPr>
          <w:p>
            <w:pPr>
              <w:spacing w:after="0"/>
              <w:rPr>
                <w:sz w:val="24"/>
                <w:szCs w:val="24"/>
                <w:color w:val="auto"/>
              </w:rPr>
            </w:pPr>
          </w:p>
        </w:tc>
        <w:tc>
          <w:tcPr>
            <w:tcW w:w="4440" w:type="dxa"/>
            <w:vAlign w:val="bottom"/>
            <w:tcBorders>
              <w:top w:val="single" w:sz="8" w:color="0CD973"/>
            </w:tcBorders>
            <w:gridSpan w:val="3"/>
          </w:tcPr>
          <w:p>
            <w:pPr>
              <w:jc w:val="right"/>
              <w:ind w:right="37"/>
              <w:spacing w:after="0"/>
              <w:rPr>
                <w:sz w:val="20"/>
                <w:szCs w:val="20"/>
                <w:color w:val="auto"/>
              </w:rPr>
            </w:pPr>
            <w:r>
              <w:rPr>
                <w:rFonts w:ascii="Arial" w:cs="Arial" w:eastAsia="Arial" w:hAnsi="Arial"/>
                <w:sz w:val="14"/>
                <w:szCs w:val="14"/>
                <w:color w:val="51555C"/>
              </w:rPr>
              <w:t>Second Quarter 2023 Form 10-Q</w:t>
            </w:r>
          </w:p>
        </w:tc>
        <w:tc>
          <w:tcPr>
            <w:tcW w:w="420" w:type="dxa"/>
            <w:vAlign w:val="bottom"/>
            <w:tcBorders>
              <w:top w:val="single" w:sz="8" w:color="0CD973"/>
            </w:tcBorders>
          </w:tcPr>
          <w:p>
            <w:pPr>
              <w:spacing w:after="0"/>
              <w:rPr>
                <w:sz w:val="24"/>
                <w:szCs w:val="24"/>
                <w:color w:val="auto"/>
              </w:rPr>
            </w:pPr>
          </w:p>
        </w:tc>
        <w:tc>
          <w:tcPr>
            <w:tcW w:w="1140" w:type="dxa"/>
            <w:vAlign w:val="bottom"/>
            <w:tcBorders>
              <w:top w:val="single" w:sz="8" w:color="0CD973"/>
            </w:tcBorders>
          </w:tcPr>
          <w:p>
            <w:pPr>
              <w:jc w:val="right"/>
              <w:spacing w:after="0"/>
              <w:rPr>
                <w:sz w:val="20"/>
                <w:szCs w:val="20"/>
                <w:color w:val="auto"/>
              </w:rPr>
            </w:pPr>
            <w:r>
              <w:rPr>
                <w:rFonts w:ascii="Arial" w:cs="Arial" w:eastAsia="Arial" w:hAnsi="Arial"/>
                <w:sz w:val="14"/>
                <w:szCs w:val="14"/>
                <w:color w:val="51555C"/>
              </w:rPr>
              <w:t>11</w:t>
            </w:r>
          </w:p>
        </w:tc>
      </w:tr>
      <w:tr>
        <w:trPr>
          <w:trHeight w:val="363"/>
        </w:trPr>
        <w:tc>
          <w:tcPr>
            <w:tcW w:w="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-376555</wp:posOffset>
            </wp:positionV>
            <wp:extent cx="66040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Prepaid expenses and other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812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42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84"/>
        </w:trPr>
        <w:tc>
          <w:tcPr>
            <w:tcW w:w="20" w:type="dxa"/>
            <w:vAlign w:val="bottom"/>
            <w:shd w:val="clear" w:color="auto" w:fill="004054"/>
          </w:tcPr>
          <w:p>
            <w:pPr>
              <w:spacing w:after="0"/>
              <w:rPr>
                <w:sz w:val="15"/>
                <w:szCs w:val="15"/>
                <w:color w:val="auto"/>
              </w:rPr>
            </w:pPr>
          </w:p>
        </w:tc>
        <w:tc>
          <w:tcPr>
            <w:tcW w:w="812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2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81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r>
      <w:tr>
        <w:trPr>
          <w:trHeight w:val="324"/>
        </w:trPr>
        <w:tc>
          <w:tcPr>
            <w:tcW w:w="20" w:type="dxa"/>
            <w:vAlign w:val="bottom"/>
          </w:tcPr>
          <w:p>
            <w:pPr>
              <w:spacing w:after="0"/>
              <w:rPr>
                <w:sz w:val="24"/>
                <w:szCs w:val="24"/>
                <w:color w:val="auto"/>
              </w:rPr>
            </w:pPr>
          </w:p>
        </w:tc>
        <w:tc>
          <w:tcPr>
            <w:tcW w:w="81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Costs of obtaining contracts</w:t>
            </w:r>
            <w:r>
              <w:rPr>
                <w:rFonts w:ascii="Arial" w:cs="Arial" w:eastAsia="Arial" w:hAnsi="Arial"/>
                <w:sz w:val="23"/>
                <w:szCs w:val="23"/>
                <w:color w:val="51555C"/>
                <w:vertAlign w:val="superscript"/>
              </w:rPr>
              <w:t>(1)(2)</w:t>
            </w:r>
          </w:p>
        </w:tc>
        <w:tc>
          <w:tcPr>
            <w:tcW w:w="520" w:type="dxa"/>
            <w:vAlign w:val="bottom"/>
            <w:gridSpan w:val="2"/>
            <w:shd w:val="clear" w:color="auto" w:fill="EBFBFF"/>
          </w:tcPr>
          <w:p>
            <w:pPr>
              <w:jc w:val="right"/>
              <w:ind w:right="290"/>
              <w:spacing w:after="0"/>
              <w:rPr>
                <w:sz w:val="20"/>
                <w:szCs w:val="20"/>
                <w:color w:val="auto"/>
              </w:rPr>
            </w:pPr>
            <w:r>
              <w:rPr>
                <w:rFonts w:ascii="Arial" w:cs="Arial" w:eastAsia="Arial" w:hAnsi="Arial"/>
                <w:sz w:val="18"/>
                <w:szCs w:val="18"/>
                <w:color w:val="51555C"/>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68,366</w:t>
            </w:r>
          </w:p>
        </w:tc>
        <w:tc>
          <w:tcPr>
            <w:tcW w:w="42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74,272</w:t>
            </w:r>
          </w:p>
        </w:tc>
      </w:tr>
      <w:tr>
        <w:trPr>
          <w:trHeight w:val="324"/>
        </w:trPr>
        <w:tc>
          <w:tcPr>
            <w:tcW w:w="20" w:type="dxa"/>
            <w:vAlign w:val="bottom"/>
          </w:tcPr>
          <w:p>
            <w:pPr>
              <w:spacing w:after="0"/>
              <w:rPr>
                <w:sz w:val="24"/>
                <w:szCs w:val="24"/>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Prepaid sofware maintenance and subscriptons</w:t>
            </w:r>
            <w:r>
              <w:rPr>
                <w:rFonts w:ascii="Arial" w:cs="Arial" w:eastAsia="Arial" w:hAnsi="Arial"/>
                <w:sz w:val="23"/>
                <w:szCs w:val="23"/>
                <w:color w:val="51555C"/>
                <w:vertAlign w:val="superscript"/>
              </w:rPr>
              <w:t>(3)</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31,587</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34,766</w:t>
            </w: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Derivatve instruments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26,978</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32,117</w:t>
            </w:r>
          </w:p>
        </w:tc>
      </w:tr>
      <w:tr>
        <w:trPr>
          <w:trHeight w:val="324"/>
        </w:trPr>
        <w:tc>
          <w:tcPr>
            <w:tcW w:w="20" w:type="dxa"/>
            <w:vAlign w:val="bottom"/>
          </w:tcPr>
          <w:p>
            <w:pPr>
              <w:spacing w:after="0"/>
              <w:rPr>
                <w:sz w:val="24"/>
                <w:szCs w:val="24"/>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Implementaton costs for cloud computng arrangements, net</w:t>
            </w:r>
            <w:r>
              <w:rPr>
                <w:rFonts w:ascii="Arial" w:cs="Arial" w:eastAsia="Arial" w:hAnsi="Arial"/>
                <w:sz w:val="23"/>
                <w:szCs w:val="23"/>
                <w:color w:val="51555C"/>
                <w:vertAlign w:val="superscript"/>
              </w:rPr>
              <w:t>(4)(5)</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10,237</w:t>
            </w:r>
          </w:p>
        </w:tc>
        <w:tc>
          <w:tcPr>
            <w:tcW w:w="4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10,189</w:t>
            </w: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Prepaid insurance</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8,340</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4,902</w:t>
            </w:r>
          </w:p>
        </w:tc>
      </w:tr>
      <w:tr>
        <w:trPr>
          <w:trHeight w:val="227"/>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Unbilled accounts receivable</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5,082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5,775</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Taxes, prepaid and receivable</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1,389</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1,855</w:t>
            </w:r>
          </w:p>
        </w:tc>
      </w:tr>
      <w:tr>
        <w:trPr>
          <w:trHeight w:val="227"/>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Deferred tax assets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1,156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1,153</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assets</w:t>
            </w:r>
          </w:p>
        </w:tc>
        <w:tc>
          <w:tcPr>
            <w:tcW w:w="20" w:type="dxa"/>
            <w:vAlign w:val="bottom"/>
            <w:tcBorders>
              <w:bottom w:val="single" w:sz="8" w:color="EBFBFF"/>
            </w:tcBorders>
            <w:shd w:val="clear" w:color="auto" w:fill="EBFBFF"/>
          </w:tcPr>
          <w:p>
            <w:pPr>
              <w:spacing w:after="0"/>
              <w:rPr>
                <w:sz w:val="23"/>
                <w:szCs w:val="23"/>
                <w:color w:val="auto"/>
              </w:rPr>
            </w:pP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12,716</w:t>
            </w:r>
          </w:p>
        </w:tc>
        <w:tc>
          <w:tcPr>
            <w:tcW w:w="4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10,929</w:t>
            </w:r>
          </w:p>
        </w:tc>
      </w:tr>
      <w:tr>
        <w:trPr>
          <w:trHeight w:val="220"/>
        </w:trPr>
        <w:tc>
          <w:tcPr>
            <w:tcW w:w="20" w:type="dxa"/>
            <w:vAlign w:val="bottom"/>
          </w:tcPr>
          <w:p>
            <w:pPr>
              <w:spacing w:after="0"/>
              <w:rPr>
                <w:sz w:val="19"/>
                <w:szCs w:val="19"/>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51555C"/>
              </w:rPr>
              <w:t>Total prepaid expenses and other assets</w:t>
            </w:r>
          </w:p>
        </w:tc>
        <w:tc>
          <w:tcPr>
            <w:tcW w:w="20" w:type="dxa"/>
            <w:vAlign w:val="bottom"/>
          </w:tcPr>
          <w:p>
            <w:pPr>
              <w:spacing w:after="0"/>
              <w:rPr>
                <w:sz w:val="19"/>
                <w:szCs w:val="19"/>
                <w:color w:val="auto"/>
              </w:rPr>
            </w:pPr>
          </w:p>
        </w:tc>
        <w:tc>
          <w:tcPr>
            <w:tcW w:w="500" w:type="dxa"/>
            <w:vAlign w:val="bottom"/>
            <w:tcBorders>
              <w:top w:val="single" w:sz="8" w:color="51555C"/>
            </w:tcBorders>
          </w:tcPr>
          <w:p>
            <w:pPr>
              <w:spacing w:after="0"/>
              <w:rPr>
                <w:sz w:val="19"/>
                <w:szCs w:val="19"/>
                <w:color w:val="auto"/>
              </w:rPr>
            </w:pP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165,851</w:t>
            </w:r>
          </w:p>
        </w:tc>
        <w:tc>
          <w:tcPr>
            <w:tcW w:w="420" w:type="dxa"/>
            <w:vAlign w:val="bottom"/>
            <w:tcBorders>
              <w:top w:val="single" w:sz="8" w:color="51555C"/>
            </w:tcBorders>
          </w:tcPr>
          <w:p>
            <w:pPr>
              <w:spacing w:after="0"/>
              <w:rPr>
                <w:sz w:val="19"/>
                <w:szCs w:val="19"/>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175,958</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Long-term porton</w:t>
            </w:r>
          </w:p>
        </w:tc>
        <w:tc>
          <w:tcPr>
            <w:tcW w:w="20" w:type="dxa"/>
            <w:vAlign w:val="bottom"/>
            <w:tcBorders>
              <w:bottom w:val="single" w:sz="8" w:color="EBFBFF"/>
            </w:tcBorders>
            <w:shd w:val="clear" w:color="auto" w:fill="EBFBFF"/>
          </w:tcPr>
          <w:p>
            <w:pPr>
              <w:spacing w:after="0"/>
              <w:rPr>
                <w:sz w:val="23"/>
                <w:szCs w:val="23"/>
                <w:color w:val="auto"/>
              </w:rPr>
            </w:pP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84,254</w:t>
            </w:r>
          </w:p>
        </w:tc>
        <w:tc>
          <w:tcPr>
            <w:tcW w:w="4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94,304</w:t>
            </w:r>
          </w:p>
        </w:tc>
      </w:tr>
      <w:tr>
        <w:trPr>
          <w:trHeight w:val="220"/>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Prepaid expenses and other current assets</w:t>
            </w:r>
          </w:p>
        </w:tc>
        <w:tc>
          <w:tcPr>
            <w:tcW w:w="20" w:type="dxa"/>
            <w:vAlign w:val="bottom"/>
          </w:tcPr>
          <w:p>
            <w:pPr>
              <w:spacing w:after="0"/>
              <w:rPr>
                <w:sz w:val="19"/>
                <w:szCs w:val="19"/>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81,597</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81,654</w:t>
            </w:r>
          </w:p>
        </w:tc>
      </w:tr>
      <w:tr>
        <w:trPr>
          <w:trHeight w:val="43"/>
        </w:trPr>
        <w:tc>
          <w:tcPr>
            <w:tcW w:w="20" w:type="dxa"/>
            <w:vAlign w:val="bottom"/>
          </w:tcPr>
          <w:p>
            <w:pPr>
              <w:spacing w:after="0"/>
              <w:rPr>
                <w:sz w:val="3"/>
                <w:szCs w:val="3"/>
                <w:color w:val="auto"/>
              </w:rPr>
            </w:pPr>
          </w:p>
        </w:tc>
        <w:tc>
          <w:tcPr>
            <w:tcW w:w="8120" w:type="dxa"/>
            <w:vAlign w:val="bottom"/>
            <w:tcBorders>
              <w:bottom w:val="single" w:sz="8" w:color="0CD973"/>
            </w:tcBorders>
          </w:tcPr>
          <w:p>
            <w:pPr>
              <w:spacing w:after="0"/>
              <w:rPr>
                <w:sz w:val="3"/>
                <w:szCs w:val="3"/>
                <w:color w:val="auto"/>
              </w:rPr>
            </w:pPr>
          </w:p>
        </w:tc>
        <w:tc>
          <w:tcPr>
            <w:tcW w:w="20" w:type="dxa"/>
            <w:vAlign w:val="bottom"/>
            <w:tcBorders>
              <w:bottom w:val="single" w:sz="8" w:color="0CD973"/>
            </w:tcBorders>
          </w:tcPr>
          <w:p>
            <w:pPr>
              <w:spacing w:after="0"/>
              <w:rPr>
                <w:sz w:val="3"/>
                <w:szCs w:val="3"/>
                <w:color w:val="auto"/>
              </w:rPr>
            </w:pPr>
          </w:p>
        </w:tc>
        <w:tc>
          <w:tcPr>
            <w:tcW w:w="500" w:type="dxa"/>
            <w:vAlign w:val="bottom"/>
            <w:tcBorders>
              <w:bottom w:val="single" w:sz="8" w:color="0CD973"/>
            </w:tcBorders>
          </w:tcPr>
          <w:p>
            <w:pPr>
              <w:spacing w:after="0"/>
              <w:rPr>
                <w:sz w:val="3"/>
                <w:szCs w:val="3"/>
                <w:color w:val="auto"/>
              </w:rPr>
            </w:pPr>
          </w:p>
        </w:tc>
        <w:tc>
          <w:tcPr>
            <w:tcW w:w="1020" w:type="dxa"/>
            <w:vAlign w:val="bottom"/>
            <w:tcBorders>
              <w:bottom w:val="single" w:sz="8" w:color="0CD973"/>
            </w:tcBorders>
          </w:tcPr>
          <w:p>
            <w:pPr>
              <w:spacing w:after="0"/>
              <w:rPr>
                <w:sz w:val="3"/>
                <w:szCs w:val="3"/>
                <w:color w:val="auto"/>
              </w:rPr>
            </w:pPr>
          </w:p>
        </w:tc>
        <w:tc>
          <w:tcPr>
            <w:tcW w:w="420" w:type="dxa"/>
            <w:vAlign w:val="bottom"/>
            <w:tcBorders>
              <w:bottom w:val="single" w:sz="8" w:color="0CD973"/>
            </w:tcBorders>
          </w:tcPr>
          <w:p>
            <w:pPr>
              <w:spacing w:after="0"/>
              <w:rPr>
                <w:sz w:val="3"/>
                <w:szCs w:val="3"/>
                <w:color w:val="auto"/>
              </w:rPr>
            </w:pPr>
          </w:p>
        </w:tc>
        <w:tc>
          <w:tcPr>
            <w:tcW w:w="1140" w:type="dxa"/>
            <w:vAlign w:val="bottom"/>
            <w:tcBorders>
              <w:bottom w:val="single" w:sz="8" w:color="0CD973"/>
            </w:tcBorders>
          </w:tcPr>
          <w:p>
            <w:pPr>
              <w:spacing w:after="0"/>
              <w:rPr>
                <w:sz w:val="3"/>
                <w:szCs w:val="3"/>
                <w:color w:val="auto"/>
              </w:rPr>
            </w:pPr>
          </w:p>
        </w:tc>
      </w:tr>
    </w:tbl>
    <w:p>
      <w:pPr>
        <w:spacing w:after="0" w:line="43" w:lineRule="exact"/>
        <w:rPr>
          <w:sz w:val="20"/>
          <w:szCs w:val="20"/>
          <w:color w:val="auto"/>
        </w:rPr>
      </w:pPr>
    </w:p>
    <w:p>
      <w:pPr>
        <w:ind w:left="340" w:hanging="332"/>
        <w:spacing w:after="0" w:line="266" w:lineRule="auto"/>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Amortzaton expense from costs of obtaining contracts was $8.1 million and $16.4 million for the three and six months ended June 30, 2023, respectvely, and $8.5 million and $17.0 million for the three and six months ended June 30, 2022, respectvely.</w:t>
      </w:r>
    </w:p>
    <w:p>
      <w:pPr>
        <w:ind w:left="340" w:hanging="332"/>
        <w:spacing w:after="0"/>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The current porton of costs of obtaining contracts as of June 30, 2023 and December 31, 2022 was $27.3 million and $29.1 million, respectvely.</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The current porton of prepaid sofware maintenance and subscriptons as of June 30, 2023 and December 31, 2022 was $28.0 million and $31.7 million, respectvely.</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These costs primarily relate to the mult-year implementatons of our new global enterprise resource planning and customer relatonship management systems.</w:t>
      </w:r>
    </w:p>
    <w:p>
      <w:pPr>
        <w:spacing w:after="0" w:line="1" w:lineRule="exact"/>
        <w:rPr>
          <w:rFonts w:ascii="Arial" w:cs="Arial" w:eastAsia="Arial" w:hAnsi="Arial"/>
          <w:sz w:val="14"/>
          <w:szCs w:val="14"/>
          <w:color w:val="51555C"/>
        </w:rPr>
      </w:pPr>
    </w:p>
    <w:p>
      <w:pPr>
        <w:jc w:val="both"/>
        <w:ind w:left="340" w:hanging="332"/>
        <w:spacing w:after="0" w:line="272" w:lineRule="auto"/>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Amortzaton expense from capitalized cloud computng implementaton costs was insignifcant for the three months ended June 30, 2023 and 2022, respectvely, and $1.1 million and $1.1 million for the six months ended June 30, 2023 and 2022, respectvely. Accumulated amortzaton for these costs was $6.3 million and $5.2 million as of June 30, 2023 and December 31, 2022, respectvely.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Accrued expenses and other liabilites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shd w:val="clear" w:color="auto" w:fill="004054"/>
          </w:tcPr>
          <w:p>
            <w:pPr>
              <w:spacing w:after="0"/>
              <w:rPr>
                <w:sz w:val="14"/>
                <w:szCs w:val="14"/>
                <w:color w:val="auto"/>
              </w:rPr>
            </w:pPr>
          </w:p>
        </w:tc>
        <w:tc>
          <w:tcPr>
            <w:tcW w:w="812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42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84"/>
        </w:trPr>
        <w:tc>
          <w:tcPr>
            <w:tcW w:w="20" w:type="dxa"/>
            <w:vAlign w:val="bottom"/>
            <w:shd w:val="clear" w:color="auto" w:fill="004054"/>
          </w:tcPr>
          <w:p>
            <w:pPr>
              <w:spacing w:after="0"/>
              <w:rPr>
                <w:sz w:val="15"/>
                <w:szCs w:val="15"/>
                <w:color w:val="auto"/>
              </w:rPr>
            </w:pPr>
          </w:p>
        </w:tc>
        <w:tc>
          <w:tcPr>
            <w:tcW w:w="812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2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81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r>
      <w:tr>
        <w:trPr>
          <w:trHeight w:val="324"/>
        </w:trPr>
        <w:tc>
          <w:tcPr>
            <w:tcW w:w="20" w:type="dxa"/>
            <w:vAlign w:val="bottom"/>
          </w:tcPr>
          <w:p>
            <w:pPr>
              <w:spacing w:after="0"/>
              <w:rPr>
                <w:sz w:val="24"/>
                <w:szCs w:val="24"/>
                <w:color w:val="auto"/>
              </w:rPr>
            </w:pPr>
          </w:p>
        </w:tc>
        <w:tc>
          <w:tcPr>
            <w:tcW w:w="81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Accrued legal costs</w:t>
            </w:r>
            <w:r>
              <w:rPr>
                <w:rFonts w:ascii="Arial" w:cs="Arial" w:eastAsia="Arial" w:hAnsi="Arial"/>
                <w:sz w:val="23"/>
                <w:szCs w:val="23"/>
                <w:color w:val="51555C"/>
                <w:vertAlign w:val="superscript"/>
              </w:rPr>
              <w:t>(1)</w:t>
            </w:r>
          </w:p>
        </w:tc>
        <w:tc>
          <w:tcPr>
            <w:tcW w:w="520" w:type="dxa"/>
            <w:vAlign w:val="bottom"/>
            <w:gridSpan w:val="2"/>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55,888</w:t>
            </w:r>
          </w:p>
        </w:tc>
        <w:tc>
          <w:tcPr>
            <w:tcW w:w="42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28,448</w:t>
            </w:r>
          </w:p>
        </w:tc>
      </w:tr>
      <w:tr>
        <w:trPr>
          <w:trHeight w:val="275"/>
        </w:trPr>
        <w:tc>
          <w:tcPr>
            <w:tcW w:w="20" w:type="dxa"/>
            <w:vAlign w:val="bottom"/>
          </w:tcPr>
          <w:p>
            <w:pPr>
              <w:spacing w:after="0"/>
              <w:rPr>
                <w:sz w:val="23"/>
                <w:szCs w:val="23"/>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Taxes payable</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14,305</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16,667</w:t>
            </w:r>
          </w:p>
        </w:tc>
      </w:tr>
      <w:tr>
        <w:trPr>
          <w:trHeight w:val="49"/>
        </w:trPr>
        <w:tc>
          <w:tcPr>
            <w:tcW w:w="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Customer credit balances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7,588</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8,257</w:t>
            </w:r>
          </w:p>
        </w:tc>
      </w:tr>
      <w:tr>
        <w:trPr>
          <w:trHeight w:val="227"/>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Operatng lease liabilites, current porton</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7,330</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7,723</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commissions and salaries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4,329</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6,944</w:t>
            </w:r>
          </w:p>
        </w:tc>
      </w:tr>
      <w:tr>
        <w:trPr>
          <w:trHeight w:val="227"/>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Accrued health care costs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2,932</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2,467</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Derivatve instruments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2,467</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r>
      <w:tr>
        <w:trPr>
          <w:trHeight w:val="227"/>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Accrued vacaton costs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2,004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2,156</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transacton-based costs related to payments services</w:t>
            </w:r>
          </w:p>
        </w:tc>
        <w:tc>
          <w:tcPr>
            <w:tcW w:w="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1,545</w:t>
            </w:r>
          </w:p>
        </w:tc>
        <w:tc>
          <w:tcPr>
            <w:tcW w:w="4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5,059</w:t>
            </w:r>
          </w:p>
        </w:tc>
      </w:tr>
      <w:tr>
        <w:trPr>
          <w:trHeight w:val="275"/>
        </w:trPr>
        <w:tc>
          <w:tcPr>
            <w:tcW w:w="20" w:type="dxa"/>
            <w:vAlign w:val="bottom"/>
          </w:tcPr>
          <w:p>
            <w:pPr>
              <w:spacing w:after="0"/>
              <w:rPr>
                <w:sz w:val="23"/>
                <w:szCs w:val="23"/>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Contngent consideraton liability</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1,379</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2,710</w:t>
            </w:r>
          </w:p>
        </w:tc>
      </w:tr>
      <w:tr>
        <w:trPr>
          <w:trHeight w:val="49"/>
        </w:trPr>
        <w:tc>
          <w:tcPr>
            <w:tcW w:w="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liabilites</w:t>
            </w:r>
          </w:p>
        </w:tc>
        <w:tc>
          <w:tcPr>
            <w:tcW w:w="20" w:type="dxa"/>
            <w:vAlign w:val="bottom"/>
            <w:tcBorders>
              <w:bottom w:val="single" w:sz="8" w:color="EBFBFF"/>
            </w:tcBorders>
            <w:shd w:val="clear" w:color="auto" w:fill="EBFBFF"/>
          </w:tcPr>
          <w:p>
            <w:pPr>
              <w:spacing w:after="0"/>
              <w:rPr>
                <w:sz w:val="23"/>
                <w:szCs w:val="23"/>
                <w:color w:val="auto"/>
              </w:rPr>
            </w:pP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7,736</w:t>
            </w:r>
          </w:p>
        </w:tc>
        <w:tc>
          <w:tcPr>
            <w:tcW w:w="4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9,542</w:t>
            </w:r>
          </w:p>
        </w:tc>
      </w:tr>
      <w:tr>
        <w:trPr>
          <w:trHeight w:val="220"/>
        </w:trPr>
        <w:tc>
          <w:tcPr>
            <w:tcW w:w="20" w:type="dxa"/>
            <w:vAlign w:val="bottom"/>
          </w:tcPr>
          <w:p>
            <w:pPr>
              <w:spacing w:after="0"/>
              <w:rPr>
                <w:sz w:val="19"/>
                <w:szCs w:val="19"/>
                <w:color w:val="auto"/>
              </w:rPr>
            </w:pPr>
          </w:p>
        </w:tc>
        <w:tc>
          <w:tcPr>
            <w:tcW w:w="8120" w:type="dxa"/>
            <w:vAlign w:val="bottom"/>
          </w:tcPr>
          <w:p>
            <w:pPr>
              <w:ind w:left="140"/>
              <w:spacing w:after="0"/>
              <w:rPr>
                <w:sz w:val="20"/>
                <w:szCs w:val="20"/>
                <w:color w:val="auto"/>
              </w:rPr>
            </w:pPr>
            <w:r>
              <w:rPr>
                <w:rFonts w:ascii="Arial" w:cs="Arial" w:eastAsia="Arial" w:hAnsi="Arial"/>
                <w:sz w:val="18"/>
                <w:szCs w:val="18"/>
                <w:color w:val="51555C"/>
              </w:rPr>
              <w:t>Total accrued expenses and other liabilites</w:t>
            </w:r>
          </w:p>
        </w:tc>
        <w:tc>
          <w:tcPr>
            <w:tcW w:w="20" w:type="dxa"/>
            <w:vAlign w:val="bottom"/>
          </w:tcPr>
          <w:p>
            <w:pPr>
              <w:spacing w:after="0"/>
              <w:rPr>
                <w:sz w:val="19"/>
                <w:szCs w:val="19"/>
                <w:color w:val="auto"/>
              </w:rPr>
            </w:pPr>
          </w:p>
        </w:tc>
        <w:tc>
          <w:tcPr>
            <w:tcW w:w="500" w:type="dxa"/>
            <w:vAlign w:val="bottom"/>
            <w:tcBorders>
              <w:top w:val="single" w:sz="8" w:color="51555C"/>
            </w:tcBorders>
          </w:tcPr>
          <w:p>
            <w:pPr>
              <w:spacing w:after="0"/>
              <w:rPr>
                <w:sz w:val="19"/>
                <w:szCs w:val="19"/>
                <w:color w:val="auto"/>
              </w:rPr>
            </w:pP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107,503</w:t>
            </w:r>
          </w:p>
        </w:tc>
        <w:tc>
          <w:tcPr>
            <w:tcW w:w="420" w:type="dxa"/>
            <w:vAlign w:val="bottom"/>
            <w:tcBorders>
              <w:top w:val="single" w:sz="8" w:color="51555C"/>
            </w:tcBorders>
          </w:tcPr>
          <w:p>
            <w:pPr>
              <w:spacing w:after="0"/>
              <w:rPr>
                <w:sz w:val="19"/>
                <w:szCs w:val="19"/>
                <w:color w:val="auto"/>
              </w:rPr>
            </w:pP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90,296</w:t>
            </w:r>
          </w:p>
        </w:tc>
      </w:tr>
      <w:tr>
        <w:trPr>
          <w:trHeight w:val="43"/>
        </w:trPr>
        <w:tc>
          <w:tcPr>
            <w:tcW w:w="20" w:type="dxa"/>
            <w:vAlign w:val="bottom"/>
          </w:tcPr>
          <w:p>
            <w:pPr>
              <w:spacing w:after="0"/>
              <w:rPr>
                <w:sz w:val="3"/>
                <w:szCs w:val="3"/>
                <w:color w:val="auto"/>
              </w:rPr>
            </w:pPr>
          </w:p>
        </w:tc>
        <w:tc>
          <w:tcPr>
            <w:tcW w:w="8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Long-term porton</w:t>
            </w:r>
          </w:p>
        </w:tc>
        <w:tc>
          <w:tcPr>
            <w:tcW w:w="20" w:type="dxa"/>
            <w:vAlign w:val="bottom"/>
            <w:tcBorders>
              <w:bottom w:val="single" w:sz="8" w:color="EBFBFF"/>
            </w:tcBorders>
            <w:shd w:val="clear" w:color="auto" w:fill="EBFBFF"/>
          </w:tcPr>
          <w:p>
            <w:pPr>
              <w:spacing w:after="0"/>
              <w:rPr>
                <w:sz w:val="23"/>
                <w:szCs w:val="23"/>
                <w:color w:val="auto"/>
              </w:rPr>
            </w:pP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4,756</w:t>
            </w:r>
          </w:p>
        </w:tc>
        <w:tc>
          <w:tcPr>
            <w:tcW w:w="4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4,294</w:t>
            </w:r>
          </w:p>
        </w:tc>
      </w:tr>
      <w:tr>
        <w:trPr>
          <w:trHeight w:val="220"/>
        </w:trPr>
        <w:tc>
          <w:tcPr>
            <w:tcW w:w="20" w:type="dxa"/>
            <w:vAlign w:val="bottom"/>
          </w:tcPr>
          <w:p>
            <w:pPr>
              <w:spacing w:after="0"/>
              <w:rPr>
                <w:sz w:val="19"/>
                <w:szCs w:val="19"/>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51555C"/>
              </w:rPr>
              <w:t>Accrued expenses and other current liabilites</w:t>
            </w:r>
          </w:p>
        </w:tc>
        <w:tc>
          <w:tcPr>
            <w:tcW w:w="20" w:type="dxa"/>
            <w:vAlign w:val="bottom"/>
          </w:tcPr>
          <w:p>
            <w:pPr>
              <w:spacing w:after="0"/>
              <w:rPr>
                <w:sz w:val="19"/>
                <w:szCs w:val="19"/>
                <w:color w:val="auto"/>
              </w:rPr>
            </w:pPr>
          </w:p>
        </w:tc>
        <w:tc>
          <w:tcPr>
            <w:tcW w:w="50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7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102,747</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86,002</w:t>
            </w:r>
          </w:p>
        </w:tc>
      </w:tr>
      <w:tr>
        <w:trPr>
          <w:trHeight w:val="43"/>
        </w:trPr>
        <w:tc>
          <w:tcPr>
            <w:tcW w:w="20" w:type="dxa"/>
            <w:vAlign w:val="bottom"/>
          </w:tcPr>
          <w:p>
            <w:pPr>
              <w:spacing w:after="0"/>
              <w:rPr>
                <w:sz w:val="3"/>
                <w:szCs w:val="3"/>
                <w:color w:val="auto"/>
              </w:rPr>
            </w:pPr>
          </w:p>
        </w:tc>
        <w:tc>
          <w:tcPr>
            <w:tcW w:w="8120" w:type="dxa"/>
            <w:vAlign w:val="bottom"/>
            <w:tcBorders>
              <w:bottom w:val="single" w:sz="8" w:color="0CD973"/>
            </w:tcBorders>
          </w:tcPr>
          <w:p>
            <w:pPr>
              <w:spacing w:after="0"/>
              <w:rPr>
                <w:sz w:val="3"/>
                <w:szCs w:val="3"/>
                <w:color w:val="auto"/>
              </w:rPr>
            </w:pPr>
          </w:p>
        </w:tc>
        <w:tc>
          <w:tcPr>
            <w:tcW w:w="20" w:type="dxa"/>
            <w:vAlign w:val="bottom"/>
            <w:tcBorders>
              <w:bottom w:val="single" w:sz="8" w:color="0CD973"/>
            </w:tcBorders>
          </w:tcPr>
          <w:p>
            <w:pPr>
              <w:spacing w:after="0"/>
              <w:rPr>
                <w:sz w:val="3"/>
                <w:szCs w:val="3"/>
                <w:color w:val="auto"/>
              </w:rPr>
            </w:pPr>
          </w:p>
        </w:tc>
        <w:tc>
          <w:tcPr>
            <w:tcW w:w="500" w:type="dxa"/>
            <w:vAlign w:val="bottom"/>
            <w:tcBorders>
              <w:bottom w:val="single" w:sz="8" w:color="0CD973"/>
            </w:tcBorders>
          </w:tcPr>
          <w:p>
            <w:pPr>
              <w:spacing w:after="0"/>
              <w:rPr>
                <w:sz w:val="3"/>
                <w:szCs w:val="3"/>
                <w:color w:val="auto"/>
              </w:rPr>
            </w:pPr>
          </w:p>
        </w:tc>
        <w:tc>
          <w:tcPr>
            <w:tcW w:w="1020" w:type="dxa"/>
            <w:vAlign w:val="bottom"/>
            <w:tcBorders>
              <w:bottom w:val="single" w:sz="8" w:color="0CD973"/>
            </w:tcBorders>
          </w:tcPr>
          <w:p>
            <w:pPr>
              <w:spacing w:after="0"/>
              <w:rPr>
                <w:sz w:val="3"/>
                <w:szCs w:val="3"/>
                <w:color w:val="auto"/>
              </w:rPr>
            </w:pPr>
          </w:p>
        </w:tc>
        <w:tc>
          <w:tcPr>
            <w:tcW w:w="420" w:type="dxa"/>
            <w:vAlign w:val="bottom"/>
            <w:tcBorders>
              <w:bottom w:val="single" w:sz="8" w:color="0CD973"/>
            </w:tcBorders>
          </w:tcPr>
          <w:p>
            <w:pPr>
              <w:spacing w:after="0"/>
              <w:rPr>
                <w:sz w:val="3"/>
                <w:szCs w:val="3"/>
                <w:color w:val="auto"/>
              </w:rPr>
            </w:pPr>
          </w:p>
        </w:tc>
        <w:tc>
          <w:tcPr>
            <w:tcW w:w="1140" w:type="dxa"/>
            <w:vAlign w:val="bottom"/>
            <w:tcBorders>
              <w:bottom w:val="single" w:sz="8" w:color="0CD973"/>
            </w:tcBorders>
          </w:tcPr>
          <w:p>
            <w:pPr>
              <w:spacing w:after="0"/>
              <w:rPr>
                <w:sz w:val="3"/>
                <w:szCs w:val="3"/>
                <w:color w:val="auto"/>
              </w:rPr>
            </w:pPr>
          </w:p>
        </w:tc>
      </w:tr>
    </w:tbl>
    <w:p>
      <w:pPr>
        <w:spacing w:after="0" w:line="43" w:lineRule="exact"/>
        <w:rPr>
          <w:sz w:val="20"/>
          <w:szCs w:val="20"/>
          <w:color w:val="auto"/>
        </w:rPr>
      </w:pPr>
    </w:p>
    <w:p>
      <w:pPr>
        <w:ind w:left="340" w:hanging="332"/>
        <w:spacing w:after="0" w:line="292" w:lineRule="auto"/>
        <w:tabs>
          <w:tab w:leader="none" w:pos="340"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All accrued legal costs are classifed as current. See Note 8 to these unaudited, condensed consolidated fnancial statements for additonal informaton about our loss contngency accruals and other legal expenses.</w:t>
      </w:r>
    </w:p>
    <w:p>
      <w:pPr>
        <w:spacing w:after="0" w:line="332"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12</w:t>
      </w:r>
      <w:r>
        <w:rPr>
          <w:sz w:val="20"/>
          <w:szCs w:val="20"/>
          <w:color w:val="auto"/>
        </w:rPr>
        <w:tab/>
      </w:r>
      <w:r>
        <w:rPr>
          <w:sz w:val="1"/>
          <w:szCs w:val="1"/>
          <w:color w:val="auto"/>
        </w:rPr>
        <w:drawing>
          <wp:inline distT="0" distB="0" distL="0" distR="0">
            <wp:extent cx="651510" cy="1714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1555C"/>
        </w:rPr>
        <w:t>Other income,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980" w:type="dxa"/>
            <w:vAlign w:val="bottom"/>
            <w:shd w:val="clear" w:color="auto" w:fill="004054"/>
          </w:tcPr>
          <w:p>
            <w:pPr>
              <w:spacing w:after="0"/>
              <w:rPr>
                <w:sz w:val="15"/>
                <w:szCs w:val="15"/>
                <w:color w:val="auto"/>
              </w:rPr>
            </w:pPr>
          </w:p>
        </w:tc>
        <w:tc>
          <w:tcPr>
            <w:tcW w:w="5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4"/>
              </w:rPr>
              <w:t>Three months ended</w:t>
            </w:r>
          </w:p>
        </w:tc>
        <w:tc>
          <w:tcPr>
            <w:tcW w:w="120" w:type="dxa"/>
            <w:vAlign w:val="bottom"/>
          </w:tcPr>
          <w:p>
            <w:pPr>
              <w:spacing w:after="0"/>
              <w:rPr>
                <w:sz w:val="15"/>
                <w:szCs w:val="15"/>
                <w:color w:val="auto"/>
              </w:rPr>
            </w:pPr>
          </w:p>
        </w:tc>
        <w:tc>
          <w:tcPr>
            <w:tcW w:w="5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9"/>
              </w:rPr>
              <w:t>Six months ended</w:t>
            </w:r>
          </w:p>
        </w:tc>
      </w:tr>
      <w:tr>
        <w:trPr>
          <w:trHeight w:val="184"/>
        </w:trPr>
        <w:tc>
          <w:tcPr>
            <w:tcW w:w="20" w:type="dxa"/>
            <w:vAlign w:val="bottom"/>
            <w:shd w:val="clear" w:color="auto" w:fill="004054"/>
          </w:tcPr>
          <w:p>
            <w:pPr>
              <w:spacing w:after="0"/>
              <w:rPr>
                <w:sz w:val="15"/>
                <w:szCs w:val="15"/>
                <w:color w:val="auto"/>
              </w:rPr>
            </w:pPr>
          </w:p>
        </w:tc>
        <w:tc>
          <w:tcPr>
            <w:tcW w:w="4980" w:type="dxa"/>
            <w:vAlign w:val="bottom"/>
            <w:shd w:val="clear" w:color="auto" w:fill="004054"/>
          </w:tcPr>
          <w:p>
            <w:pPr>
              <w:spacing w:after="0"/>
              <w:rPr>
                <w:sz w:val="15"/>
                <w:szCs w:val="15"/>
                <w:color w:val="auto"/>
              </w:rPr>
            </w:pPr>
          </w:p>
        </w:tc>
        <w:tc>
          <w:tcPr>
            <w:tcW w:w="5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0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20" w:type="dxa"/>
            <w:vAlign w:val="bottom"/>
          </w:tcPr>
          <w:p>
            <w:pPr>
              <w:spacing w:after="0"/>
              <w:rPr>
                <w:sz w:val="15"/>
                <w:szCs w:val="15"/>
                <w:color w:val="auto"/>
              </w:rPr>
            </w:pPr>
          </w:p>
        </w:tc>
        <w:tc>
          <w:tcPr>
            <w:tcW w:w="5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79"/>
        </w:trPr>
        <w:tc>
          <w:tcPr>
            <w:tcW w:w="20" w:type="dxa"/>
            <w:vAlign w:val="bottom"/>
            <w:tcBorders>
              <w:bottom w:val="single" w:sz="8" w:color="004054"/>
            </w:tcBorders>
            <w:shd w:val="clear" w:color="auto" w:fill="004054"/>
          </w:tcPr>
          <w:p>
            <w:pPr>
              <w:spacing w:after="0"/>
              <w:rPr>
                <w:sz w:val="24"/>
                <w:szCs w:val="24"/>
                <w:color w:val="auto"/>
              </w:rPr>
            </w:pPr>
          </w:p>
        </w:tc>
        <w:tc>
          <w:tcPr>
            <w:tcW w:w="498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80" w:type="dxa"/>
            <w:vAlign w:val="bottom"/>
            <w:tcBorders>
              <w:bottom w:val="single" w:sz="8" w:color="004054"/>
            </w:tcBorders>
            <w:shd w:val="clear" w:color="auto" w:fill="004054"/>
          </w:tcPr>
          <w:p>
            <w:pPr>
              <w:spacing w:after="0"/>
              <w:rPr>
                <w:sz w:val="24"/>
                <w:szCs w:val="24"/>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00" w:type="dxa"/>
            <w:vAlign w:val="bottom"/>
            <w:tcBorders>
              <w:bottom w:val="single" w:sz="8" w:color="004054"/>
            </w:tcBorders>
            <w:shd w:val="clear" w:color="auto" w:fill="004054"/>
          </w:tcPr>
          <w:p>
            <w:pPr>
              <w:spacing w:after="0"/>
              <w:rPr>
                <w:sz w:val="24"/>
                <w:szCs w:val="24"/>
                <w:color w:val="auto"/>
              </w:rPr>
            </w:pPr>
          </w:p>
        </w:tc>
        <w:tc>
          <w:tcPr>
            <w:tcW w:w="13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20" w:type="dxa"/>
            <w:vAlign w:val="bottom"/>
          </w:tcPr>
          <w:p>
            <w:pPr>
              <w:spacing w:after="0"/>
              <w:rPr>
                <w:sz w:val="24"/>
                <w:szCs w:val="24"/>
                <w:color w:val="auto"/>
              </w:rPr>
            </w:pPr>
          </w:p>
        </w:tc>
        <w:tc>
          <w:tcPr>
            <w:tcW w:w="580" w:type="dxa"/>
            <w:vAlign w:val="bottom"/>
            <w:tcBorders>
              <w:bottom w:val="single" w:sz="8" w:color="004054"/>
            </w:tcBorders>
            <w:shd w:val="clear" w:color="auto" w:fill="004054"/>
          </w:tcPr>
          <w:p>
            <w:pPr>
              <w:spacing w:after="0"/>
              <w:rPr>
                <w:sz w:val="24"/>
                <w:szCs w:val="24"/>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80" w:type="dxa"/>
            <w:vAlign w:val="bottom"/>
            <w:tcBorders>
              <w:bottom w:val="single" w:sz="8" w:color="004054"/>
            </w:tcBorders>
            <w:shd w:val="clear" w:color="auto" w:fill="004054"/>
          </w:tcPr>
          <w:p>
            <w:pPr>
              <w:spacing w:after="0"/>
              <w:rPr>
                <w:sz w:val="24"/>
                <w:szCs w:val="24"/>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50"/>
        </w:trPr>
        <w:tc>
          <w:tcPr>
            <w:tcW w:w="20" w:type="dxa"/>
            <w:vAlign w:val="bottom"/>
          </w:tcPr>
          <w:p>
            <w:pPr>
              <w:spacing w:after="0"/>
              <w:rPr>
                <w:sz w:val="21"/>
                <w:szCs w:val="21"/>
                <w:color w:val="auto"/>
              </w:rPr>
            </w:pPr>
          </w:p>
        </w:tc>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Interest income</w:t>
            </w:r>
          </w:p>
        </w:tc>
        <w:tc>
          <w:tcPr>
            <w:tcW w:w="58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2,308</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114</w:t>
            </w:r>
          </w:p>
        </w:tc>
        <w:tc>
          <w:tcPr>
            <w:tcW w:w="120" w:type="dxa"/>
            <w:vAlign w:val="bottom"/>
            <w:tcBorders>
              <w:bottom w:val="single" w:sz="8" w:color="EBFBFF"/>
            </w:tcBorders>
            <w:shd w:val="clear" w:color="auto" w:fill="EBFBFF"/>
          </w:tcPr>
          <w:p>
            <w:pPr>
              <w:spacing w:after="0"/>
              <w:rPr>
                <w:sz w:val="21"/>
                <w:szCs w:val="21"/>
                <w:color w:val="auto"/>
              </w:rPr>
            </w:pPr>
          </w:p>
        </w:tc>
        <w:tc>
          <w:tcPr>
            <w:tcW w:w="580" w:type="dxa"/>
            <w:vAlign w:val="bottom"/>
            <w:tcBorders>
              <w:bottom w:val="single" w:sz="8" w:color="EBFBFF"/>
            </w:tcBorders>
            <w:shd w:val="clear" w:color="auto" w:fill="EBFBFF"/>
          </w:tcPr>
          <w:p>
            <w:pPr>
              <w:jc w:val="right"/>
              <w:ind w:right="39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3,544</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237</w:t>
            </w:r>
          </w:p>
        </w:tc>
      </w:tr>
      <w:tr>
        <w:trPr>
          <w:trHeight w:val="227"/>
        </w:trPr>
        <w:tc>
          <w:tcPr>
            <w:tcW w:w="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51555C"/>
              </w:rPr>
              <w:t>Currency revaluaton (losses) gains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(535)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51555C"/>
              </w:rPr>
              <w:t>2,271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(779)</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2,853</w:t>
            </w:r>
          </w:p>
        </w:tc>
      </w:tr>
      <w:tr>
        <w:trPr>
          <w:trHeight w:val="43"/>
        </w:trPr>
        <w:tc>
          <w:tcPr>
            <w:tcW w:w="20" w:type="dxa"/>
            <w:vAlign w:val="bottom"/>
          </w:tcPr>
          <w:p>
            <w:pPr>
              <w:spacing w:after="0"/>
              <w:rPr>
                <w:sz w:val="3"/>
                <w:szCs w:val="3"/>
                <w:color w:val="auto"/>
              </w:rPr>
            </w:pPr>
          </w:p>
        </w:tc>
        <w:tc>
          <w:tcPr>
            <w:tcW w:w="4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4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income, net</w:t>
            </w:r>
          </w:p>
        </w:tc>
        <w:tc>
          <w:tcPr>
            <w:tcW w:w="5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1,005</w:t>
            </w:r>
          </w:p>
        </w:tc>
        <w:tc>
          <w:tcPr>
            <w:tcW w:w="200" w:type="dxa"/>
            <w:vAlign w:val="bottom"/>
            <w:tcBorders>
              <w:bottom w:val="single" w:sz="8" w:color="EBFBFF"/>
            </w:tcBorders>
            <w:shd w:val="clear" w:color="auto" w:fill="EBFBFF"/>
          </w:tcPr>
          <w:p>
            <w:pPr>
              <w:spacing w:after="0"/>
              <w:rPr>
                <w:sz w:val="23"/>
                <w:szCs w:val="23"/>
                <w:color w:val="auto"/>
              </w:rPr>
            </w:pP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748</w:t>
            </w:r>
          </w:p>
        </w:tc>
        <w:tc>
          <w:tcPr>
            <w:tcW w:w="120" w:type="dxa"/>
            <w:vAlign w:val="bottom"/>
            <w:tcBorders>
              <w:bottom w:val="single" w:sz="8" w:color="EBFBFF"/>
            </w:tcBorders>
            <w:shd w:val="clear" w:color="auto" w:fill="EBFBFF"/>
          </w:tcPr>
          <w:p>
            <w:pPr>
              <w:spacing w:after="0"/>
              <w:rPr>
                <w:sz w:val="23"/>
                <w:szCs w:val="23"/>
                <w:color w:val="auto"/>
              </w:rPr>
            </w:pPr>
          </w:p>
        </w:tc>
        <w:tc>
          <w:tcPr>
            <w:tcW w:w="5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2,020</w:t>
            </w:r>
          </w:p>
        </w:tc>
        <w:tc>
          <w:tcPr>
            <w:tcW w:w="280" w:type="dxa"/>
            <w:vAlign w:val="bottom"/>
            <w:tcBorders>
              <w:bottom w:val="single" w:sz="8" w:color="EBFBFF"/>
            </w:tcBorders>
            <w:shd w:val="clear" w:color="auto" w:fill="EBFBFF"/>
          </w:tcPr>
          <w:p>
            <w:pPr>
              <w:spacing w:after="0"/>
              <w:rPr>
                <w:sz w:val="23"/>
                <w:szCs w:val="23"/>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1,164</w:t>
            </w:r>
          </w:p>
        </w:tc>
      </w:tr>
      <w:tr>
        <w:trPr>
          <w:trHeight w:val="220"/>
        </w:trPr>
        <w:tc>
          <w:tcPr>
            <w:tcW w:w="20" w:type="dxa"/>
            <w:vAlign w:val="bottom"/>
          </w:tcPr>
          <w:p>
            <w:pPr>
              <w:spacing w:after="0"/>
              <w:rPr>
                <w:sz w:val="19"/>
                <w:szCs w:val="19"/>
                <w:color w:val="auto"/>
              </w:rPr>
            </w:pPr>
          </w:p>
        </w:tc>
        <w:tc>
          <w:tcPr>
            <w:tcW w:w="4980" w:type="dxa"/>
            <w:vAlign w:val="bottom"/>
            <w:tcBorders>
              <w:top w:val="single" w:sz="8" w:color="EBFBFF"/>
            </w:tcBorders>
          </w:tcPr>
          <w:p>
            <w:pPr>
              <w:ind w:left="120"/>
              <w:spacing w:after="0"/>
              <w:rPr>
                <w:sz w:val="20"/>
                <w:szCs w:val="20"/>
                <w:color w:val="auto"/>
              </w:rPr>
            </w:pPr>
            <w:r>
              <w:rPr>
                <w:rFonts w:ascii="Arial" w:cs="Arial" w:eastAsia="Arial" w:hAnsi="Arial"/>
                <w:sz w:val="18"/>
                <w:szCs w:val="18"/>
                <w:color w:val="51555C"/>
              </w:rPr>
              <w:t>Other income, net</w:t>
            </w:r>
          </w:p>
        </w:tc>
        <w:tc>
          <w:tcPr>
            <w:tcW w:w="580" w:type="dxa"/>
            <w:vAlign w:val="bottom"/>
            <w:tcBorders>
              <w:top w:val="single" w:sz="8" w:color="51555C"/>
            </w:tcBorders>
          </w:tcPr>
          <w:p>
            <w:pPr>
              <w:jc w:val="right"/>
              <w:ind w:right="370"/>
              <w:spacing w:after="0"/>
              <w:rPr>
                <w:sz w:val="20"/>
                <w:szCs w:val="20"/>
                <w:color w:val="auto"/>
              </w:rPr>
            </w:pPr>
            <w:r>
              <w:rPr>
                <w:rFonts w:ascii="Arial" w:cs="Arial" w:eastAsia="Arial" w:hAnsi="Arial"/>
                <w:sz w:val="18"/>
                <w:szCs w:val="18"/>
                <w:color w:val="51555C"/>
                <w:w w:val="99"/>
              </w:rPr>
              <w:t>$</w:t>
            </w:r>
          </w:p>
        </w:tc>
        <w:tc>
          <w:tcPr>
            <w:tcW w:w="9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2,778</w:t>
            </w:r>
          </w:p>
        </w:tc>
        <w:tc>
          <w:tcPr>
            <w:tcW w:w="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3,133</w:t>
            </w:r>
          </w:p>
        </w:tc>
        <w:tc>
          <w:tcPr>
            <w:tcW w:w="120" w:type="dxa"/>
            <w:vAlign w:val="bottom"/>
            <w:tcBorders>
              <w:top w:val="single" w:sz="8" w:color="EBFBFF"/>
            </w:tcBorders>
          </w:tcPr>
          <w:p>
            <w:pPr>
              <w:spacing w:after="0"/>
              <w:rPr>
                <w:sz w:val="19"/>
                <w:szCs w:val="19"/>
                <w:color w:val="auto"/>
              </w:rPr>
            </w:pPr>
          </w:p>
        </w:tc>
        <w:tc>
          <w:tcPr>
            <w:tcW w:w="580" w:type="dxa"/>
            <w:vAlign w:val="bottom"/>
            <w:tcBorders>
              <w:top w:val="single" w:sz="8" w:color="51555C"/>
            </w:tcBorders>
          </w:tcPr>
          <w:p>
            <w:pPr>
              <w:jc w:val="right"/>
              <w:ind w:right="390"/>
              <w:spacing w:after="0"/>
              <w:rPr>
                <w:sz w:val="20"/>
                <w:szCs w:val="20"/>
                <w:color w:val="auto"/>
              </w:rPr>
            </w:pPr>
            <w:r>
              <w:rPr>
                <w:rFonts w:ascii="Arial" w:cs="Arial" w:eastAsia="Arial" w:hAnsi="Arial"/>
                <w:sz w:val="18"/>
                <w:szCs w:val="18"/>
                <w:color w:val="51555C"/>
                <w:w w:val="79"/>
              </w:rPr>
              <w:t>$</w:t>
            </w:r>
          </w:p>
        </w:tc>
        <w:tc>
          <w:tcPr>
            <w:tcW w:w="9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4,785</w:t>
            </w: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12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4,254</w:t>
            </w:r>
          </w:p>
        </w:tc>
      </w:tr>
      <w:tr>
        <w:trPr>
          <w:trHeight w:val="43"/>
        </w:trPr>
        <w:tc>
          <w:tcPr>
            <w:tcW w:w="20" w:type="dxa"/>
            <w:vAlign w:val="bottom"/>
          </w:tcPr>
          <w:p>
            <w:pPr>
              <w:spacing w:after="0"/>
              <w:rPr>
                <w:sz w:val="3"/>
                <w:szCs w:val="3"/>
                <w:color w:val="auto"/>
              </w:rPr>
            </w:pPr>
          </w:p>
        </w:tc>
        <w:tc>
          <w:tcPr>
            <w:tcW w:w="4980" w:type="dxa"/>
            <w:vAlign w:val="bottom"/>
            <w:tcBorders>
              <w:bottom w:val="single" w:sz="8" w:color="0CD973"/>
            </w:tcBorders>
          </w:tcPr>
          <w:p>
            <w:pPr>
              <w:spacing w:after="0"/>
              <w:rPr>
                <w:sz w:val="3"/>
                <w:szCs w:val="3"/>
                <w:color w:val="auto"/>
              </w:rPr>
            </w:pPr>
          </w:p>
        </w:tc>
        <w:tc>
          <w:tcPr>
            <w:tcW w:w="580" w:type="dxa"/>
            <w:vAlign w:val="bottom"/>
            <w:tcBorders>
              <w:bottom w:val="single" w:sz="8" w:color="0CD973"/>
            </w:tcBorders>
          </w:tcPr>
          <w:p>
            <w:pPr>
              <w:spacing w:after="0"/>
              <w:rPr>
                <w:sz w:val="3"/>
                <w:szCs w:val="3"/>
                <w:color w:val="auto"/>
              </w:rPr>
            </w:pPr>
          </w:p>
        </w:tc>
        <w:tc>
          <w:tcPr>
            <w:tcW w:w="940" w:type="dxa"/>
            <w:vAlign w:val="bottom"/>
            <w:tcBorders>
              <w:bottom w:val="single" w:sz="8" w:color="0CD973"/>
            </w:tcBorders>
          </w:tcPr>
          <w:p>
            <w:pPr>
              <w:spacing w:after="0"/>
              <w:rPr>
                <w:sz w:val="3"/>
                <w:szCs w:val="3"/>
                <w:color w:val="auto"/>
              </w:rPr>
            </w:pPr>
          </w:p>
        </w:tc>
        <w:tc>
          <w:tcPr>
            <w:tcW w:w="200" w:type="dxa"/>
            <w:vAlign w:val="bottom"/>
            <w:tcBorders>
              <w:bottom w:val="single" w:sz="8" w:color="0CD973"/>
            </w:tcBorders>
          </w:tcPr>
          <w:p>
            <w:pPr>
              <w:spacing w:after="0"/>
              <w:rPr>
                <w:sz w:val="3"/>
                <w:szCs w:val="3"/>
                <w:color w:val="auto"/>
              </w:rPr>
            </w:pPr>
          </w:p>
        </w:tc>
        <w:tc>
          <w:tcPr>
            <w:tcW w:w="134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580" w:type="dxa"/>
            <w:vAlign w:val="bottom"/>
            <w:tcBorders>
              <w:bottom w:val="single" w:sz="8" w:color="0CD973"/>
            </w:tcBorders>
          </w:tcPr>
          <w:p>
            <w:pPr>
              <w:spacing w:after="0"/>
              <w:rPr>
                <w:sz w:val="3"/>
                <w:szCs w:val="3"/>
                <w:color w:val="auto"/>
              </w:rPr>
            </w:pPr>
          </w:p>
        </w:tc>
        <w:tc>
          <w:tcPr>
            <w:tcW w:w="940" w:type="dxa"/>
            <w:vAlign w:val="bottom"/>
            <w:tcBorders>
              <w:bottom w:val="single" w:sz="8" w:color="0CD973"/>
            </w:tcBorders>
          </w:tcPr>
          <w:p>
            <w:pPr>
              <w:spacing w:after="0"/>
              <w:rPr>
                <w:sz w:val="3"/>
                <w:szCs w:val="3"/>
                <w:color w:val="auto"/>
              </w:rPr>
            </w:pPr>
          </w:p>
        </w:tc>
        <w:tc>
          <w:tcPr>
            <w:tcW w:w="280" w:type="dxa"/>
            <w:vAlign w:val="bottom"/>
            <w:tcBorders>
              <w:bottom w:val="single" w:sz="8" w:color="0CD973"/>
            </w:tcBorders>
          </w:tcPr>
          <w:p>
            <w:pPr>
              <w:spacing w:after="0"/>
              <w:rPr>
                <w:sz w:val="3"/>
                <w:szCs w:val="3"/>
                <w:color w:val="auto"/>
              </w:rPr>
            </w:pPr>
          </w:p>
        </w:tc>
        <w:tc>
          <w:tcPr>
            <w:tcW w:w="1260" w:type="dxa"/>
            <w:vAlign w:val="bottom"/>
            <w:tcBorders>
              <w:bottom w:val="single" w:sz="8" w:color="0CD97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-856615</wp:posOffset>
            </wp:positionV>
            <wp:extent cx="3943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6.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 following table summarizes our debt balances and the related weighted average efectve interest rates, which includes the efect of interest rate swap agreements.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86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102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200" w:type="dxa"/>
            <w:vAlign w:val="bottom"/>
            <w:tcBorders>
              <w:right w:val="single" w:sz="8" w:color="004054"/>
            </w:tcBorders>
            <w:shd w:val="clear" w:color="auto" w:fill="004054"/>
          </w:tcPr>
          <w:p>
            <w:pPr>
              <w:spacing w:after="0"/>
              <w:rPr>
                <w:sz w:val="15"/>
                <w:szCs w:val="15"/>
                <w:color w:val="auto"/>
              </w:rPr>
            </w:pPr>
          </w:p>
        </w:tc>
        <w:tc>
          <w:tcPr>
            <w:tcW w:w="100" w:type="dxa"/>
            <w:vAlign w:val="bottom"/>
            <w:tcBorders>
              <w:right w:val="single" w:sz="8" w:color="004054"/>
            </w:tcBorders>
          </w:tcPr>
          <w:p>
            <w:pPr>
              <w:spacing w:after="0"/>
              <w:rPr>
                <w:sz w:val="15"/>
                <w:szCs w:val="15"/>
                <w:color w:val="auto"/>
              </w:rPr>
            </w:pPr>
          </w:p>
        </w:tc>
        <w:tc>
          <w:tcPr>
            <w:tcW w:w="1580" w:type="dxa"/>
            <w:vAlign w:val="bottom"/>
            <w:shd w:val="clear" w:color="auto" w:fill="004054"/>
          </w:tcPr>
          <w:p>
            <w:pPr>
              <w:spacing w:after="0"/>
              <w:rPr>
                <w:sz w:val="15"/>
                <w:szCs w:val="15"/>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Weighted average</w:t>
            </w:r>
          </w:p>
        </w:tc>
      </w:tr>
      <w:tr>
        <w:trPr>
          <w:trHeight w:val="184"/>
        </w:trPr>
        <w:tc>
          <w:tcPr>
            <w:tcW w:w="20" w:type="dxa"/>
            <w:vAlign w:val="bottom"/>
            <w:shd w:val="clear" w:color="auto" w:fill="004054"/>
          </w:tcPr>
          <w:p>
            <w:pPr>
              <w:spacing w:after="0"/>
              <w:rPr>
                <w:sz w:val="15"/>
                <w:szCs w:val="15"/>
                <w:color w:val="auto"/>
              </w:rPr>
            </w:pPr>
          </w:p>
        </w:tc>
        <w:tc>
          <w:tcPr>
            <w:tcW w:w="486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102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Borders>
              <w:right w:val="single" w:sz="8" w:color="004054"/>
            </w:tcBorders>
          </w:tcPr>
          <w:p>
            <w:pPr>
              <w:spacing w:after="0"/>
              <w:rPr>
                <w:sz w:val="15"/>
                <w:szCs w:val="15"/>
                <w:color w:val="auto"/>
              </w:rPr>
            </w:pPr>
          </w:p>
        </w:tc>
        <w:tc>
          <w:tcPr>
            <w:tcW w:w="1580" w:type="dxa"/>
            <w:vAlign w:val="bottom"/>
            <w:shd w:val="clear" w:color="auto" w:fill="004054"/>
          </w:tcPr>
          <w:p>
            <w:pPr>
              <w:spacing w:after="0"/>
              <w:rPr>
                <w:sz w:val="15"/>
                <w:szCs w:val="15"/>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efectve interest rate at</w:t>
            </w:r>
          </w:p>
        </w:tc>
      </w:tr>
      <w:tr>
        <w:trPr>
          <w:trHeight w:val="235"/>
        </w:trPr>
        <w:tc>
          <w:tcPr>
            <w:tcW w:w="20" w:type="dxa"/>
            <w:vAlign w:val="bottom"/>
            <w:shd w:val="clear" w:color="auto" w:fill="004054"/>
          </w:tcPr>
          <w:p>
            <w:pPr>
              <w:spacing w:after="0"/>
              <w:rPr>
                <w:sz w:val="20"/>
                <w:szCs w:val="20"/>
                <w:color w:val="auto"/>
              </w:rPr>
            </w:pPr>
          </w:p>
        </w:tc>
        <w:tc>
          <w:tcPr>
            <w:tcW w:w="4860" w:type="dxa"/>
            <w:vAlign w:val="bottom"/>
            <w:shd w:val="clear" w:color="auto" w:fill="004054"/>
          </w:tcPr>
          <w:p>
            <w:pPr>
              <w:spacing w:after="0"/>
              <w:rPr>
                <w:sz w:val="20"/>
                <w:szCs w:val="20"/>
                <w:color w:val="auto"/>
              </w:rPr>
            </w:pPr>
          </w:p>
        </w:tc>
        <w:tc>
          <w:tcPr>
            <w:tcW w:w="48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340" w:type="dxa"/>
            <w:vAlign w:val="bottom"/>
            <w:shd w:val="clear" w:color="auto" w:fill="004054"/>
          </w:tcPr>
          <w:p>
            <w:pPr>
              <w:spacing w:after="0"/>
              <w:rPr>
                <w:sz w:val="20"/>
                <w:szCs w:val="20"/>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Borders>
              <w:right w:val="single" w:sz="8" w:color="004054"/>
            </w:tcBorders>
          </w:tcPr>
          <w:p>
            <w:pPr>
              <w:spacing w:after="0"/>
              <w:rPr>
                <w:sz w:val="20"/>
                <w:szCs w:val="20"/>
                <w:color w:val="auto"/>
              </w:rPr>
            </w:pPr>
          </w:p>
        </w:tc>
        <w:tc>
          <w:tcPr>
            <w:tcW w:w="1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84"/>
        </w:trPr>
        <w:tc>
          <w:tcPr>
            <w:tcW w:w="20" w:type="dxa"/>
            <w:vAlign w:val="bottom"/>
            <w:shd w:val="clear" w:color="auto" w:fill="004054"/>
          </w:tcPr>
          <w:p>
            <w:pPr>
              <w:spacing w:after="0"/>
              <w:rPr>
                <w:sz w:val="15"/>
                <w:szCs w:val="15"/>
                <w:color w:val="auto"/>
              </w:rPr>
            </w:pPr>
          </w:p>
        </w:tc>
        <w:tc>
          <w:tcPr>
            <w:tcW w:w="486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40" w:type="dxa"/>
            <w:vAlign w:val="bottom"/>
            <w:shd w:val="clear" w:color="auto" w:fill="004054"/>
          </w:tcPr>
          <w:p>
            <w:pPr>
              <w:spacing w:after="0"/>
              <w:rPr>
                <w:sz w:val="15"/>
                <w:szCs w:val="15"/>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Borders>
              <w:right w:val="single" w:sz="8" w:color="004054"/>
            </w:tcBorders>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56"/>
        </w:trPr>
        <w:tc>
          <w:tcPr>
            <w:tcW w:w="20" w:type="dxa"/>
            <w:vAlign w:val="bottom"/>
            <w:tcBorders>
              <w:bottom w:val="single" w:sz="8" w:color="004054"/>
            </w:tcBorders>
            <w:shd w:val="clear" w:color="auto" w:fill="004054"/>
          </w:tcPr>
          <w:p>
            <w:pPr>
              <w:spacing w:after="0"/>
              <w:rPr>
                <w:sz w:val="4"/>
                <w:szCs w:val="4"/>
                <w:color w:val="auto"/>
              </w:rPr>
            </w:pPr>
          </w:p>
        </w:tc>
        <w:tc>
          <w:tcPr>
            <w:tcW w:w="4860" w:type="dxa"/>
            <w:vAlign w:val="bottom"/>
            <w:tcBorders>
              <w:bottom w:val="single" w:sz="8" w:color="004054"/>
            </w:tcBorders>
            <w:shd w:val="clear" w:color="auto" w:fill="004054"/>
          </w:tcPr>
          <w:p>
            <w:pPr>
              <w:spacing w:after="0"/>
              <w:rPr>
                <w:sz w:val="4"/>
                <w:szCs w:val="4"/>
                <w:color w:val="auto"/>
              </w:rPr>
            </w:pPr>
          </w:p>
        </w:tc>
        <w:tc>
          <w:tcPr>
            <w:tcW w:w="480" w:type="dxa"/>
            <w:vAlign w:val="bottom"/>
            <w:tcBorders>
              <w:bottom w:val="single" w:sz="8" w:color="004054"/>
            </w:tcBorders>
            <w:shd w:val="clear" w:color="auto" w:fill="004054"/>
          </w:tcPr>
          <w:p>
            <w:pPr>
              <w:spacing w:after="0"/>
              <w:rPr>
                <w:sz w:val="4"/>
                <w:szCs w:val="4"/>
                <w:color w:val="auto"/>
              </w:rPr>
            </w:pPr>
          </w:p>
        </w:tc>
        <w:tc>
          <w:tcPr>
            <w:tcW w:w="1020" w:type="dxa"/>
            <w:vAlign w:val="bottom"/>
            <w:tcBorders>
              <w:bottom w:val="single" w:sz="8" w:color="004054"/>
            </w:tcBorders>
            <w:shd w:val="clear" w:color="auto" w:fill="004054"/>
          </w:tcPr>
          <w:p>
            <w:pPr>
              <w:spacing w:after="0"/>
              <w:rPr>
                <w:sz w:val="4"/>
                <w:szCs w:val="4"/>
                <w:color w:val="auto"/>
              </w:rPr>
            </w:pPr>
          </w:p>
        </w:tc>
        <w:tc>
          <w:tcPr>
            <w:tcW w:w="340" w:type="dxa"/>
            <w:vAlign w:val="bottom"/>
            <w:tcBorders>
              <w:bottom w:val="single" w:sz="8" w:color="004054"/>
            </w:tcBorders>
            <w:shd w:val="clear" w:color="auto" w:fill="004054"/>
          </w:tcPr>
          <w:p>
            <w:pPr>
              <w:spacing w:after="0"/>
              <w:rPr>
                <w:sz w:val="4"/>
                <w:szCs w:val="4"/>
                <w:color w:val="auto"/>
              </w:rPr>
            </w:pPr>
          </w:p>
        </w:tc>
        <w:tc>
          <w:tcPr>
            <w:tcW w:w="1200" w:type="dxa"/>
            <w:vAlign w:val="bottom"/>
            <w:tcBorders>
              <w:bottom w:val="single" w:sz="8" w:color="004054"/>
              <w:right w:val="single" w:sz="8" w:color="004054"/>
            </w:tcBorders>
            <w:shd w:val="clear" w:color="auto" w:fill="004054"/>
          </w:tcPr>
          <w:p>
            <w:pPr>
              <w:spacing w:after="0"/>
              <w:rPr>
                <w:sz w:val="4"/>
                <w:szCs w:val="4"/>
                <w:color w:val="auto"/>
              </w:rPr>
            </w:pPr>
          </w:p>
        </w:tc>
        <w:tc>
          <w:tcPr>
            <w:tcW w:w="100" w:type="dxa"/>
            <w:vAlign w:val="bottom"/>
            <w:tcBorders>
              <w:bottom w:val="single" w:sz="8" w:color="EBFBFF"/>
              <w:right w:val="single" w:sz="8" w:color="004054"/>
            </w:tcBorders>
          </w:tcPr>
          <w:p>
            <w:pPr>
              <w:spacing w:after="0"/>
              <w:rPr>
                <w:sz w:val="4"/>
                <w:szCs w:val="4"/>
                <w:color w:val="auto"/>
              </w:rPr>
            </w:pPr>
          </w:p>
        </w:tc>
        <w:tc>
          <w:tcPr>
            <w:tcW w:w="1580" w:type="dxa"/>
            <w:vAlign w:val="bottom"/>
            <w:tcBorders>
              <w:bottom w:val="single" w:sz="8" w:color="004054"/>
            </w:tcBorders>
            <w:shd w:val="clear" w:color="auto" w:fill="004054"/>
          </w:tcPr>
          <w:p>
            <w:pPr>
              <w:spacing w:after="0"/>
              <w:rPr>
                <w:sz w:val="4"/>
                <w:szCs w:val="4"/>
                <w:color w:val="auto"/>
              </w:rPr>
            </w:pPr>
          </w:p>
        </w:tc>
        <w:tc>
          <w:tcPr>
            <w:tcW w:w="1640" w:type="dxa"/>
            <w:vAlign w:val="bottom"/>
            <w:tcBorders>
              <w:bottom w:val="single" w:sz="8" w:color="004054"/>
            </w:tcBorders>
            <w:shd w:val="clear" w:color="auto" w:fill="004054"/>
          </w:tcPr>
          <w:p>
            <w:pPr>
              <w:spacing w:after="0"/>
              <w:rPr>
                <w:sz w:val="4"/>
                <w:szCs w:val="4"/>
                <w:color w:val="auto"/>
              </w:rPr>
            </w:pPr>
          </w:p>
        </w:tc>
      </w:tr>
      <w:tr>
        <w:trPr>
          <w:trHeight w:val="244"/>
        </w:trPr>
        <w:tc>
          <w:tcPr>
            <w:tcW w:w="20" w:type="dxa"/>
            <w:vAlign w:val="bottom"/>
          </w:tcPr>
          <w:p>
            <w:pPr>
              <w:spacing w:after="0"/>
              <w:rPr>
                <w:sz w:val="21"/>
                <w:szCs w:val="21"/>
                <w:color w:val="auto"/>
              </w:rPr>
            </w:pPr>
          </w:p>
        </w:tc>
        <w:tc>
          <w:tcPr>
            <w:tcW w:w="48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Credit facility:</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right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51555C"/>
              </w:rPr>
              <w:t>Revolving credit loans</w:t>
            </w:r>
          </w:p>
        </w:tc>
        <w:tc>
          <w:tcPr>
            <w:tcW w:w="480" w:type="dxa"/>
            <w:vAlign w:val="bottom"/>
          </w:tcPr>
          <w:p>
            <w:pPr>
              <w:jc w:val="right"/>
              <w:ind w:right="270"/>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172,800</w:t>
            </w:r>
          </w:p>
        </w:tc>
        <w:tc>
          <w:tcPr>
            <w:tcW w:w="340" w:type="dxa"/>
            <w:vAlign w:val="bottom"/>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51555C"/>
              </w:rPr>
              <w:t>177,800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51555C"/>
              </w:rPr>
              <w:t>5.38 %</w:t>
            </w:r>
          </w:p>
        </w:tc>
        <w:tc>
          <w:tcPr>
            <w:tcW w:w="1640" w:type="dxa"/>
            <w:vAlign w:val="bottom"/>
          </w:tcPr>
          <w:p>
            <w:pPr>
              <w:jc w:val="right"/>
              <w:spacing w:after="0"/>
              <w:rPr>
                <w:sz w:val="20"/>
                <w:szCs w:val="20"/>
                <w:color w:val="auto"/>
              </w:rPr>
            </w:pPr>
            <w:r>
              <w:rPr>
                <w:rFonts w:ascii="Arial" w:cs="Arial" w:eastAsia="Arial" w:hAnsi="Arial"/>
                <w:sz w:val="18"/>
                <w:szCs w:val="18"/>
                <w:color w:val="51555C"/>
              </w:rPr>
              <w:t>5.18 %</w:t>
            </w:r>
          </w:p>
        </w:tc>
      </w:tr>
      <w:tr>
        <w:trPr>
          <w:trHeight w:val="43"/>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Term loans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615,625</w:t>
            </w:r>
          </w:p>
        </w:tc>
        <w:tc>
          <w:tcPr>
            <w:tcW w:w="3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623,750</w:t>
            </w:r>
          </w:p>
        </w:tc>
        <w:tc>
          <w:tcPr>
            <w:tcW w:w="16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4.30 %</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4.26 %</w:t>
            </w:r>
          </w:p>
        </w:tc>
      </w:tr>
      <w:tr>
        <w:trPr>
          <w:trHeight w:val="227"/>
        </w:trPr>
        <w:tc>
          <w:tcPr>
            <w:tcW w:w="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51555C"/>
              </w:rPr>
              <w:t>Real estate loans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57,490</w:t>
            </w:r>
          </w:p>
        </w:tc>
        <w:tc>
          <w:tcPr>
            <w:tcW w:w="3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51555C"/>
              </w:rPr>
              <w:t>58,189</w:t>
            </w:r>
          </w:p>
        </w:tc>
        <w:tc>
          <w:tcPr>
            <w:tcW w:w="1680" w:type="dxa"/>
            <w:vAlign w:val="bottom"/>
            <w:gridSpan w:val="2"/>
          </w:tcPr>
          <w:p>
            <w:pPr>
              <w:jc w:val="right"/>
              <w:spacing w:after="0"/>
              <w:rPr>
                <w:sz w:val="20"/>
                <w:szCs w:val="20"/>
                <w:color w:val="auto"/>
              </w:rPr>
            </w:pPr>
            <w:r>
              <w:rPr>
                <w:rFonts w:ascii="Arial" w:cs="Arial" w:eastAsia="Arial" w:hAnsi="Arial"/>
                <w:sz w:val="18"/>
                <w:szCs w:val="18"/>
                <w:color w:val="51555C"/>
              </w:rPr>
              <w:t>5.22 %</w:t>
            </w:r>
          </w:p>
        </w:tc>
        <w:tc>
          <w:tcPr>
            <w:tcW w:w="1640" w:type="dxa"/>
            <w:vAlign w:val="bottom"/>
          </w:tcPr>
          <w:p>
            <w:pPr>
              <w:jc w:val="right"/>
              <w:spacing w:after="0"/>
              <w:rPr>
                <w:sz w:val="20"/>
                <w:szCs w:val="20"/>
                <w:color w:val="auto"/>
              </w:rPr>
            </w:pPr>
            <w:r>
              <w:rPr>
                <w:rFonts w:ascii="Arial" w:cs="Arial" w:eastAsia="Arial" w:hAnsi="Arial"/>
                <w:sz w:val="18"/>
                <w:szCs w:val="18"/>
                <w:color w:val="51555C"/>
              </w:rPr>
              <w:t>5.22 %</w:t>
            </w:r>
          </w:p>
        </w:tc>
      </w:tr>
      <w:tr>
        <w:trPr>
          <w:trHeight w:val="43"/>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48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debt</w:t>
            </w:r>
          </w:p>
        </w:tc>
        <w:tc>
          <w:tcPr>
            <w:tcW w:w="48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2,800</w:t>
            </w:r>
          </w:p>
        </w:tc>
        <w:tc>
          <w:tcPr>
            <w:tcW w:w="340" w:type="dxa"/>
            <w:vAlign w:val="bottom"/>
            <w:tcBorders>
              <w:bottom w:val="single" w:sz="8" w:color="EBFBFF"/>
            </w:tcBorders>
            <w:shd w:val="clear" w:color="auto" w:fill="EBFBFF"/>
          </w:tcPr>
          <w:p>
            <w:pPr>
              <w:spacing w:after="0"/>
              <w:rPr>
                <w:sz w:val="23"/>
                <w:szCs w:val="23"/>
                <w:color w:val="auto"/>
              </w:rPr>
            </w:pPr>
          </w:p>
        </w:tc>
        <w:tc>
          <w:tcPr>
            <w:tcW w:w="120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2,247</w:t>
            </w:r>
          </w:p>
        </w:tc>
        <w:tc>
          <w:tcPr>
            <w:tcW w:w="168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8.42 %</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7.38 %</w:t>
            </w:r>
          </w:p>
        </w:tc>
      </w:tr>
      <w:tr>
        <w:trPr>
          <w:trHeight w:val="220"/>
        </w:trPr>
        <w:tc>
          <w:tcPr>
            <w:tcW w:w="20" w:type="dxa"/>
            <w:vAlign w:val="bottom"/>
          </w:tcPr>
          <w:p>
            <w:pPr>
              <w:spacing w:after="0"/>
              <w:rPr>
                <w:sz w:val="19"/>
                <w:szCs w:val="19"/>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51555C"/>
              </w:rPr>
              <w:t>Total debt</w:t>
            </w:r>
          </w:p>
        </w:tc>
        <w:tc>
          <w:tcPr>
            <w:tcW w:w="480" w:type="dxa"/>
            <w:vAlign w:val="bottom"/>
            <w:tcBorders>
              <w:top w:val="single" w:sz="8" w:color="51555C"/>
            </w:tcBorders>
          </w:tcPr>
          <w:p>
            <w:pPr>
              <w:spacing w:after="0"/>
              <w:rPr>
                <w:sz w:val="19"/>
                <w:szCs w:val="19"/>
                <w:color w:val="auto"/>
              </w:rPr>
            </w:pP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848,715</w:t>
            </w:r>
          </w:p>
        </w:tc>
        <w:tc>
          <w:tcPr>
            <w:tcW w:w="340" w:type="dxa"/>
            <w:vAlign w:val="bottom"/>
            <w:tcBorders>
              <w:top w:val="single" w:sz="8" w:color="51555C"/>
            </w:tcBorders>
          </w:tcPr>
          <w:p>
            <w:pPr>
              <w:spacing w:after="0"/>
              <w:rPr>
                <w:sz w:val="19"/>
                <w:szCs w:val="19"/>
                <w:color w:val="auto"/>
              </w:rPr>
            </w:pPr>
          </w:p>
        </w:tc>
        <w:tc>
          <w:tcPr>
            <w:tcW w:w="1200" w:type="dxa"/>
            <w:vAlign w:val="bottom"/>
            <w:tcBorders>
              <w:top w:val="single" w:sz="8" w:color="51555C"/>
            </w:tcBorders>
          </w:tcPr>
          <w:p>
            <w:pPr>
              <w:jc w:val="right"/>
              <w:ind w:right="15"/>
              <w:spacing w:after="0"/>
              <w:rPr>
                <w:sz w:val="20"/>
                <w:szCs w:val="20"/>
                <w:color w:val="auto"/>
              </w:rPr>
            </w:pPr>
            <w:r>
              <w:rPr>
                <w:rFonts w:ascii="Arial" w:cs="Arial" w:eastAsia="Arial" w:hAnsi="Arial"/>
                <w:sz w:val="18"/>
                <w:szCs w:val="18"/>
                <w:color w:val="51555C"/>
              </w:rPr>
              <w:t>861,986</w:t>
            </w:r>
          </w:p>
        </w:tc>
        <w:tc>
          <w:tcPr>
            <w:tcW w:w="100" w:type="dxa"/>
            <w:vAlign w:val="bottom"/>
          </w:tcPr>
          <w:p>
            <w:pPr>
              <w:spacing w:after="0"/>
              <w:rPr>
                <w:sz w:val="19"/>
                <w:szCs w:val="19"/>
                <w:color w:val="auto"/>
              </w:rPr>
            </w:pPr>
          </w:p>
        </w:tc>
        <w:tc>
          <w:tcPr>
            <w:tcW w:w="15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4.60 %</w:t>
            </w:r>
          </w:p>
        </w:tc>
        <w:tc>
          <w:tcPr>
            <w:tcW w:w="16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4.52 %</w:t>
            </w:r>
          </w:p>
        </w:tc>
      </w:tr>
      <w:tr>
        <w:trPr>
          <w:trHeight w:val="43"/>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Unamortzed discount and debt issuance costs</w:t>
            </w:r>
          </w:p>
        </w:tc>
        <w:tc>
          <w:tcPr>
            <w:tcW w:w="4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2,136</w:t>
            </w:r>
          </w:p>
        </w:tc>
        <w:tc>
          <w:tcPr>
            <w:tcW w:w="3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2,943</w:t>
            </w:r>
          </w:p>
        </w:tc>
        <w:tc>
          <w:tcPr>
            <w:tcW w:w="100" w:type="dxa"/>
            <w:vAlign w:val="bottom"/>
            <w:tcBorders>
              <w:bottom w:val="single" w:sz="8" w:color="EBFBFF"/>
              <w:right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51555C"/>
              </w:rPr>
              <w:t>Less: Debt, current porton</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19,176</w:t>
            </w:r>
          </w:p>
        </w:tc>
        <w:tc>
          <w:tcPr>
            <w:tcW w:w="3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51555C"/>
              </w:rPr>
              <w:t>18,802</w:t>
            </w:r>
          </w:p>
        </w:tc>
        <w:tc>
          <w:tcPr>
            <w:tcW w:w="1680" w:type="dxa"/>
            <w:vAlign w:val="bottom"/>
            <w:gridSpan w:val="2"/>
          </w:tcPr>
          <w:p>
            <w:pPr>
              <w:jc w:val="right"/>
              <w:spacing w:after="0"/>
              <w:rPr>
                <w:sz w:val="20"/>
                <w:szCs w:val="20"/>
                <w:color w:val="auto"/>
              </w:rPr>
            </w:pPr>
            <w:r>
              <w:rPr>
                <w:rFonts w:ascii="Arial" w:cs="Arial" w:eastAsia="Arial" w:hAnsi="Arial"/>
                <w:sz w:val="18"/>
                <w:szCs w:val="18"/>
                <w:color w:val="51555C"/>
              </w:rPr>
              <w:t>7.03 %</w:t>
            </w:r>
          </w:p>
        </w:tc>
        <w:tc>
          <w:tcPr>
            <w:tcW w:w="1640" w:type="dxa"/>
            <w:vAlign w:val="bottom"/>
          </w:tcPr>
          <w:p>
            <w:pPr>
              <w:jc w:val="right"/>
              <w:spacing w:after="0"/>
              <w:rPr>
                <w:sz w:val="20"/>
                <w:szCs w:val="20"/>
                <w:color w:val="auto"/>
              </w:rPr>
            </w:pPr>
            <w:r>
              <w:rPr>
                <w:rFonts w:ascii="Arial" w:cs="Arial" w:eastAsia="Arial" w:hAnsi="Arial"/>
                <w:sz w:val="18"/>
                <w:szCs w:val="18"/>
                <w:color w:val="51555C"/>
              </w:rPr>
              <w:t>6.45 %</w:t>
            </w:r>
          </w:p>
        </w:tc>
      </w:tr>
      <w:tr>
        <w:trPr>
          <w:trHeight w:val="43"/>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4860" w:type="dxa"/>
            <w:vAlign w:val="bottom"/>
            <w:tcBorders>
              <w:top w:val="single" w:sz="8" w:color="EBFBFF"/>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Debt, net of current porton</w:t>
            </w:r>
          </w:p>
        </w:tc>
        <w:tc>
          <w:tcPr>
            <w:tcW w:w="480" w:type="dxa"/>
            <w:vAlign w:val="bottom"/>
            <w:tcBorders>
              <w:top w:val="single" w:sz="8" w:color="51555C"/>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827,403</w:t>
            </w:r>
          </w:p>
        </w:tc>
        <w:tc>
          <w:tcPr>
            <w:tcW w:w="340" w:type="dxa"/>
            <w:vAlign w:val="bottom"/>
            <w:tcBorders>
              <w:top w:val="single" w:sz="8" w:color="51555C"/>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200" w:type="dxa"/>
            <w:vAlign w:val="bottom"/>
            <w:tcBorders>
              <w:top w:val="single" w:sz="8" w:color="51555C"/>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840,241</w:t>
            </w:r>
          </w:p>
        </w:tc>
        <w:tc>
          <w:tcPr>
            <w:tcW w:w="100" w:type="dxa"/>
            <w:vAlign w:val="bottom"/>
            <w:tcBorders>
              <w:top w:val="single" w:sz="8" w:color="EBFBFF"/>
              <w:bottom w:val="single" w:sz="8" w:color="EBFBFF"/>
              <w:right w:val="single" w:sz="8" w:color="EBFBFF"/>
            </w:tcBorders>
            <w:shd w:val="clear" w:color="auto" w:fill="EBFBFF"/>
          </w:tcPr>
          <w:p>
            <w:pPr>
              <w:spacing w:after="0"/>
              <w:rPr>
                <w:sz w:val="21"/>
                <w:szCs w:val="21"/>
                <w:color w:val="auto"/>
              </w:rPr>
            </w:pPr>
          </w:p>
        </w:tc>
        <w:tc>
          <w:tcPr>
            <w:tcW w:w="158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4.54 %</w:t>
            </w:r>
          </w:p>
        </w:tc>
        <w:tc>
          <w:tcPr>
            <w:tcW w:w="164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4.48 %</w:t>
            </w:r>
          </w:p>
        </w:tc>
      </w:tr>
      <w:tr>
        <w:trPr>
          <w:trHeight w:val="20"/>
        </w:trPr>
        <w:tc>
          <w:tcPr>
            <w:tcW w:w="20" w:type="dxa"/>
            <w:vAlign w:val="bottom"/>
          </w:tcPr>
          <w:p>
            <w:pPr>
              <w:spacing w:after="0" w:line="20" w:lineRule="exact"/>
              <w:rPr>
                <w:sz w:val="1"/>
                <w:szCs w:val="1"/>
                <w:color w:val="auto"/>
              </w:rPr>
            </w:pPr>
          </w:p>
        </w:tc>
        <w:tc>
          <w:tcPr>
            <w:tcW w:w="48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20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tcBorders>
              <w:right w:val="single" w:sz="8" w:color="0CD973"/>
            </w:tcBorders>
            <w:shd w:val="clear" w:color="auto" w:fill="0CD973"/>
          </w:tcPr>
          <w:p>
            <w:pPr>
              <w:spacing w:after="0" w:line="20" w:lineRule="exact"/>
              <w:rPr>
                <w:sz w:val="1"/>
                <w:szCs w:val="1"/>
                <w:color w:val="auto"/>
              </w:rPr>
            </w:pPr>
          </w:p>
        </w:tc>
        <w:tc>
          <w:tcPr>
            <w:tcW w:w="158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-1842770</wp:posOffset>
            </wp:positionV>
            <wp:extent cx="40201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2020 credit facility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In October 2020, we entered into a fve-year $900.0 million senior credit facility (the "2020 Credit Facility"). At June 30, 2023, we were in compliance with our debt covenants under the 2020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Real estate loans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August 2020, we completed the purchase of our global headquarters facility. As part of the purchase price, we assumed the seller’s obligatons under two senior secured notes with a then-aggregate outstanding principal amount of $61.1 million (collectvely, the “Real Estate Loans”). At June 30, 2023, we were in compliance with our debt covenants under the Real Estate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debt</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From tme to tme, we enter into third-party fnancing agreements for purchases of sofware and related services for our internal use. Generally, the agreements are non-interest-bearing notes requiring annual payments. Interest associated with the notes is imputed at the rate we would incur for amounts borrowed under our then-existng credit facility at the incepton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233045</wp:posOffset>
            </wp:positionV>
            <wp:extent cx="66040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13</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our currently efectve supplier fnancing agreements as of June 30,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840" w:type="dxa"/>
            <w:vAlign w:val="bottom"/>
            <w:shd w:val="clear" w:color="auto" w:fill="004054"/>
          </w:tcPr>
          <w:p>
            <w:pPr>
              <w:spacing w:after="0"/>
              <w:rPr>
                <w:sz w:val="15"/>
                <w:szCs w:val="15"/>
                <w:color w:val="auto"/>
              </w:rPr>
            </w:pP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First Annual</w:t>
            </w:r>
          </w:p>
        </w:tc>
        <w:tc>
          <w:tcPr>
            <w:tcW w:w="42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Original Loan</w:t>
            </w:r>
          </w:p>
        </w:tc>
      </w:tr>
      <w:tr>
        <w:trPr>
          <w:trHeight w:val="184"/>
        </w:trPr>
        <w:tc>
          <w:tcPr>
            <w:tcW w:w="20" w:type="dxa"/>
            <w:vAlign w:val="bottom"/>
            <w:shd w:val="clear" w:color="auto" w:fill="004054"/>
          </w:tcPr>
          <w:p>
            <w:pPr>
              <w:spacing w:after="0"/>
              <w:rPr>
                <w:sz w:val="15"/>
                <w:szCs w:val="15"/>
                <w:color w:val="auto"/>
              </w:rPr>
            </w:pPr>
          </w:p>
        </w:tc>
        <w:tc>
          <w:tcPr>
            <w:tcW w:w="484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Payment Due</w:t>
            </w:r>
          </w:p>
        </w:tc>
        <w:tc>
          <w:tcPr>
            <w:tcW w:w="42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Value</w:t>
            </w:r>
          </w:p>
        </w:tc>
      </w:tr>
      <w:tr>
        <w:trPr>
          <w:trHeight w:val="70"/>
        </w:trPr>
        <w:tc>
          <w:tcPr>
            <w:tcW w:w="20" w:type="dxa"/>
            <w:vAlign w:val="bottom"/>
            <w:shd w:val="clear" w:color="auto" w:fill="004054"/>
          </w:tcPr>
          <w:p>
            <w:pPr>
              <w:spacing w:after="0"/>
              <w:rPr>
                <w:sz w:val="6"/>
                <w:szCs w:val="6"/>
                <w:color w:val="auto"/>
              </w:rPr>
            </w:pPr>
          </w:p>
        </w:tc>
        <w:tc>
          <w:tcPr>
            <w:tcW w:w="4840" w:type="dxa"/>
            <w:vAlign w:val="bottom"/>
            <w:shd w:val="clear" w:color="auto" w:fill="004054"/>
          </w:tcPr>
          <w:p>
            <w:pPr>
              <w:spacing w:after="0"/>
              <w:rPr>
                <w:sz w:val="6"/>
                <w:szCs w:val="6"/>
                <w:color w:val="auto"/>
              </w:rPr>
            </w:pPr>
          </w:p>
        </w:tc>
        <w:tc>
          <w:tcPr>
            <w:tcW w:w="1540" w:type="dxa"/>
            <w:vAlign w:val="bottom"/>
            <w:shd w:val="clear" w:color="auto" w:fill="004054"/>
          </w:tcPr>
          <w:p>
            <w:pPr>
              <w:spacing w:after="0"/>
              <w:rPr>
                <w:sz w:val="6"/>
                <w:szCs w:val="6"/>
                <w:color w:val="auto"/>
              </w:rPr>
            </w:pPr>
          </w:p>
        </w:tc>
        <w:tc>
          <w:tcPr>
            <w:tcW w:w="166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r>
      <w:tr>
        <w:trPr>
          <w:trHeight w:val="432"/>
        </w:trPr>
        <w:tc>
          <w:tcPr>
            <w:tcW w:w="20" w:type="dxa"/>
            <w:vAlign w:val="bottom"/>
          </w:tcPr>
          <w:p>
            <w:pPr>
              <w:spacing w:after="0"/>
              <w:rPr>
                <w:sz w:val="24"/>
                <w:szCs w:val="24"/>
                <w:color w:val="auto"/>
              </w:rPr>
            </w:pPr>
          </w:p>
        </w:tc>
        <w:tc>
          <w:tcPr>
            <w:tcW w:w="484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 xml:space="preserve">Efectve dates of agreements </w:t>
            </w:r>
            <w:r>
              <w:rPr>
                <w:rFonts w:ascii="Arial" w:cs="Arial" w:eastAsia="Arial" w:hAnsi="Arial"/>
                <w:sz w:val="23"/>
                <w:szCs w:val="23"/>
                <w:b w:val="1"/>
                <w:bCs w:val="1"/>
                <w:color w:val="51555C"/>
                <w:vertAlign w:val="superscript"/>
              </w:rPr>
              <w:t>(1)</w:t>
            </w:r>
            <w:r>
              <w:rPr>
                <w:rFonts w:ascii="Arial" w:cs="Arial" w:eastAsia="Arial" w:hAnsi="Arial"/>
                <w:sz w:val="18"/>
                <w:szCs w:val="18"/>
                <w:b w:val="1"/>
                <w:bCs w:val="1"/>
                <w:color w:val="51555C"/>
              </w:rPr>
              <w:t>:</w:t>
            </w:r>
          </w:p>
        </w:tc>
        <w:tc>
          <w:tcPr>
            <w:tcW w:w="1540" w:type="dxa"/>
            <w:vAlign w:val="bottom"/>
            <w:shd w:val="clear" w:color="auto" w:fill="EBFBFF"/>
          </w:tcPr>
          <w:p>
            <w:pPr>
              <w:spacing w:after="0"/>
              <w:rPr>
                <w:sz w:val="24"/>
                <w:szCs w:val="24"/>
                <w:color w:val="auto"/>
              </w:rPr>
            </w:pPr>
          </w:p>
        </w:tc>
        <w:tc>
          <w:tcPr>
            <w:tcW w:w="1660" w:type="dxa"/>
            <w:vAlign w:val="bottom"/>
            <w:shd w:val="clear" w:color="auto" w:fill="EBFBFF"/>
          </w:tcPr>
          <w:p>
            <w:pPr>
              <w:spacing w:after="0"/>
              <w:rPr>
                <w:sz w:val="24"/>
                <w:szCs w:val="24"/>
                <w:color w:val="auto"/>
              </w:rPr>
            </w:pPr>
          </w:p>
        </w:tc>
        <w:tc>
          <w:tcPr>
            <w:tcW w:w="1640" w:type="dxa"/>
            <w:vAlign w:val="bottom"/>
            <w:shd w:val="clear" w:color="auto" w:fill="EBFBFF"/>
          </w:tcPr>
          <w:p>
            <w:pPr>
              <w:spacing w:after="0"/>
              <w:rPr>
                <w:sz w:val="24"/>
                <w:szCs w:val="24"/>
                <w:color w:val="auto"/>
              </w:rPr>
            </w:pPr>
          </w:p>
        </w:tc>
        <w:tc>
          <w:tcPr>
            <w:tcW w:w="420" w:type="dxa"/>
            <w:vAlign w:val="bottom"/>
            <w:shd w:val="clear" w:color="auto" w:fill="EBFBFF"/>
          </w:tcPr>
          <w:p>
            <w:pPr>
              <w:spacing w:after="0"/>
              <w:rPr>
                <w:sz w:val="24"/>
                <w:szCs w:val="24"/>
                <w:color w:val="auto"/>
              </w:rPr>
            </w:pPr>
          </w:p>
        </w:tc>
        <w:tc>
          <w:tcPr>
            <w:tcW w:w="1120" w:type="dxa"/>
            <w:vAlign w:val="bottom"/>
            <w:shd w:val="clear" w:color="auto" w:fill="EBFBFF"/>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51555C"/>
              </w:rPr>
              <w:t>December 2022</w:t>
            </w:r>
          </w:p>
        </w:tc>
        <w:tc>
          <w:tcPr>
            <w:tcW w:w="1540" w:type="dxa"/>
            <w:vAlign w:val="bottom"/>
          </w:tcPr>
          <w:p>
            <w:pPr>
              <w:jc w:val="right"/>
              <w:spacing w:after="0"/>
              <w:rPr>
                <w:sz w:val="20"/>
                <w:szCs w:val="20"/>
                <w:color w:val="auto"/>
              </w:rPr>
            </w:pPr>
            <w:r>
              <w:rPr>
                <w:rFonts w:ascii="Arial" w:cs="Arial" w:eastAsia="Arial" w:hAnsi="Arial"/>
                <w:sz w:val="18"/>
                <w:szCs w:val="18"/>
                <w:color w:val="51555C"/>
              </w:rPr>
              <w:t>39</w:t>
            </w:r>
          </w:p>
        </w:tc>
        <w:tc>
          <w:tcPr>
            <w:tcW w:w="1660" w:type="dxa"/>
            <w:vAlign w:val="bottom"/>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Pr>
          <w:p>
            <w:pPr>
              <w:jc w:val="right"/>
              <w:spacing w:after="0"/>
              <w:rPr>
                <w:sz w:val="20"/>
                <w:szCs w:val="20"/>
                <w:color w:val="auto"/>
              </w:rPr>
            </w:pPr>
            <w:r>
              <w:rPr>
                <w:rFonts w:ascii="Arial" w:cs="Arial" w:eastAsia="Arial" w:hAnsi="Arial"/>
                <w:sz w:val="18"/>
                <w:szCs w:val="18"/>
                <w:color w:val="51555C"/>
              </w:rPr>
              <w:t>January 2023</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51555C"/>
              </w:rPr>
              <w:t>1,710</w:t>
            </w:r>
          </w:p>
        </w:tc>
      </w:tr>
      <w:tr>
        <w:trPr>
          <w:trHeight w:val="43"/>
        </w:trPr>
        <w:tc>
          <w:tcPr>
            <w:tcW w:w="20" w:type="dxa"/>
            <w:vAlign w:val="bottom"/>
          </w:tcPr>
          <w:p>
            <w:pPr>
              <w:spacing w:after="0"/>
              <w:rPr>
                <w:sz w:val="3"/>
                <w:szCs w:val="3"/>
                <w:color w:val="auto"/>
              </w:rPr>
            </w:pPr>
          </w:p>
        </w:tc>
        <w:tc>
          <w:tcPr>
            <w:tcW w:w="48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January 2023</w:t>
            </w:r>
          </w:p>
        </w:tc>
        <w:tc>
          <w:tcPr>
            <w:tcW w:w="1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36</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April 2023</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2,491</w:t>
            </w: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CD973"/>
          </w:tcPr>
          <w:p>
            <w:pPr>
              <w:spacing w:after="0" w:line="20" w:lineRule="exact"/>
              <w:rPr>
                <w:sz w:val="1"/>
                <w:szCs w:val="1"/>
                <w:color w:val="auto"/>
              </w:rPr>
            </w:pPr>
          </w:p>
        </w:tc>
        <w:tc>
          <w:tcPr>
            <w:tcW w:w="154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r>
    </w:tbl>
    <w:p>
      <w:pPr>
        <w:spacing w:after="0" w:line="4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Represent noncash investng and fnancing transactons during the periods indicated as we purchased sofware and services by assuming directly related liabilites.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supplier fnancing obligatons during the six months ended June 30, 2023,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004054"/>
            </w:tcBorders>
            <w:shd w:val="clear" w:color="auto" w:fill="004054"/>
          </w:tcPr>
          <w:p>
            <w:pPr>
              <w:spacing w:after="0"/>
              <w:rPr>
                <w:sz w:val="19"/>
                <w:szCs w:val="19"/>
                <w:color w:val="auto"/>
              </w:rPr>
            </w:pPr>
          </w:p>
        </w:tc>
        <w:tc>
          <w:tcPr>
            <w:tcW w:w="966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tcBorders>
              <w:bottom w:val="single" w:sz="8" w:color="004054"/>
            </w:tcBorders>
            <w:shd w:val="clear" w:color="auto" w:fill="004054"/>
          </w:tcPr>
          <w:p>
            <w:pPr>
              <w:spacing w:after="0"/>
              <w:rPr>
                <w:sz w:val="19"/>
                <w:szCs w:val="19"/>
                <w:color w:val="auto"/>
              </w:rPr>
            </w:pPr>
          </w:p>
        </w:tc>
        <w:tc>
          <w:tcPr>
            <w:tcW w:w="540" w:type="dxa"/>
            <w:vAlign w:val="bottom"/>
            <w:tcBorders>
              <w:bottom w:val="single" w:sz="8" w:color="004054"/>
            </w:tcBorders>
            <w:shd w:val="clear" w:color="auto" w:fill="004054"/>
          </w:tcPr>
          <w:p>
            <w:pPr>
              <w:spacing w:after="0"/>
              <w:rPr>
                <w:sz w:val="19"/>
                <w:szCs w:val="19"/>
                <w:color w:val="auto"/>
              </w:rPr>
            </w:pPr>
          </w:p>
        </w:tc>
        <w:tc>
          <w:tcPr>
            <w:tcW w:w="1000" w:type="dxa"/>
            <w:vAlign w:val="bottom"/>
            <w:tcBorders>
              <w:bottom w:val="single" w:sz="8" w:color="004054"/>
            </w:tcBorders>
            <w:shd w:val="clear" w:color="auto" w:fill="004054"/>
          </w:tcPr>
          <w:p>
            <w:pPr>
              <w:ind w:left="680"/>
              <w:spacing w:after="0"/>
              <w:rPr>
                <w:sz w:val="20"/>
                <w:szCs w:val="20"/>
                <w:color w:val="auto"/>
              </w:rPr>
            </w:pPr>
            <w:r>
              <w:rPr>
                <w:rFonts w:ascii="Arial" w:cs="Arial" w:eastAsia="Arial" w:hAnsi="Arial"/>
                <w:sz w:val="14"/>
                <w:szCs w:val="14"/>
                <w:b w:val="1"/>
                <w:bCs w:val="1"/>
                <w:color w:val="FFFFFF"/>
                <w:w w:val="89"/>
              </w:rPr>
              <w:t>Total</w:t>
            </w:r>
          </w:p>
        </w:tc>
      </w:tr>
      <w:tr>
        <w:trPr>
          <w:trHeight w:val="250"/>
        </w:trPr>
        <w:tc>
          <w:tcPr>
            <w:tcW w:w="20" w:type="dxa"/>
            <w:vAlign w:val="bottom"/>
          </w:tcPr>
          <w:p>
            <w:pPr>
              <w:spacing w:after="0"/>
              <w:rPr>
                <w:sz w:val="21"/>
                <w:szCs w:val="21"/>
                <w:color w:val="auto"/>
              </w:rPr>
            </w:pPr>
          </w:p>
        </w:tc>
        <w:tc>
          <w:tcPr>
            <w:tcW w:w="9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Balance at December 31, 2022</w:t>
            </w:r>
          </w:p>
        </w:tc>
        <w:tc>
          <w:tcPr>
            <w:tcW w:w="560" w:type="dxa"/>
            <w:vAlign w:val="bottom"/>
            <w:tcBorders>
              <w:bottom w:val="single" w:sz="8" w:color="EBFBFF"/>
            </w:tcBorders>
            <w:gridSpan w:val="2"/>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center"/>
              <w:ind w:left="354"/>
              <w:spacing w:after="0"/>
              <w:rPr>
                <w:sz w:val="20"/>
                <w:szCs w:val="20"/>
                <w:color w:val="auto"/>
              </w:rPr>
            </w:pPr>
            <w:r>
              <w:rPr>
                <w:rFonts w:ascii="Arial" w:cs="Arial" w:eastAsia="Arial" w:hAnsi="Arial"/>
                <w:sz w:val="18"/>
                <w:szCs w:val="18"/>
                <w:color w:val="51555C"/>
                <w:w w:val="88"/>
              </w:rPr>
              <w:t>2,247</w:t>
            </w:r>
          </w:p>
        </w:tc>
      </w:tr>
      <w:tr>
        <w:trPr>
          <w:trHeight w:val="276"/>
        </w:trPr>
        <w:tc>
          <w:tcPr>
            <w:tcW w:w="20" w:type="dxa"/>
            <w:vAlign w:val="bottom"/>
          </w:tcPr>
          <w:p>
            <w:pPr>
              <w:spacing w:after="0"/>
              <w:rPr>
                <w:sz w:val="23"/>
                <w:szCs w:val="23"/>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51555C"/>
              </w:rPr>
              <w:t>Additons</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center"/>
              <w:ind w:left="354"/>
              <w:spacing w:after="0"/>
              <w:rPr>
                <w:sz w:val="20"/>
                <w:szCs w:val="20"/>
                <w:color w:val="auto"/>
              </w:rPr>
            </w:pPr>
            <w:r>
              <w:rPr>
                <w:rFonts w:ascii="Arial" w:cs="Arial" w:eastAsia="Arial" w:hAnsi="Arial"/>
                <w:sz w:val="18"/>
                <w:szCs w:val="18"/>
                <w:color w:val="51555C"/>
                <w:w w:val="88"/>
              </w:rPr>
              <w:t>2,491</w:t>
            </w:r>
          </w:p>
        </w:tc>
      </w:tr>
      <w:tr>
        <w:trPr>
          <w:trHeight w:val="48"/>
        </w:trPr>
        <w:tc>
          <w:tcPr>
            <w:tcW w:w="20" w:type="dxa"/>
            <w:vAlign w:val="bottom"/>
          </w:tcPr>
          <w:p>
            <w:pPr>
              <w:spacing w:after="0"/>
              <w:rPr>
                <w:sz w:val="4"/>
                <w:szCs w:val="4"/>
                <w:color w:val="auto"/>
              </w:rPr>
            </w:pPr>
          </w:p>
        </w:tc>
        <w:tc>
          <w:tcPr>
            <w:tcW w:w="9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324"/>
        </w:trPr>
        <w:tc>
          <w:tcPr>
            <w:tcW w:w="20" w:type="dxa"/>
            <w:vAlign w:val="bottom"/>
          </w:tcPr>
          <w:p>
            <w:pPr>
              <w:spacing w:after="0"/>
              <w:rPr>
                <w:sz w:val="24"/>
                <w:szCs w:val="24"/>
                <w:color w:val="auto"/>
              </w:rPr>
            </w:pPr>
          </w:p>
        </w:tc>
        <w:tc>
          <w:tcPr>
            <w:tcW w:w="96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Setlements</w:t>
            </w:r>
          </w:p>
        </w:tc>
        <w:tc>
          <w:tcPr>
            <w:tcW w:w="20" w:type="dxa"/>
            <w:vAlign w:val="bottom"/>
            <w:tcBorders>
              <w:bottom w:val="single" w:sz="8" w:color="EBFBFF"/>
            </w:tcBorders>
            <w:shd w:val="clear" w:color="auto" w:fill="EBFBFF"/>
          </w:tcPr>
          <w:p>
            <w:pPr>
              <w:spacing w:after="0"/>
              <w:rPr>
                <w:sz w:val="24"/>
                <w:szCs w:val="24"/>
                <w:color w:val="auto"/>
              </w:rPr>
            </w:pPr>
          </w:p>
        </w:tc>
        <w:tc>
          <w:tcPr>
            <w:tcW w:w="54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center"/>
              <w:ind w:left="314"/>
              <w:spacing w:after="0"/>
              <w:rPr>
                <w:sz w:val="20"/>
                <w:szCs w:val="20"/>
                <w:color w:val="auto"/>
              </w:rPr>
            </w:pPr>
            <w:r>
              <w:rPr>
                <w:rFonts w:ascii="Arial" w:cs="Arial" w:eastAsia="Arial" w:hAnsi="Arial"/>
                <w:sz w:val="18"/>
                <w:szCs w:val="18"/>
                <w:color w:val="51555C"/>
                <w:w w:val="91"/>
              </w:rPr>
              <w:t>(1,938)</w:t>
            </w:r>
          </w:p>
        </w:tc>
      </w:tr>
      <w:tr>
        <w:trPr>
          <w:trHeight w:val="220"/>
        </w:trPr>
        <w:tc>
          <w:tcPr>
            <w:tcW w:w="20" w:type="dxa"/>
            <w:vAlign w:val="bottom"/>
          </w:tcPr>
          <w:p>
            <w:pPr>
              <w:spacing w:after="0"/>
              <w:rPr>
                <w:sz w:val="19"/>
                <w:szCs w:val="19"/>
                <w:color w:val="auto"/>
              </w:rPr>
            </w:pPr>
          </w:p>
        </w:tc>
        <w:tc>
          <w:tcPr>
            <w:tcW w:w="9660" w:type="dxa"/>
            <w:vAlign w:val="bottom"/>
          </w:tcPr>
          <w:p>
            <w:pPr>
              <w:ind w:left="20"/>
              <w:spacing w:after="0"/>
              <w:rPr>
                <w:sz w:val="20"/>
                <w:szCs w:val="20"/>
                <w:color w:val="auto"/>
              </w:rPr>
            </w:pPr>
            <w:r>
              <w:rPr>
                <w:rFonts w:ascii="Arial" w:cs="Arial" w:eastAsia="Arial" w:hAnsi="Arial"/>
                <w:sz w:val="18"/>
                <w:szCs w:val="18"/>
                <w:b w:val="1"/>
                <w:bCs w:val="1"/>
                <w:color w:val="51555C"/>
              </w:rPr>
              <w:t>Balance at June 30, 2023</w:t>
            </w:r>
          </w:p>
        </w:tc>
        <w:tc>
          <w:tcPr>
            <w:tcW w:w="20" w:type="dxa"/>
            <w:vAlign w:val="bottom"/>
          </w:tcPr>
          <w:p>
            <w:pPr>
              <w:spacing w:after="0"/>
              <w:rPr>
                <w:sz w:val="19"/>
                <w:szCs w:val="19"/>
                <w:color w:val="auto"/>
              </w:rPr>
            </w:pPr>
          </w:p>
        </w:tc>
        <w:tc>
          <w:tcPr>
            <w:tcW w:w="540" w:type="dxa"/>
            <w:vAlign w:val="bottom"/>
            <w:tcBorders>
              <w:top w:val="single" w:sz="8" w:color="51555C"/>
            </w:tcBorders>
          </w:tcPr>
          <w:p>
            <w:pPr>
              <w:jc w:val="right"/>
              <w:ind w:right="350"/>
              <w:spacing w:after="0"/>
              <w:rPr>
                <w:sz w:val="20"/>
                <w:szCs w:val="20"/>
                <w:color w:val="auto"/>
              </w:rPr>
            </w:pPr>
            <w:r>
              <w:rPr>
                <w:rFonts w:ascii="Arial" w:cs="Arial" w:eastAsia="Arial" w:hAnsi="Arial"/>
                <w:sz w:val="18"/>
                <w:szCs w:val="18"/>
                <w:color w:val="51555C"/>
                <w:w w:val="79"/>
              </w:rPr>
              <w:t>$</w:t>
            </w:r>
          </w:p>
        </w:tc>
        <w:tc>
          <w:tcPr>
            <w:tcW w:w="1000" w:type="dxa"/>
            <w:vAlign w:val="bottom"/>
            <w:tcBorders>
              <w:top w:val="single" w:sz="8" w:color="51555C"/>
            </w:tcBorders>
          </w:tcPr>
          <w:p>
            <w:pPr>
              <w:jc w:val="center"/>
              <w:ind w:left="354"/>
              <w:spacing w:after="0"/>
              <w:rPr>
                <w:sz w:val="20"/>
                <w:szCs w:val="20"/>
                <w:color w:val="auto"/>
              </w:rPr>
            </w:pPr>
            <w:r>
              <w:rPr>
                <w:rFonts w:ascii="Arial" w:cs="Arial" w:eastAsia="Arial" w:hAnsi="Arial"/>
                <w:sz w:val="18"/>
                <w:szCs w:val="18"/>
                <w:color w:val="51555C"/>
                <w:w w:val="88"/>
              </w:rPr>
              <w:t>2,800</w:t>
            </w:r>
          </w:p>
        </w:tc>
      </w:tr>
      <w:tr>
        <w:trPr>
          <w:trHeight w:val="43"/>
        </w:trPr>
        <w:tc>
          <w:tcPr>
            <w:tcW w:w="20" w:type="dxa"/>
            <w:vAlign w:val="bottom"/>
          </w:tcPr>
          <w:p>
            <w:pPr>
              <w:spacing w:after="0"/>
              <w:rPr>
                <w:sz w:val="3"/>
                <w:szCs w:val="3"/>
                <w:color w:val="auto"/>
              </w:rPr>
            </w:pPr>
          </w:p>
        </w:tc>
        <w:tc>
          <w:tcPr>
            <w:tcW w:w="9660" w:type="dxa"/>
            <w:vAlign w:val="bottom"/>
            <w:tcBorders>
              <w:bottom w:val="single" w:sz="8" w:color="0CD973"/>
            </w:tcBorders>
          </w:tcPr>
          <w:p>
            <w:pPr>
              <w:spacing w:after="0"/>
              <w:rPr>
                <w:sz w:val="3"/>
                <w:szCs w:val="3"/>
                <w:color w:val="auto"/>
              </w:rPr>
            </w:pPr>
          </w:p>
        </w:tc>
        <w:tc>
          <w:tcPr>
            <w:tcW w:w="20" w:type="dxa"/>
            <w:vAlign w:val="bottom"/>
            <w:tcBorders>
              <w:bottom w:val="single" w:sz="8" w:color="0CD973"/>
            </w:tcBorders>
          </w:tcPr>
          <w:p>
            <w:pPr>
              <w:spacing w:after="0"/>
              <w:rPr>
                <w:sz w:val="3"/>
                <w:szCs w:val="3"/>
                <w:color w:val="auto"/>
              </w:rPr>
            </w:pPr>
          </w:p>
        </w:tc>
        <w:tc>
          <w:tcPr>
            <w:tcW w:w="540" w:type="dxa"/>
            <w:vAlign w:val="bottom"/>
            <w:tcBorders>
              <w:bottom w:val="single" w:sz="8" w:color="0CD973"/>
            </w:tcBorders>
          </w:tcPr>
          <w:p>
            <w:pPr>
              <w:spacing w:after="0"/>
              <w:rPr>
                <w:sz w:val="3"/>
                <w:szCs w:val="3"/>
                <w:color w:val="auto"/>
              </w:rPr>
            </w:pPr>
          </w:p>
        </w:tc>
        <w:tc>
          <w:tcPr>
            <w:tcW w:w="1000" w:type="dxa"/>
            <w:vAlign w:val="bottom"/>
            <w:tcBorders>
              <w:bottom w:val="single" w:sz="8" w:color="0CD973"/>
            </w:tcBorders>
          </w:tcPr>
          <w:p>
            <w:pPr>
              <w:spacing w:after="0"/>
              <w:rPr>
                <w:sz w:val="3"/>
                <w:szCs w:val="3"/>
                <w:color w:val="auto"/>
              </w:rPr>
            </w:pPr>
          </w:p>
        </w:tc>
      </w:tr>
    </w:tbl>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7.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We generally use derivatve instruments to manage our interest rate and foreign currency exchange risk. We currently have derivatves classifed as cash fow hedges and net investment hedges. We do not enter into any derivatves for trading or speculatve purposes.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All of our derivatve instruments are governed by Internatonal Swap Dealers Associaton, Inc. master agreements with our counterpartes. As of June 30, 2023 and December 31, 2022, we have presented the fair value of our derivatve instruments at the gross amounts in the condensed consolidated balance sheets as the gross fair values of our derivatve instruments equaled their net fair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Cash fow hedges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We have entered into interest rate swap agreements, which efectvely convert portons of our variable rate debt under the 2020 Credit Facility to a fxed rate for the term of the swap agreements. We designated each of the interest rate swaps as cash fow hedges at the incepton of the contracts. As of June 30, 2023 and December 31, 2022, the aggregate notonal values of the interest rate swaps were $935.0 million and $435.0 million, respectvely. All of the contracts have maturites on or before October 2028.</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fow hedges at the incepton of the contracts. As of June 30, 2023 and December 31, 2022, the aggregate notonal values of the foreign currency forward contracts designated as cash fow hedges that we held to buy USD in exchange for Canadian Dollars were $27.1 million CAD and $22.6 million CAD, respectvely. All of the contracts have maturites of 12 months or less.</w:t>
      </w:r>
    </w:p>
    <w:p>
      <w:pPr>
        <w:spacing w:after="0" w:line="343"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14</w:t>
      </w:r>
      <w:r>
        <w:rPr>
          <w:sz w:val="20"/>
          <w:szCs w:val="20"/>
          <w:color w:val="auto"/>
        </w:rPr>
        <w:tab/>
      </w:r>
      <w:r>
        <w:rPr>
          <w:sz w:val="1"/>
          <w:szCs w:val="1"/>
          <w:color w:val="auto"/>
        </w:rPr>
        <w:drawing>
          <wp:inline distT="0" distB="0" distL="0" distR="0">
            <wp:extent cx="651510" cy="1714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Net investment hedges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have entered into foreign currency forward contracts to hedge a porton of the foreign currency exposure that arises on translaton of our investments denominated in Britsh Pounds ("GBP") into USD. We designated each of these foreign currency forward contracts as net investment hedges at the incepton of the contracts. As of June 30, 2023 and December 31, 2022, the aggregate notonal values of the foreign currency forward contracts designated as net investment hedges to reduce the volatlity of the U.S. dollar value of a porton of our GBP-denominated investments was £11.5 million and £11.2 million, respectvely.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51555C"/>
        </w:rPr>
        <w:t>The fair values of our derivatve instruments were as follows as of:</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004054"/>
          </w:tcPr>
          <w:p>
            <w:pPr>
              <w:spacing w:after="0"/>
              <w:rPr>
                <w:sz w:val="17"/>
                <w:szCs w:val="17"/>
                <w:color w:val="auto"/>
              </w:rPr>
            </w:pPr>
          </w:p>
        </w:tc>
        <w:tc>
          <w:tcPr>
            <w:tcW w:w="2800" w:type="dxa"/>
            <w:vAlign w:val="bottom"/>
            <w:shd w:val="clear" w:color="auto" w:fill="004054"/>
          </w:tcPr>
          <w:p>
            <w:pPr>
              <w:spacing w:after="0"/>
              <w:rPr>
                <w:sz w:val="17"/>
                <w:szCs w:val="17"/>
                <w:color w:val="auto"/>
              </w:rPr>
            </w:pPr>
          </w:p>
        </w:tc>
        <w:tc>
          <w:tcPr>
            <w:tcW w:w="800" w:type="dxa"/>
            <w:vAlign w:val="bottom"/>
            <w:shd w:val="clear" w:color="auto" w:fill="004054"/>
          </w:tcPr>
          <w:p>
            <w:pPr>
              <w:spacing w:after="0"/>
              <w:rPr>
                <w:sz w:val="17"/>
                <w:szCs w:val="17"/>
                <w:color w:val="auto"/>
              </w:rPr>
            </w:pPr>
          </w:p>
        </w:tc>
        <w:tc>
          <w:tcPr>
            <w:tcW w:w="88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800" w:type="dxa"/>
            <w:vAlign w:val="bottom"/>
            <w:shd w:val="clear" w:color="auto" w:fill="004054"/>
          </w:tcPr>
          <w:p>
            <w:pPr>
              <w:spacing w:after="0"/>
              <w:rPr>
                <w:sz w:val="17"/>
                <w:szCs w:val="17"/>
                <w:color w:val="auto"/>
              </w:rPr>
            </w:pPr>
          </w:p>
        </w:tc>
        <w:tc>
          <w:tcPr>
            <w:tcW w:w="30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w w:val="93"/>
              </w:rPr>
              <w:t>Asset derivatves</w:t>
            </w:r>
          </w:p>
        </w:tc>
        <w:tc>
          <w:tcPr>
            <w:tcW w:w="80" w:type="dxa"/>
            <w:vAlign w:val="bottom"/>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40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80" w:type="dxa"/>
            <w:vAlign w:val="bottom"/>
            <w:shd w:val="clear" w:color="auto" w:fill="004054"/>
          </w:tcPr>
          <w:p>
            <w:pPr>
              <w:spacing w:after="0"/>
              <w:rPr>
                <w:sz w:val="17"/>
                <w:szCs w:val="17"/>
                <w:color w:val="auto"/>
              </w:rPr>
            </w:pPr>
          </w:p>
        </w:tc>
        <w:tc>
          <w:tcPr>
            <w:tcW w:w="720" w:type="dxa"/>
            <w:vAlign w:val="bottom"/>
            <w:shd w:val="clear" w:color="auto" w:fill="004054"/>
          </w:tcPr>
          <w:p>
            <w:pPr>
              <w:spacing w:after="0"/>
              <w:rPr>
                <w:sz w:val="17"/>
                <w:szCs w:val="17"/>
                <w:color w:val="auto"/>
              </w:rPr>
            </w:pPr>
          </w:p>
        </w:tc>
        <w:tc>
          <w:tcPr>
            <w:tcW w:w="12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w w:val="95"/>
              </w:rPr>
              <w:t>Liability derivatves</w:t>
            </w:r>
          </w:p>
        </w:tc>
        <w:tc>
          <w:tcPr>
            <w:tcW w:w="0" w:type="dxa"/>
            <w:vAlign w:val="bottom"/>
          </w:tcPr>
          <w:p>
            <w:pPr>
              <w:spacing w:after="0"/>
              <w:rPr>
                <w:sz w:val="1"/>
                <w:szCs w:val="1"/>
                <w:color w:val="auto"/>
              </w:rPr>
            </w:pPr>
          </w:p>
        </w:tc>
      </w:tr>
      <w:tr>
        <w:trPr>
          <w:trHeight w:val="217"/>
        </w:trPr>
        <w:tc>
          <w:tcPr>
            <w:tcW w:w="20" w:type="dxa"/>
            <w:vAlign w:val="bottom"/>
            <w:shd w:val="clear" w:color="auto" w:fill="004054"/>
          </w:tcPr>
          <w:p>
            <w:pPr>
              <w:spacing w:after="0"/>
              <w:rPr>
                <w:sz w:val="18"/>
                <w:szCs w:val="18"/>
                <w:color w:val="auto"/>
              </w:rPr>
            </w:pPr>
          </w:p>
        </w:tc>
        <w:tc>
          <w:tcPr>
            <w:tcW w:w="2800" w:type="dxa"/>
            <w:vAlign w:val="bottom"/>
            <w:shd w:val="clear" w:color="auto" w:fill="004054"/>
          </w:tcPr>
          <w:p>
            <w:pPr>
              <w:spacing w:after="0"/>
              <w:rPr>
                <w:sz w:val="18"/>
                <w:szCs w:val="18"/>
                <w:color w:val="auto"/>
              </w:rPr>
            </w:pPr>
          </w:p>
        </w:tc>
        <w:tc>
          <w:tcPr>
            <w:tcW w:w="800" w:type="dxa"/>
            <w:vAlign w:val="bottom"/>
            <w:shd w:val="clear" w:color="auto" w:fill="004054"/>
          </w:tcPr>
          <w:p>
            <w:pPr>
              <w:spacing w:after="0"/>
              <w:rPr>
                <w:sz w:val="18"/>
                <w:szCs w:val="18"/>
                <w:color w:val="auto"/>
              </w:rPr>
            </w:pPr>
          </w:p>
        </w:tc>
        <w:tc>
          <w:tcPr>
            <w:tcW w:w="88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11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60" w:type="dxa"/>
            <w:vAlign w:val="bottom"/>
            <w:shd w:val="clear" w:color="auto" w:fill="004054"/>
          </w:tcPr>
          <w:p>
            <w:pPr>
              <w:spacing w:after="0"/>
              <w:rPr>
                <w:sz w:val="18"/>
                <w:szCs w:val="18"/>
                <w:color w:val="auto"/>
              </w:rPr>
            </w:pPr>
          </w:p>
        </w:tc>
        <w:tc>
          <w:tcPr>
            <w:tcW w:w="11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1400" w:type="dxa"/>
            <w:vAlign w:val="bottom"/>
            <w:shd w:val="clear" w:color="auto" w:fill="004054"/>
          </w:tcPr>
          <w:p>
            <w:pPr>
              <w:spacing w:after="0"/>
              <w:rPr>
                <w:sz w:val="18"/>
                <w:szCs w:val="18"/>
                <w:color w:val="auto"/>
              </w:rPr>
            </w:pPr>
          </w:p>
        </w:tc>
        <w:tc>
          <w:tcPr>
            <w:tcW w:w="420" w:type="dxa"/>
            <w:vAlign w:val="bottom"/>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7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40" w:type="dxa"/>
            <w:vAlign w:val="bottom"/>
            <w:shd w:val="clear" w:color="auto" w:fill="004054"/>
          </w:tcPr>
          <w:p>
            <w:pPr>
              <w:spacing w:after="0"/>
              <w:rPr>
                <w:sz w:val="18"/>
                <w:szCs w:val="18"/>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20"/>
        </w:trPr>
        <w:tc>
          <w:tcPr>
            <w:tcW w:w="20" w:type="dxa"/>
            <w:vAlign w:val="bottom"/>
            <w:tcBorders>
              <w:bottom w:val="single" w:sz="8" w:color="004054"/>
            </w:tcBorders>
            <w:shd w:val="clear" w:color="auto" w:fill="004054"/>
          </w:tcPr>
          <w:p>
            <w:pPr>
              <w:spacing w:after="0"/>
              <w:rPr>
                <w:sz w:val="19"/>
                <w:szCs w:val="19"/>
                <w:color w:val="auto"/>
              </w:rPr>
            </w:pPr>
          </w:p>
        </w:tc>
        <w:tc>
          <w:tcPr>
            <w:tcW w:w="280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168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locaton</w:t>
            </w:r>
          </w:p>
        </w:tc>
        <w:tc>
          <w:tcPr>
            <w:tcW w:w="120" w:type="dxa"/>
            <w:vAlign w:val="bottom"/>
            <w:tcBorders>
              <w:bottom w:val="single" w:sz="8" w:color="004054"/>
            </w:tcBorders>
            <w:shd w:val="clear" w:color="auto" w:fill="004054"/>
          </w:tcPr>
          <w:p>
            <w:pPr>
              <w:spacing w:after="0"/>
              <w:rPr>
                <w:sz w:val="19"/>
                <w:szCs w:val="19"/>
                <w:color w:val="auto"/>
              </w:rPr>
            </w:pPr>
          </w:p>
        </w:tc>
        <w:tc>
          <w:tcPr>
            <w:tcW w:w="110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60" w:type="dxa"/>
            <w:vAlign w:val="bottom"/>
            <w:tcBorders>
              <w:bottom w:val="single" w:sz="8" w:color="004054"/>
            </w:tcBorders>
            <w:shd w:val="clear" w:color="auto" w:fill="004054"/>
          </w:tcPr>
          <w:p>
            <w:pPr>
              <w:spacing w:after="0"/>
              <w:rPr>
                <w:sz w:val="19"/>
                <w:szCs w:val="19"/>
                <w:color w:val="auto"/>
              </w:rPr>
            </w:pPr>
          </w:p>
        </w:tc>
        <w:tc>
          <w:tcPr>
            <w:tcW w:w="11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80" w:type="dxa"/>
            <w:vAlign w:val="bottom"/>
          </w:tcPr>
          <w:p>
            <w:pPr>
              <w:spacing w:after="0"/>
              <w:rPr>
                <w:sz w:val="19"/>
                <w:szCs w:val="19"/>
                <w:color w:val="auto"/>
              </w:rPr>
            </w:pPr>
          </w:p>
        </w:tc>
        <w:tc>
          <w:tcPr>
            <w:tcW w:w="140" w:type="dxa"/>
            <w:vAlign w:val="bottom"/>
            <w:tcBorders>
              <w:bottom w:val="single" w:sz="8" w:color="004054"/>
            </w:tcBorders>
            <w:shd w:val="clear" w:color="auto" w:fill="004054"/>
          </w:tcPr>
          <w:p>
            <w:pPr>
              <w:spacing w:after="0"/>
              <w:rPr>
                <w:sz w:val="19"/>
                <w:szCs w:val="19"/>
                <w:color w:val="auto"/>
              </w:rPr>
            </w:pPr>
          </w:p>
        </w:tc>
        <w:tc>
          <w:tcPr>
            <w:tcW w:w="160" w:type="dxa"/>
            <w:vAlign w:val="bottom"/>
            <w:tcBorders>
              <w:bottom w:val="single" w:sz="8" w:color="004054"/>
            </w:tcBorders>
            <w:shd w:val="clear" w:color="auto" w:fill="004054"/>
          </w:tcPr>
          <w:p>
            <w:pPr>
              <w:spacing w:after="0"/>
              <w:rPr>
                <w:sz w:val="19"/>
                <w:szCs w:val="19"/>
                <w:color w:val="auto"/>
              </w:rPr>
            </w:pP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Balance sheet locaton</w:t>
            </w:r>
          </w:p>
        </w:tc>
        <w:tc>
          <w:tcPr>
            <w:tcW w:w="420" w:type="dxa"/>
            <w:vAlign w:val="bottom"/>
            <w:tcBorders>
              <w:bottom w:val="single" w:sz="8" w:color="004054"/>
            </w:tcBorders>
            <w:shd w:val="clear" w:color="auto" w:fill="004054"/>
          </w:tcPr>
          <w:p>
            <w:pPr>
              <w:spacing w:after="0"/>
              <w:rPr>
                <w:sz w:val="19"/>
                <w:szCs w:val="19"/>
                <w:color w:val="auto"/>
              </w:rPr>
            </w:pPr>
          </w:p>
        </w:tc>
        <w:tc>
          <w:tcPr>
            <w:tcW w:w="80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40" w:type="dxa"/>
            <w:vAlign w:val="bottom"/>
            <w:tcBorders>
              <w:bottom w:val="single" w:sz="8" w:color="004054"/>
            </w:tcBorders>
            <w:shd w:val="clear" w:color="auto" w:fill="004054"/>
          </w:tcPr>
          <w:p>
            <w:pPr>
              <w:spacing w:after="0"/>
              <w:rPr>
                <w:sz w:val="19"/>
                <w:szCs w:val="19"/>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w w:val="87"/>
              </w:rPr>
              <w:t>Derivatve instruments designated as</w:t>
            </w:r>
          </w:p>
        </w:tc>
        <w:tc>
          <w:tcPr>
            <w:tcW w:w="800" w:type="dxa"/>
            <w:vAlign w:val="bottom"/>
            <w:shd w:val="clear" w:color="auto" w:fill="EBFBFF"/>
          </w:tcPr>
          <w:p>
            <w:pPr>
              <w:spacing w:after="0"/>
              <w:rPr>
                <w:sz w:val="18"/>
                <w:szCs w:val="18"/>
                <w:color w:val="auto"/>
              </w:rPr>
            </w:pPr>
          </w:p>
        </w:tc>
        <w:tc>
          <w:tcPr>
            <w:tcW w:w="880" w:type="dxa"/>
            <w:vAlign w:val="bottom"/>
            <w:shd w:val="clear" w:color="auto" w:fill="EBFBFF"/>
          </w:tcPr>
          <w:p>
            <w:pPr>
              <w:spacing w:after="0"/>
              <w:rPr>
                <w:sz w:val="18"/>
                <w:szCs w:val="18"/>
                <w:color w:val="auto"/>
              </w:rPr>
            </w:pPr>
          </w:p>
        </w:tc>
        <w:tc>
          <w:tcPr>
            <w:tcW w:w="120" w:type="dxa"/>
            <w:vAlign w:val="bottom"/>
            <w:shd w:val="clear" w:color="auto" w:fill="EBFBFF"/>
          </w:tcPr>
          <w:p>
            <w:pPr>
              <w:spacing w:after="0"/>
              <w:rPr>
                <w:sz w:val="18"/>
                <w:szCs w:val="18"/>
                <w:color w:val="auto"/>
              </w:rPr>
            </w:pPr>
          </w:p>
        </w:tc>
        <w:tc>
          <w:tcPr>
            <w:tcW w:w="800" w:type="dxa"/>
            <w:vAlign w:val="bottom"/>
            <w:shd w:val="clear" w:color="auto" w:fill="EBFBFF"/>
          </w:tcPr>
          <w:p>
            <w:pPr>
              <w:spacing w:after="0"/>
              <w:rPr>
                <w:sz w:val="18"/>
                <w:szCs w:val="18"/>
                <w:color w:val="auto"/>
              </w:rPr>
            </w:pPr>
          </w:p>
        </w:tc>
        <w:tc>
          <w:tcPr>
            <w:tcW w:w="30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1100" w:type="dxa"/>
            <w:vAlign w:val="bottom"/>
            <w:tcBorders>
              <w:right w:val="single" w:sz="8" w:color="EBFBFF"/>
            </w:tcBorders>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60" w:type="dxa"/>
            <w:vAlign w:val="bottom"/>
            <w:shd w:val="clear" w:color="auto" w:fill="EBFBFF"/>
          </w:tcPr>
          <w:p>
            <w:pPr>
              <w:spacing w:after="0"/>
              <w:rPr>
                <w:sz w:val="18"/>
                <w:szCs w:val="18"/>
                <w:color w:val="auto"/>
              </w:rPr>
            </w:pPr>
          </w:p>
        </w:tc>
        <w:tc>
          <w:tcPr>
            <w:tcW w:w="1400" w:type="dxa"/>
            <w:vAlign w:val="bottom"/>
            <w:shd w:val="clear" w:color="auto" w:fill="EBFBFF"/>
          </w:tcPr>
          <w:p>
            <w:pPr>
              <w:spacing w:after="0"/>
              <w:rPr>
                <w:sz w:val="18"/>
                <w:szCs w:val="18"/>
                <w:color w:val="auto"/>
              </w:rPr>
            </w:pPr>
          </w:p>
        </w:tc>
        <w:tc>
          <w:tcPr>
            <w:tcW w:w="420" w:type="dxa"/>
            <w:vAlign w:val="bottom"/>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72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11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hedging instruments:</w:t>
            </w:r>
          </w:p>
        </w:tc>
        <w:tc>
          <w:tcPr>
            <w:tcW w:w="800" w:type="dxa"/>
            <w:vAlign w:val="bottom"/>
            <w:tcBorders>
              <w:bottom w:val="single" w:sz="8" w:color="EBFBFF"/>
            </w:tcBorders>
            <w:shd w:val="clear" w:color="auto" w:fill="EBFBFF"/>
          </w:tcPr>
          <w:p>
            <w:pPr>
              <w:spacing w:after="0"/>
              <w:rPr>
                <w:sz w:val="22"/>
                <w:szCs w:val="22"/>
                <w:color w:val="auto"/>
              </w:rPr>
            </w:pPr>
          </w:p>
        </w:tc>
        <w:tc>
          <w:tcPr>
            <w:tcW w:w="880" w:type="dxa"/>
            <w:vAlign w:val="bottom"/>
            <w:tcBorders>
              <w:bottom w:val="single" w:sz="8" w:color="EBFBFF"/>
            </w:tcBorders>
            <w:shd w:val="clear" w:color="auto" w:fill="EBFBFF"/>
          </w:tcPr>
          <w:p>
            <w:pPr>
              <w:spacing w:after="0"/>
              <w:rPr>
                <w:sz w:val="22"/>
                <w:szCs w:val="22"/>
                <w:color w:val="auto"/>
              </w:rPr>
            </w:pPr>
          </w:p>
        </w:tc>
        <w:tc>
          <w:tcPr>
            <w:tcW w:w="120" w:type="dxa"/>
            <w:vAlign w:val="bottom"/>
            <w:tcBorders>
              <w:bottom w:val="single" w:sz="8" w:color="EBFBFF"/>
            </w:tcBorders>
            <w:shd w:val="clear" w:color="auto" w:fill="EBFBFF"/>
          </w:tcPr>
          <w:p>
            <w:pPr>
              <w:spacing w:after="0"/>
              <w:rPr>
                <w:sz w:val="22"/>
                <w:szCs w:val="22"/>
                <w:color w:val="auto"/>
              </w:rPr>
            </w:pPr>
          </w:p>
        </w:tc>
        <w:tc>
          <w:tcPr>
            <w:tcW w:w="800" w:type="dxa"/>
            <w:vAlign w:val="bottom"/>
            <w:tcBorders>
              <w:bottom w:val="single" w:sz="8" w:color="EBFBFF"/>
            </w:tcBorders>
            <w:shd w:val="clear" w:color="auto" w:fill="EBFBFF"/>
          </w:tcPr>
          <w:p>
            <w:pPr>
              <w:spacing w:after="0"/>
              <w:rPr>
                <w:sz w:val="22"/>
                <w:szCs w:val="22"/>
                <w:color w:val="auto"/>
              </w:rPr>
            </w:pPr>
          </w:p>
        </w:tc>
        <w:tc>
          <w:tcPr>
            <w:tcW w:w="300" w:type="dxa"/>
            <w:vAlign w:val="bottom"/>
            <w:tcBorders>
              <w:bottom w:val="single" w:sz="8" w:color="EBFBFF"/>
            </w:tcBorders>
            <w:shd w:val="clear" w:color="auto" w:fill="EBFBFF"/>
          </w:tcPr>
          <w:p>
            <w:pPr>
              <w:spacing w:after="0"/>
              <w:rPr>
                <w:sz w:val="22"/>
                <w:szCs w:val="22"/>
                <w:color w:val="auto"/>
              </w:rPr>
            </w:pPr>
          </w:p>
        </w:tc>
        <w:tc>
          <w:tcPr>
            <w:tcW w:w="160" w:type="dxa"/>
            <w:vAlign w:val="bottom"/>
            <w:tcBorders>
              <w:bottom w:val="single" w:sz="8" w:color="EBFBFF"/>
            </w:tcBorders>
            <w:shd w:val="clear" w:color="auto" w:fill="EBFBFF"/>
          </w:tcPr>
          <w:p>
            <w:pPr>
              <w:spacing w:after="0"/>
              <w:rPr>
                <w:sz w:val="22"/>
                <w:szCs w:val="22"/>
                <w:color w:val="auto"/>
              </w:rPr>
            </w:pPr>
          </w:p>
        </w:tc>
        <w:tc>
          <w:tcPr>
            <w:tcW w:w="1100" w:type="dxa"/>
            <w:vAlign w:val="bottom"/>
            <w:tcBorders>
              <w:bottom w:val="single" w:sz="8" w:color="EBFBFF"/>
              <w:right w:val="single" w:sz="8" w:color="EBFBFF"/>
            </w:tcBorders>
            <w:shd w:val="clear" w:color="auto" w:fill="EBFBFF"/>
          </w:tcPr>
          <w:p>
            <w:pPr>
              <w:spacing w:after="0"/>
              <w:rPr>
                <w:sz w:val="22"/>
                <w:szCs w:val="22"/>
                <w:color w:val="auto"/>
              </w:rPr>
            </w:pPr>
          </w:p>
        </w:tc>
        <w:tc>
          <w:tcPr>
            <w:tcW w:w="80" w:type="dxa"/>
            <w:vAlign w:val="bottom"/>
            <w:tcBorders>
              <w:bottom w:val="single" w:sz="8" w:color="EBFBFF"/>
            </w:tcBorders>
            <w:shd w:val="clear" w:color="auto" w:fill="EBFBFF"/>
          </w:tcPr>
          <w:p>
            <w:pPr>
              <w:spacing w:after="0"/>
              <w:rPr>
                <w:sz w:val="22"/>
                <w:szCs w:val="22"/>
                <w:color w:val="auto"/>
              </w:rPr>
            </w:pPr>
          </w:p>
        </w:tc>
        <w:tc>
          <w:tcPr>
            <w:tcW w:w="140" w:type="dxa"/>
            <w:vAlign w:val="bottom"/>
            <w:tcBorders>
              <w:bottom w:val="single" w:sz="8" w:color="EBFBFF"/>
            </w:tcBorders>
            <w:shd w:val="clear" w:color="auto" w:fill="EBFBFF"/>
          </w:tcPr>
          <w:p>
            <w:pPr>
              <w:spacing w:after="0"/>
              <w:rPr>
                <w:sz w:val="22"/>
                <w:szCs w:val="22"/>
                <w:color w:val="auto"/>
              </w:rPr>
            </w:pPr>
          </w:p>
        </w:tc>
        <w:tc>
          <w:tcPr>
            <w:tcW w:w="160" w:type="dxa"/>
            <w:vAlign w:val="bottom"/>
            <w:tcBorders>
              <w:bottom w:val="single" w:sz="8" w:color="EBFBFF"/>
            </w:tcBorders>
            <w:shd w:val="clear" w:color="auto" w:fill="EBFBFF"/>
          </w:tcPr>
          <w:p>
            <w:pPr>
              <w:spacing w:after="0"/>
              <w:rPr>
                <w:sz w:val="22"/>
                <w:szCs w:val="22"/>
                <w:color w:val="auto"/>
              </w:rPr>
            </w:pPr>
          </w:p>
        </w:tc>
        <w:tc>
          <w:tcPr>
            <w:tcW w:w="1400" w:type="dxa"/>
            <w:vAlign w:val="bottom"/>
            <w:tcBorders>
              <w:bottom w:val="single" w:sz="8" w:color="EBFBFF"/>
            </w:tcBorders>
            <w:shd w:val="clear" w:color="auto" w:fill="EBFBFF"/>
          </w:tcPr>
          <w:p>
            <w:pPr>
              <w:spacing w:after="0"/>
              <w:rPr>
                <w:sz w:val="22"/>
                <w:szCs w:val="22"/>
                <w:color w:val="auto"/>
              </w:rPr>
            </w:pPr>
          </w:p>
        </w:tc>
        <w:tc>
          <w:tcPr>
            <w:tcW w:w="420" w:type="dxa"/>
            <w:vAlign w:val="bottom"/>
            <w:tcBorders>
              <w:bottom w:val="single" w:sz="8" w:color="EBFBFF"/>
            </w:tcBorders>
            <w:shd w:val="clear" w:color="auto" w:fill="EBFBFF"/>
          </w:tcPr>
          <w:p>
            <w:pPr>
              <w:spacing w:after="0"/>
              <w:rPr>
                <w:sz w:val="22"/>
                <w:szCs w:val="22"/>
                <w:color w:val="auto"/>
              </w:rPr>
            </w:pPr>
          </w:p>
        </w:tc>
        <w:tc>
          <w:tcPr>
            <w:tcW w:w="80" w:type="dxa"/>
            <w:vAlign w:val="bottom"/>
            <w:tcBorders>
              <w:bottom w:val="single" w:sz="8" w:color="EBFBFF"/>
            </w:tcBorders>
            <w:shd w:val="clear" w:color="auto" w:fill="EBFBFF"/>
          </w:tcPr>
          <w:p>
            <w:pPr>
              <w:spacing w:after="0"/>
              <w:rPr>
                <w:sz w:val="22"/>
                <w:szCs w:val="22"/>
                <w:color w:val="auto"/>
              </w:rPr>
            </w:pPr>
          </w:p>
        </w:tc>
        <w:tc>
          <w:tcPr>
            <w:tcW w:w="720" w:type="dxa"/>
            <w:vAlign w:val="bottom"/>
            <w:tcBorders>
              <w:bottom w:val="single" w:sz="8" w:color="EBFBFF"/>
            </w:tcBorders>
            <w:shd w:val="clear" w:color="auto" w:fill="EBFBFF"/>
          </w:tcPr>
          <w:p>
            <w:pPr>
              <w:spacing w:after="0"/>
              <w:rPr>
                <w:sz w:val="22"/>
                <w:szCs w:val="22"/>
                <w:color w:val="auto"/>
              </w:rPr>
            </w:pPr>
          </w:p>
        </w:tc>
        <w:tc>
          <w:tcPr>
            <w:tcW w:w="140" w:type="dxa"/>
            <w:vAlign w:val="bottom"/>
            <w:tcBorders>
              <w:bottom w:val="single" w:sz="8" w:color="EBFBFF"/>
            </w:tcBorders>
            <w:shd w:val="clear" w:color="auto" w:fill="EBFBFF"/>
          </w:tcPr>
          <w:p>
            <w:pPr>
              <w:spacing w:after="0"/>
              <w:rPr>
                <w:sz w:val="22"/>
                <w:szCs w:val="22"/>
                <w:color w:val="auto"/>
              </w:rPr>
            </w:pPr>
          </w:p>
        </w:tc>
        <w:tc>
          <w:tcPr>
            <w:tcW w:w="1120" w:type="dxa"/>
            <w:vAlign w:val="bottom"/>
            <w:tcBorders>
              <w:bottom w:val="single" w:sz="8" w:color="EBFBFF"/>
            </w:tcBorders>
            <w:shd w:val="clear" w:color="auto" w:fill="EBFB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51555C"/>
                <w:w w:val="93"/>
              </w:rPr>
              <w:t>Foreign currency forward contracts,</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51555C"/>
              </w:rPr>
              <w:t>Prepaid expenses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jc w:val="right"/>
              <w:ind w:right="359"/>
              <w:spacing w:after="0"/>
              <w:rPr>
                <w:sz w:val="20"/>
                <w:szCs w:val="20"/>
                <w:color w:val="auto"/>
              </w:rPr>
            </w:pPr>
            <w:r>
              <w:rPr>
                <w:rFonts w:ascii="Arial" w:cs="Arial" w:eastAsia="Arial" w:hAnsi="Arial"/>
                <w:sz w:val="18"/>
                <w:szCs w:val="18"/>
                <w:color w:val="51555C"/>
                <w:w w:val="91"/>
              </w:rPr>
              <w:t>Accrued expenses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51555C"/>
              </w:rPr>
              <w:t>current porton</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51555C"/>
              </w:rPr>
              <w:t>and other current</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right"/>
              <w:ind w:right="359"/>
              <w:spacing w:after="0"/>
              <w:rPr>
                <w:sz w:val="20"/>
                <w:szCs w:val="20"/>
                <w:color w:val="auto"/>
              </w:rPr>
            </w:pPr>
            <w:r>
              <w:rPr>
                <w:rFonts w:ascii="Arial" w:cs="Arial" w:eastAsia="Arial" w:hAnsi="Arial"/>
                <w:sz w:val="18"/>
                <w:szCs w:val="18"/>
                <w:color w:val="51555C"/>
              </w:rPr>
              <w:t>and other</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51555C"/>
              </w:rPr>
              <w:t>assets $</w:t>
            </w:r>
          </w:p>
        </w:tc>
        <w:tc>
          <w:tcPr>
            <w:tcW w:w="8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51555C"/>
              </w:rPr>
              <w:t>— $</w:t>
            </w:r>
          </w:p>
        </w:tc>
        <w:tc>
          <w:tcPr>
            <w:tcW w:w="1100" w:type="dxa"/>
            <w:vAlign w:val="bottom"/>
          </w:tcPr>
          <w:p>
            <w:pPr>
              <w:jc w:val="right"/>
              <w:ind w:right="1"/>
              <w:spacing w:after="0"/>
              <w:rPr>
                <w:sz w:val="20"/>
                <w:szCs w:val="20"/>
                <w:color w:val="auto"/>
              </w:rPr>
            </w:pPr>
            <w:r>
              <w:rPr>
                <w:rFonts w:ascii="Arial" w:cs="Arial" w:eastAsia="Arial" w:hAnsi="Arial"/>
                <w:sz w:val="18"/>
                <w:szCs w:val="18"/>
                <w:color w:val="51555C"/>
              </w:rPr>
              <w:t>247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239"/>
              <w:spacing w:after="0"/>
              <w:rPr>
                <w:sz w:val="20"/>
                <w:szCs w:val="20"/>
                <w:color w:val="auto"/>
              </w:rPr>
            </w:pPr>
            <w:r>
              <w:rPr>
                <w:rFonts w:ascii="Arial" w:cs="Arial" w:eastAsia="Arial" w:hAnsi="Arial"/>
                <w:sz w:val="18"/>
                <w:szCs w:val="18"/>
                <w:color w:val="51555C"/>
              </w:rPr>
              <w:t>current liabilites $</w:t>
            </w:r>
          </w:p>
        </w:tc>
        <w:tc>
          <w:tcPr>
            <w:tcW w:w="800" w:type="dxa"/>
            <w:vAlign w:val="bottom"/>
            <w:gridSpan w:val="2"/>
          </w:tcPr>
          <w:p>
            <w:pPr>
              <w:jc w:val="right"/>
              <w:spacing w:after="0"/>
              <w:rPr>
                <w:sz w:val="20"/>
                <w:szCs w:val="20"/>
                <w:color w:val="auto"/>
              </w:rPr>
            </w:pPr>
            <w:r>
              <w:rPr>
                <w:rFonts w:ascii="Arial" w:cs="Arial" w:eastAsia="Arial" w:hAnsi="Arial"/>
                <w:sz w:val="18"/>
                <w:szCs w:val="18"/>
                <w:color w:val="51555C"/>
              </w:rPr>
              <w:t>693</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51555C"/>
              </w:rPr>
              <w:t>323</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Interest rate swaps, long-term</w:t>
            </w:r>
          </w:p>
        </w:tc>
        <w:tc>
          <w:tcPr>
            <w:tcW w:w="1800" w:type="dxa"/>
            <w:vAlign w:val="bottom"/>
            <w:tcBorders>
              <w:bottom w:val="single" w:sz="8" w:color="EBFBFF"/>
            </w:tcBorders>
            <w:gridSpan w:val="3"/>
            <w:shd w:val="clear" w:color="auto" w:fill="EBFBFF"/>
          </w:tcPr>
          <w:p>
            <w:pPr>
              <w:jc w:val="right"/>
              <w:ind w:right="140"/>
              <w:spacing w:after="0"/>
              <w:rPr>
                <w:sz w:val="20"/>
                <w:szCs w:val="20"/>
                <w:color w:val="auto"/>
              </w:rPr>
            </w:pPr>
            <w:r>
              <w:rPr>
                <w:rFonts w:ascii="Arial" w:cs="Arial" w:eastAsia="Arial" w:hAnsi="Arial"/>
                <w:sz w:val="18"/>
                <w:szCs w:val="18"/>
                <w:color w:val="51555C"/>
              </w:rPr>
              <w:t>Other assets</w:t>
            </w:r>
          </w:p>
        </w:tc>
        <w:tc>
          <w:tcPr>
            <w:tcW w:w="11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26,978</w:t>
            </w:r>
          </w:p>
        </w:tc>
        <w:tc>
          <w:tcPr>
            <w:tcW w:w="16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right w:val="single" w:sz="8" w:color="EBFBFF"/>
            </w:tcBorders>
            <w:shd w:val="clear" w:color="auto" w:fill="EBFBFF"/>
          </w:tcPr>
          <w:p>
            <w:pPr>
              <w:jc w:val="right"/>
              <w:ind w:right="1"/>
              <w:spacing w:after="0"/>
              <w:rPr>
                <w:sz w:val="20"/>
                <w:szCs w:val="20"/>
                <w:color w:val="auto"/>
              </w:rPr>
            </w:pPr>
            <w:r>
              <w:rPr>
                <w:rFonts w:ascii="Arial" w:cs="Arial" w:eastAsia="Arial" w:hAnsi="Arial"/>
                <w:sz w:val="18"/>
                <w:szCs w:val="18"/>
                <w:color w:val="51555C"/>
              </w:rPr>
              <w:t>31,870</w:t>
            </w:r>
          </w:p>
        </w:tc>
        <w:tc>
          <w:tcPr>
            <w:tcW w:w="80" w:type="dxa"/>
            <w:vAlign w:val="bottom"/>
            <w:tcBorders>
              <w:bottom w:val="single" w:sz="8" w:color="EBFBFF"/>
            </w:tcBorders>
            <w:shd w:val="clear" w:color="auto" w:fill="EBFBFF"/>
          </w:tcPr>
          <w:p>
            <w:pPr>
              <w:spacing w:after="0"/>
              <w:rPr>
                <w:sz w:val="24"/>
                <w:szCs w:val="24"/>
                <w:color w:val="auto"/>
              </w:rPr>
            </w:pPr>
          </w:p>
        </w:tc>
        <w:tc>
          <w:tcPr>
            <w:tcW w:w="140" w:type="dxa"/>
            <w:vAlign w:val="bottom"/>
            <w:tcBorders>
              <w:bottom w:val="single" w:sz="8" w:color="EBFBFF"/>
            </w:tcBorders>
            <w:shd w:val="clear" w:color="auto" w:fill="EBFBFF"/>
          </w:tcPr>
          <w:p>
            <w:pPr>
              <w:spacing w:after="0"/>
              <w:rPr>
                <w:sz w:val="24"/>
                <w:szCs w:val="24"/>
                <w:color w:val="auto"/>
              </w:rPr>
            </w:pPr>
          </w:p>
        </w:tc>
        <w:tc>
          <w:tcPr>
            <w:tcW w:w="160" w:type="dxa"/>
            <w:vAlign w:val="bottom"/>
            <w:tcBorders>
              <w:bottom w:val="single" w:sz="8" w:color="EBFBFF"/>
            </w:tcBorders>
            <w:shd w:val="clear" w:color="auto" w:fill="EBFBFF"/>
          </w:tcPr>
          <w:p>
            <w:pPr>
              <w:spacing w:after="0"/>
              <w:rPr>
                <w:sz w:val="24"/>
                <w:szCs w:val="24"/>
                <w:color w:val="auto"/>
              </w:rPr>
            </w:pPr>
          </w:p>
        </w:tc>
        <w:tc>
          <w:tcPr>
            <w:tcW w:w="1820" w:type="dxa"/>
            <w:vAlign w:val="bottom"/>
            <w:tcBorders>
              <w:bottom w:val="single" w:sz="8" w:color="EBFBFF"/>
            </w:tcBorders>
            <w:gridSpan w:val="2"/>
            <w:shd w:val="clear" w:color="auto" w:fill="EBFBFF"/>
          </w:tcPr>
          <w:p>
            <w:pPr>
              <w:jc w:val="right"/>
              <w:ind w:right="359"/>
              <w:spacing w:after="0"/>
              <w:rPr>
                <w:sz w:val="20"/>
                <w:szCs w:val="20"/>
                <w:color w:val="auto"/>
              </w:rPr>
            </w:pPr>
            <w:r>
              <w:rPr>
                <w:rFonts w:ascii="Arial" w:cs="Arial" w:eastAsia="Arial" w:hAnsi="Arial"/>
                <w:sz w:val="18"/>
                <w:szCs w:val="18"/>
                <w:color w:val="51555C"/>
              </w:rPr>
              <w:t>Other liabilites</w:t>
            </w:r>
          </w:p>
        </w:tc>
        <w:tc>
          <w:tcPr>
            <w:tcW w:w="8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1,774</w:t>
            </w:r>
          </w:p>
        </w:tc>
        <w:tc>
          <w:tcPr>
            <w:tcW w:w="14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0"/>
              <w:spacing w:after="0" w:line="189" w:lineRule="exact"/>
              <w:rPr>
                <w:sz w:val="20"/>
                <w:szCs w:val="20"/>
                <w:color w:val="auto"/>
              </w:rPr>
            </w:pPr>
            <w:r>
              <w:rPr>
                <w:rFonts w:ascii="Arial" w:cs="Arial" w:eastAsia="Arial" w:hAnsi="Arial"/>
                <w:sz w:val="18"/>
                <w:szCs w:val="18"/>
                <w:b w:val="1"/>
                <w:bCs w:val="1"/>
                <w:color w:val="51555C"/>
              </w:rPr>
              <w:t>Total derivatve instruments</w:t>
            </w: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top w:val="single" w:sz="8" w:color="51555C"/>
            </w:tcBorders>
          </w:tcPr>
          <w:p>
            <w:pPr>
              <w:spacing w:after="0"/>
              <w:rPr>
                <w:sz w:val="16"/>
                <w:szCs w:val="16"/>
                <w:color w:val="auto"/>
              </w:rPr>
            </w:pPr>
          </w:p>
        </w:tc>
        <w:tc>
          <w:tcPr>
            <w:tcW w:w="800" w:type="dxa"/>
            <w:vAlign w:val="bottom"/>
            <w:tcBorders>
              <w:top w:val="single" w:sz="8" w:color="51555C"/>
            </w:tcBorders>
          </w:tcPr>
          <w:p>
            <w:pPr>
              <w:spacing w:after="0"/>
              <w:rPr>
                <w:sz w:val="16"/>
                <w:szCs w:val="16"/>
                <w:color w:val="auto"/>
              </w:rPr>
            </w:pPr>
          </w:p>
        </w:tc>
        <w:tc>
          <w:tcPr>
            <w:tcW w:w="300" w:type="dxa"/>
            <w:vAlign w:val="bottom"/>
            <w:tcBorders>
              <w:top w:val="single" w:sz="8" w:color="51555C"/>
            </w:tcBorders>
          </w:tcPr>
          <w:p>
            <w:pPr>
              <w:spacing w:after="0"/>
              <w:rPr>
                <w:sz w:val="16"/>
                <w:szCs w:val="16"/>
                <w:color w:val="auto"/>
              </w:rPr>
            </w:pPr>
          </w:p>
        </w:tc>
        <w:tc>
          <w:tcPr>
            <w:tcW w:w="160" w:type="dxa"/>
            <w:vAlign w:val="bottom"/>
            <w:tcBorders>
              <w:top w:val="single" w:sz="8" w:color="51555C"/>
            </w:tcBorders>
          </w:tcPr>
          <w:p>
            <w:pPr>
              <w:spacing w:after="0"/>
              <w:rPr>
                <w:sz w:val="16"/>
                <w:szCs w:val="16"/>
                <w:color w:val="auto"/>
              </w:rPr>
            </w:pPr>
          </w:p>
        </w:tc>
        <w:tc>
          <w:tcPr>
            <w:tcW w:w="1100" w:type="dxa"/>
            <w:vAlign w:val="bottom"/>
            <w:tcBorders>
              <w:top w:val="single" w:sz="8" w:color="51555C"/>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Borders>
              <w:top w:val="single" w:sz="8" w:color="51555C"/>
            </w:tcBorders>
          </w:tcPr>
          <w:p>
            <w:pPr>
              <w:spacing w:after="0"/>
              <w:rPr>
                <w:sz w:val="16"/>
                <w:szCs w:val="16"/>
                <w:color w:val="auto"/>
              </w:rPr>
            </w:pPr>
          </w:p>
        </w:tc>
        <w:tc>
          <w:tcPr>
            <w:tcW w:w="80" w:type="dxa"/>
            <w:vAlign w:val="bottom"/>
            <w:tcBorders>
              <w:top w:val="single" w:sz="8" w:color="51555C"/>
            </w:tcBorders>
          </w:tcPr>
          <w:p>
            <w:pPr>
              <w:spacing w:after="0"/>
              <w:rPr>
                <w:sz w:val="16"/>
                <w:szCs w:val="16"/>
                <w:color w:val="auto"/>
              </w:rPr>
            </w:pPr>
          </w:p>
        </w:tc>
        <w:tc>
          <w:tcPr>
            <w:tcW w:w="720" w:type="dxa"/>
            <w:vAlign w:val="bottom"/>
            <w:tcBorders>
              <w:top w:val="single" w:sz="8" w:color="51555C"/>
            </w:tcBorders>
          </w:tcPr>
          <w:p>
            <w:pPr>
              <w:spacing w:after="0"/>
              <w:rPr>
                <w:sz w:val="16"/>
                <w:szCs w:val="16"/>
                <w:color w:val="auto"/>
              </w:rPr>
            </w:pPr>
          </w:p>
        </w:tc>
        <w:tc>
          <w:tcPr>
            <w:tcW w:w="140" w:type="dxa"/>
            <w:vAlign w:val="bottom"/>
            <w:tcBorders>
              <w:top w:val="single" w:sz="8" w:color="51555C"/>
            </w:tcBorders>
          </w:tcPr>
          <w:p>
            <w:pPr>
              <w:spacing w:after="0"/>
              <w:rPr>
                <w:sz w:val="16"/>
                <w:szCs w:val="16"/>
                <w:color w:val="auto"/>
              </w:rPr>
            </w:pPr>
          </w:p>
        </w:tc>
        <w:tc>
          <w:tcPr>
            <w:tcW w:w="1120" w:type="dxa"/>
            <w:vAlign w:val="bottom"/>
            <w:tcBorders>
              <w:top w:val="single" w:sz="8" w:color="51555C"/>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b w:val="1"/>
                <w:bCs w:val="1"/>
                <w:color w:val="51555C"/>
                <w:w w:val="91"/>
              </w:rPr>
              <w:t>designated as hedging instruments</w:t>
            </w:r>
          </w:p>
        </w:tc>
        <w:tc>
          <w:tcPr>
            <w:tcW w:w="1800" w:type="dxa"/>
            <w:vAlign w:val="bottom"/>
            <w:gridSpan w:val="3"/>
          </w:tcPr>
          <w:p>
            <w:pPr>
              <w:jc w:val="right"/>
              <w:spacing w:after="0"/>
              <w:rPr>
                <w:sz w:val="20"/>
                <w:szCs w:val="20"/>
                <w:color w:val="auto"/>
              </w:rPr>
            </w:pPr>
            <w:r>
              <w:rPr>
                <w:rFonts w:ascii="Arial" w:cs="Arial" w:eastAsia="Arial" w:hAnsi="Arial"/>
                <w:sz w:val="18"/>
                <w:szCs w:val="18"/>
                <w:color w:val="51555C"/>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51555C"/>
              </w:rPr>
              <w:t>26,978</w:t>
            </w:r>
          </w:p>
        </w:tc>
        <w:tc>
          <w:tcPr>
            <w:tcW w:w="16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51555C"/>
              </w:rPr>
              <w:t>32,117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239"/>
              <w:spacing w:after="0"/>
              <w:rPr>
                <w:sz w:val="20"/>
                <w:szCs w:val="20"/>
                <w:color w:val="auto"/>
              </w:rPr>
            </w:pPr>
            <w:r>
              <w:rPr>
                <w:rFonts w:ascii="Arial" w:cs="Arial" w:eastAsia="Arial" w:hAnsi="Arial"/>
                <w:sz w:val="18"/>
                <w:szCs w:val="18"/>
                <w:color w:val="51555C"/>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51555C"/>
              </w:rPr>
              <w:t>2,467</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51555C"/>
              </w:rPr>
              <w:t>323</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600" w:type="dxa"/>
            <w:vAlign w:val="bottom"/>
            <w:tcBorders>
              <w:bottom w:val="single" w:sz="8" w:color="0CD973"/>
            </w:tcBorders>
            <w:gridSpan w:val="2"/>
          </w:tcPr>
          <w:p>
            <w:pPr>
              <w:spacing w:after="0"/>
              <w:rPr>
                <w:sz w:val="4"/>
                <w:szCs w:val="4"/>
                <w:color w:val="auto"/>
              </w:rPr>
            </w:pPr>
          </w:p>
        </w:tc>
        <w:tc>
          <w:tcPr>
            <w:tcW w:w="1800" w:type="dxa"/>
            <w:vAlign w:val="bottom"/>
            <w:tcBorders>
              <w:bottom w:val="single" w:sz="8" w:color="0CD973"/>
            </w:tcBorders>
            <w:gridSpan w:val="3"/>
          </w:tcPr>
          <w:p>
            <w:pPr>
              <w:spacing w:after="0"/>
              <w:rPr>
                <w:sz w:val="4"/>
                <w:szCs w:val="4"/>
                <w:color w:val="auto"/>
              </w:rPr>
            </w:pPr>
          </w:p>
        </w:tc>
        <w:tc>
          <w:tcPr>
            <w:tcW w:w="1780" w:type="dxa"/>
            <w:vAlign w:val="bottom"/>
            <w:tcBorders>
              <w:bottom w:val="single" w:sz="8" w:color="0CD973"/>
            </w:tcBorders>
            <w:gridSpan w:val="5"/>
          </w:tcPr>
          <w:p>
            <w:pPr>
              <w:spacing w:after="0"/>
              <w:rPr>
                <w:sz w:val="4"/>
                <w:szCs w:val="4"/>
                <w:color w:val="auto"/>
              </w:rPr>
            </w:pPr>
          </w:p>
        </w:tc>
        <w:tc>
          <w:tcPr>
            <w:tcW w:w="1980" w:type="dxa"/>
            <w:vAlign w:val="bottom"/>
            <w:tcBorders>
              <w:bottom w:val="single" w:sz="8" w:color="0CD973"/>
            </w:tcBorders>
            <w:gridSpan w:val="3"/>
          </w:tcPr>
          <w:p>
            <w:pPr>
              <w:spacing w:after="0"/>
              <w:rPr>
                <w:sz w:val="4"/>
                <w:szCs w:val="4"/>
                <w:color w:val="auto"/>
              </w:rPr>
            </w:pPr>
          </w:p>
        </w:tc>
        <w:tc>
          <w:tcPr>
            <w:tcW w:w="80" w:type="dxa"/>
            <w:vAlign w:val="bottom"/>
            <w:tcBorders>
              <w:bottom w:val="single" w:sz="8" w:color="0CD973"/>
            </w:tcBorders>
          </w:tcPr>
          <w:p>
            <w:pPr>
              <w:spacing w:after="0"/>
              <w:rPr>
                <w:sz w:val="4"/>
                <w:szCs w:val="4"/>
                <w:color w:val="auto"/>
              </w:rPr>
            </w:pPr>
          </w:p>
        </w:tc>
        <w:tc>
          <w:tcPr>
            <w:tcW w:w="720" w:type="dxa"/>
            <w:vAlign w:val="bottom"/>
            <w:tcBorders>
              <w:bottom w:val="single" w:sz="8" w:color="0CD973"/>
            </w:tcBorders>
          </w:tcPr>
          <w:p>
            <w:pPr>
              <w:spacing w:after="0"/>
              <w:rPr>
                <w:sz w:val="4"/>
                <w:szCs w:val="4"/>
                <w:color w:val="auto"/>
              </w:rPr>
            </w:pPr>
          </w:p>
        </w:tc>
        <w:tc>
          <w:tcPr>
            <w:tcW w:w="140" w:type="dxa"/>
            <w:vAlign w:val="bottom"/>
            <w:tcBorders>
              <w:bottom w:val="single" w:sz="8" w:color="0CD973"/>
            </w:tcBorders>
          </w:tcPr>
          <w:p>
            <w:pPr>
              <w:spacing w:after="0"/>
              <w:rPr>
                <w:sz w:val="4"/>
                <w:szCs w:val="4"/>
                <w:color w:val="auto"/>
              </w:rPr>
            </w:pPr>
          </w:p>
        </w:tc>
        <w:tc>
          <w:tcPr>
            <w:tcW w:w="1120" w:type="dxa"/>
            <w:vAlign w:val="bottom"/>
            <w:tcBorders>
              <w:bottom w:val="single" w:sz="8" w:color="0CD973"/>
            </w:tcBorders>
          </w:tcPr>
          <w:p>
            <w:pPr>
              <w:spacing w:after="0"/>
              <w:rPr>
                <w:sz w:val="4"/>
                <w:szCs w:val="4"/>
                <w:color w:val="auto"/>
              </w:rPr>
            </w:pPr>
          </w:p>
        </w:tc>
        <w:tc>
          <w:tcPr>
            <w:tcW w:w="0" w:type="dxa"/>
            <w:vAlign w:val="bottom"/>
          </w:tcPr>
          <w:p>
            <w:pPr>
              <w:spacing w:after="0"/>
              <w:rPr>
                <w:sz w:val="1"/>
                <w:szCs w:val="1"/>
                <w:color w:val="auto"/>
              </w:rPr>
            </w:pPr>
          </w:p>
        </w:tc>
      </w:tr>
      <w:tr>
        <w:trPr>
          <w:trHeight w:val="444"/>
        </w:trPr>
        <w:tc>
          <w:tcPr>
            <w:tcW w:w="9180" w:type="dxa"/>
            <w:vAlign w:val="bottom"/>
            <w:gridSpan w:val="14"/>
          </w:tcPr>
          <w:p>
            <w:pPr>
              <w:jc w:val="right"/>
              <w:ind w:right="1259"/>
              <w:spacing w:after="0"/>
              <w:rPr>
                <w:sz w:val="20"/>
                <w:szCs w:val="20"/>
                <w:color w:val="auto"/>
              </w:rPr>
            </w:pPr>
            <w:r>
              <w:rPr>
                <w:rFonts w:ascii="Arial" w:cs="Arial" w:eastAsia="Arial" w:hAnsi="Arial"/>
                <w:sz w:val="18"/>
                <w:szCs w:val="18"/>
                <w:color w:val="51555C"/>
                <w:w w:val="93"/>
              </w:rPr>
              <w:t>The efects of derivatve instruments in cash fow and net investment hedging relatonships were as follows: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004054"/>
          </w:tcPr>
          <w:p>
            <w:pPr>
              <w:spacing w:after="0"/>
              <w:rPr>
                <w:sz w:val="20"/>
                <w:szCs w:val="20"/>
                <w:color w:val="auto"/>
              </w:rPr>
            </w:pPr>
          </w:p>
        </w:tc>
        <w:tc>
          <w:tcPr>
            <w:tcW w:w="2800" w:type="dxa"/>
            <w:vAlign w:val="bottom"/>
            <w:shd w:val="clear" w:color="auto" w:fill="004054"/>
          </w:tcPr>
          <w:p>
            <w:pPr>
              <w:spacing w:after="0"/>
              <w:rPr>
                <w:sz w:val="20"/>
                <w:szCs w:val="20"/>
                <w:color w:val="auto"/>
              </w:rPr>
            </w:pPr>
          </w:p>
        </w:tc>
        <w:tc>
          <w:tcPr>
            <w:tcW w:w="800" w:type="dxa"/>
            <w:vAlign w:val="bottom"/>
            <w:shd w:val="clear" w:color="auto" w:fill="004054"/>
          </w:tcPr>
          <w:p>
            <w:pPr>
              <w:spacing w:after="0"/>
              <w:rPr>
                <w:sz w:val="20"/>
                <w:szCs w:val="20"/>
                <w:color w:val="auto"/>
              </w:rPr>
            </w:pPr>
          </w:p>
        </w:tc>
        <w:tc>
          <w:tcPr>
            <w:tcW w:w="180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300" w:type="dxa"/>
            <w:vAlign w:val="bottom"/>
            <w:shd w:val="clear" w:color="auto" w:fill="004054"/>
          </w:tcPr>
          <w:p>
            <w:pPr>
              <w:spacing w:after="0"/>
              <w:rPr>
                <w:sz w:val="20"/>
                <w:szCs w:val="20"/>
                <w:color w:val="auto"/>
              </w:rPr>
            </w:pPr>
          </w:p>
        </w:tc>
        <w:tc>
          <w:tcPr>
            <w:tcW w:w="160" w:type="dxa"/>
            <w:vAlign w:val="bottom"/>
            <w:shd w:val="clear" w:color="auto" w:fill="004054"/>
          </w:tcPr>
          <w:p>
            <w:pPr>
              <w:spacing w:after="0"/>
              <w:rPr>
                <w:sz w:val="20"/>
                <w:szCs w:val="20"/>
                <w:color w:val="auto"/>
              </w:rPr>
            </w:pPr>
          </w:p>
        </w:tc>
        <w:tc>
          <w:tcPr>
            <w:tcW w:w="1320" w:type="dxa"/>
            <w:vAlign w:val="bottom"/>
            <w:gridSpan w:val="3"/>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Locaton</w:t>
            </w:r>
          </w:p>
        </w:tc>
        <w:tc>
          <w:tcPr>
            <w:tcW w:w="160" w:type="dxa"/>
            <w:vAlign w:val="bottom"/>
            <w:shd w:val="clear" w:color="auto" w:fill="004054"/>
          </w:tcPr>
          <w:p>
            <w:pPr>
              <w:spacing w:after="0"/>
              <w:rPr>
                <w:sz w:val="20"/>
                <w:szCs w:val="20"/>
                <w:color w:val="auto"/>
              </w:rPr>
            </w:pPr>
          </w:p>
        </w:tc>
        <w:tc>
          <w:tcPr>
            <w:tcW w:w="1400" w:type="dxa"/>
            <w:vAlign w:val="bottom"/>
            <w:shd w:val="clear" w:color="auto" w:fill="004054"/>
          </w:tcPr>
          <w:p>
            <w:pPr>
              <w:spacing w:after="0"/>
              <w:rPr>
                <w:sz w:val="20"/>
                <w:szCs w:val="20"/>
                <w:color w:val="auto"/>
              </w:rPr>
            </w:pPr>
          </w:p>
        </w:tc>
        <w:tc>
          <w:tcPr>
            <w:tcW w:w="42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72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1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shd w:val="clear" w:color="auto" w:fill="004054"/>
          </w:tcPr>
          <w:p>
            <w:pPr>
              <w:spacing w:after="0"/>
              <w:rPr>
                <w:sz w:val="10"/>
                <w:szCs w:val="10"/>
                <w:color w:val="auto"/>
              </w:rPr>
            </w:pPr>
          </w:p>
        </w:tc>
        <w:tc>
          <w:tcPr>
            <w:tcW w:w="2800" w:type="dxa"/>
            <w:vAlign w:val="bottom"/>
            <w:shd w:val="clear" w:color="auto" w:fill="004054"/>
          </w:tcPr>
          <w:p>
            <w:pPr>
              <w:spacing w:after="0"/>
              <w:rPr>
                <w:sz w:val="10"/>
                <w:szCs w:val="10"/>
                <w:color w:val="auto"/>
              </w:rPr>
            </w:pPr>
          </w:p>
        </w:tc>
        <w:tc>
          <w:tcPr>
            <w:tcW w:w="800" w:type="dxa"/>
            <w:vAlign w:val="bottom"/>
            <w:shd w:val="clear" w:color="auto" w:fill="004054"/>
          </w:tcPr>
          <w:p>
            <w:pPr>
              <w:spacing w:after="0"/>
              <w:rPr>
                <w:sz w:val="10"/>
                <w:szCs w:val="10"/>
                <w:color w:val="auto"/>
              </w:rPr>
            </w:pPr>
          </w:p>
        </w:tc>
        <w:tc>
          <w:tcPr>
            <w:tcW w:w="1800" w:type="dxa"/>
            <w:vAlign w:val="bottom"/>
            <w:gridSpan w:val="3"/>
            <w:vMerge w:val="continue"/>
            <w:shd w:val="clear" w:color="auto" w:fill="004054"/>
          </w:tcPr>
          <w:p>
            <w:pPr>
              <w:spacing w:after="0"/>
              <w:rPr>
                <w:sz w:val="10"/>
                <w:szCs w:val="10"/>
                <w:color w:val="auto"/>
              </w:rPr>
            </w:pPr>
          </w:p>
        </w:tc>
        <w:tc>
          <w:tcPr>
            <w:tcW w:w="300" w:type="dxa"/>
            <w:vAlign w:val="bottom"/>
            <w:shd w:val="clear" w:color="auto" w:fill="004054"/>
          </w:tcPr>
          <w:p>
            <w:pPr>
              <w:spacing w:after="0"/>
              <w:rPr>
                <w:sz w:val="10"/>
                <w:szCs w:val="10"/>
                <w:color w:val="auto"/>
              </w:rPr>
            </w:pPr>
          </w:p>
        </w:tc>
        <w:tc>
          <w:tcPr>
            <w:tcW w:w="160" w:type="dxa"/>
            <w:vAlign w:val="bottom"/>
            <w:shd w:val="clear" w:color="auto" w:fill="004054"/>
          </w:tcPr>
          <w:p>
            <w:pPr>
              <w:spacing w:after="0"/>
              <w:rPr>
                <w:sz w:val="10"/>
                <w:szCs w:val="10"/>
                <w:color w:val="auto"/>
              </w:rPr>
            </w:pPr>
          </w:p>
        </w:tc>
        <w:tc>
          <w:tcPr>
            <w:tcW w:w="1320" w:type="dxa"/>
            <w:vAlign w:val="bottom"/>
            <w:gridSpan w:val="3"/>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of gain (loss)</w:t>
            </w:r>
          </w:p>
        </w:tc>
        <w:tc>
          <w:tcPr>
            <w:tcW w:w="160" w:type="dxa"/>
            <w:vAlign w:val="bottom"/>
            <w:shd w:val="clear" w:color="auto" w:fill="004054"/>
          </w:tcPr>
          <w:p>
            <w:pPr>
              <w:spacing w:after="0"/>
              <w:rPr>
                <w:sz w:val="10"/>
                <w:szCs w:val="10"/>
                <w:color w:val="auto"/>
              </w:rPr>
            </w:pPr>
          </w:p>
        </w:tc>
        <w:tc>
          <w:tcPr>
            <w:tcW w:w="1400" w:type="dxa"/>
            <w:vAlign w:val="bottom"/>
            <w:shd w:val="clear" w:color="auto" w:fill="004054"/>
          </w:tcPr>
          <w:p>
            <w:pPr>
              <w:spacing w:after="0"/>
              <w:rPr>
                <w:sz w:val="10"/>
                <w:szCs w:val="10"/>
                <w:color w:val="auto"/>
              </w:rPr>
            </w:pPr>
          </w:p>
        </w:tc>
        <w:tc>
          <w:tcPr>
            <w:tcW w:w="420" w:type="dxa"/>
            <w:vAlign w:val="bottom"/>
            <w:shd w:val="clear" w:color="auto" w:fill="004054"/>
          </w:tcPr>
          <w:p>
            <w:pPr>
              <w:spacing w:after="0"/>
              <w:rPr>
                <w:sz w:val="10"/>
                <w:szCs w:val="10"/>
                <w:color w:val="auto"/>
              </w:rPr>
            </w:pPr>
          </w:p>
        </w:tc>
        <w:tc>
          <w:tcPr>
            <w:tcW w:w="80" w:type="dxa"/>
            <w:vAlign w:val="bottom"/>
            <w:shd w:val="clear" w:color="auto" w:fill="004054"/>
          </w:tcPr>
          <w:p>
            <w:pPr>
              <w:spacing w:after="0"/>
              <w:rPr>
                <w:sz w:val="10"/>
                <w:szCs w:val="10"/>
                <w:color w:val="auto"/>
              </w:rPr>
            </w:pPr>
          </w:p>
        </w:tc>
        <w:tc>
          <w:tcPr>
            <w:tcW w:w="720" w:type="dxa"/>
            <w:vAlign w:val="bottom"/>
            <w:shd w:val="clear" w:color="auto" w:fill="004054"/>
          </w:tcPr>
          <w:p>
            <w:pPr>
              <w:spacing w:after="0"/>
              <w:rPr>
                <w:sz w:val="10"/>
                <w:szCs w:val="10"/>
                <w:color w:val="auto"/>
              </w:rPr>
            </w:pPr>
          </w:p>
        </w:tc>
        <w:tc>
          <w:tcPr>
            <w:tcW w:w="140" w:type="dxa"/>
            <w:vAlign w:val="bottom"/>
            <w:shd w:val="clear" w:color="auto" w:fill="004054"/>
          </w:tcPr>
          <w:p>
            <w:pPr>
              <w:spacing w:after="0"/>
              <w:rPr>
                <w:sz w:val="10"/>
                <w:szCs w:val="10"/>
                <w:color w:val="auto"/>
              </w:rPr>
            </w:pPr>
          </w:p>
        </w:tc>
        <w:tc>
          <w:tcPr>
            <w:tcW w:w="1120" w:type="dxa"/>
            <w:vAlign w:val="bottom"/>
            <w:shd w:val="clear" w:color="auto" w:fill="004054"/>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shd w:val="clear" w:color="auto" w:fill="004054"/>
          </w:tcPr>
          <w:p>
            <w:pPr>
              <w:spacing w:after="0"/>
              <w:rPr>
                <w:sz w:val="5"/>
                <w:szCs w:val="5"/>
                <w:color w:val="auto"/>
              </w:rPr>
            </w:pPr>
          </w:p>
        </w:tc>
        <w:tc>
          <w:tcPr>
            <w:tcW w:w="280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1800" w:type="dxa"/>
            <w:vAlign w:val="bottom"/>
            <w:gridSpan w:val="3"/>
            <w:vMerge w:val="restart"/>
            <w:shd w:val="clear" w:color="auto" w:fill="004054"/>
          </w:tcPr>
          <w:p>
            <w:pPr>
              <w:jc w:val="right"/>
              <w:spacing w:after="0" w:line="153" w:lineRule="exact"/>
              <w:rPr>
                <w:sz w:val="20"/>
                <w:szCs w:val="20"/>
                <w:color w:val="auto"/>
              </w:rPr>
            </w:pPr>
            <w:r>
              <w:rPr>
                <w:rFonts w:ascii="Arial" w:cs="Arial" w:eastAsia="Arial" w:hAnsi="Arial"/>
                <w:sz w:val="14"/>
                <w:szCs w:val="14"/>
                <w:b w:val="1"/>
                <w:bCs w:val="1"/>
                <w:color w:val="FFFFFF"/>
              </w:rPr>
              <w:t>in accumulated other</w:t>
            </w:r>
          </w:p>
        </w:tc>
        <w:tc>
          <w:tcPr>
            <w:tcW w:w="3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320" w:type="dxa"/>
            <w:vAlign w:val="bottom"/>
            <w:gridSpan w:val="3"/>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400" w:type="dxa"/>
            <w:vAlign w:val="bottom"/>
            <w:shd w:val="clear" w:color="auto" w:fill="004054"/>
          </w:tcPr>
          <w:p>
            <w:pPr>
              <w:spacing w:after="0"/>
              <w:rPr>
                <w:sz w:val="5"/>
                <w:szCs w:val="5"/>
                <w:color w:val="auto"/>
              </w:rPr>
            </w:pPr>
          </w:p>
        </w:tc>
        <w:tc>
          <w:tcPr>
            <w:tcW w:w="420" w:type="dxa"/>
            <w:vAlign w:val="bottom"/>
            <w:shd w:val="clear" w:color="auto" w:fill="004054"/>
          </w:tcPr>
          <w:p>
            <w:pPr>
              <w:spacing w:after="0"/>
              <w:rPr>
                <w:sz w:val="5"/>
                <w:szCs w:val="5"/>
                <w:color w:val="auto"/>
              </w:rPr>
            </w:pPr>
          </w:p>
        </w:tc>
        <w:tc>
          <w:tcPr>
            <w:tcW w:w="80" w:type="dxa"/>
            <w:vAlign w:val="bottom"/>
            <w:shd w:val="clear" w:color="auto" w:fill="004054"/>
          </w:tcPr>
          <w:p>
            <w:pPr>
              <w:spacing w:after="0"/>
              <w:rPr>
                <w:sz w:val="5"/>
                <w:szCs w:val="5"/>
                <w:color w:val="auto"/>
              </w:rPr>
            </w:pPr>
          </w:p>
        </w:tc>
        <w:tc>
          <w:tcPr>
            <w:tcW w:w="7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11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004054"/>
          </w:tcPr>
          <w:p>
            <w:pPr>
              <w:spacing w:after="0"/>
              <w:rPr>
                <w:sz w:val="8"/>
                <w:szCs w:val="8"/>
                <w:color w:val="auto"/>
              </w:rPr>
            </w:pPr>
          </w:p>
        </w:tc>
        <w:tc>
          <w:tcPr>
            <w:tcW w:w="2800" w:type="dxa"/>
            <w:vAlign w:val="bottom"/>
            <w:shd w:val="clear" w:color="auto" w:fill="004054"/>
          </w:tcPr>
          <w:p>
            <w:pPr>
              <w:spacing w:after="0"/>
              <w:rPr>
                <w:sz w:val="8"/>
                <w:szCs w:val="8"/>
                <w:color w:val="auto"/>
              </w:rPr>
            </w:pPr>
          </w:p>
        </w:tc>
        <w:tc>
          <w:tcPr>
            <w:tcW w:w="800" w:type="dxa"/>
            <w:vAlign w:val="bottom"/>
            <w:shd w:val="clear" w:color="auto" w:fill="004054"/>
          </w:tcPr>
          <w:p>
            <w:pPr>
              <w:spacing w:after="0"/>
              <w:rPr>
                <w:sz w:val="8"/>
                <w:szCs w:val="8"/>
                <w:color w:val="auto"/>
              </w:rPr>
            </w:pPr>
          </w:p>
        </w:tc>
        <w:tc>
          <w:tcPr>
            <w:tcW w:w="1800" w:type="dxa"/>
            <w:vAlign w:val="bottom"/>
            <w:gridSpan w:val="3"/>
            <w:vMerge w:val="continue"/>
            <w:shd w:val="clear" w:color="auto" w:fill="004054"/>
          </w:tcPr>
          <w:p>
            <w:pPr>
              <w:spacing w:after="0"/>
              <w:rPr>
                <w:sz w:val="8"/>
                <w:szCs w:val="8"/>
                <w:color w:val="auto"/>
              </w:rPr>
            </w:pPr>
          </w:p>
        </w:tc>
        <w:tc>
          <w:tcPr>
            <w:tcW w:w="300" w:type="dxa"/>
            <w:vAlign w:val="bottom"/>
            <w:shd w:val="clear" w:color="auto" w:fill="004054"/>
          </w:tcPr>
          <w:p>
            <w:pPr>
              <w:spacing w:after="0"/>
              <w:rPr>
                <w:sz w:val="8"/>
                <w:szCs w:val="8"/>
                <w:color w:val="auto"/>
              </w:rPr>
            </w:pPr>
          </w:p>
        </w:tc>
        <w:tc>
          <w:tcPr>
            <w:tcW w:w="160" w:type="dxa"/>
            <w:vAlign w:val="bottom"/>
            <w:shd w:val="clear" w:color="auto" w:fill="004054"/>
          </w:tcPr>
          <w:p>
            <w:pPr>
              <w:spacing w:after="0"/>
              <w:rPr>
                <w:sz w:val="8"/>
                <w:szCs w:val="8"/>
                <w:color w:val="auto"/>
              </w:rPr>
            </w:pPr>
          </w:p>
        </w:tc>
        <w:tc>
          <w:tcPr>
            <w:tcW w:w="1320" w:type="dxa"/>
            <w:vAlign w:val="bottom"/>
            <w:gridSpan w:val="3"/>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reclassifed from</w:t>
            </w:r>
          </w:p>
        </w:tc>
        <w:tc>
          <w:tcPr>
            <w:tcW w:w="160" w:type="dxa"/>
            <w:vAlign w:val="bottom"/>
            <w:shd w:val="clear" w:color="auto" w:fill="004054"/>
          </w:tcPr>
          <w:p>
            <w:pPr>
              <w:spacing w:after="0"/>
              <w:rPr>
                <w:sz w:val="8"/>
                <w:szCs w:val="8"/>
                <w:color w:val="auto"/>
              </w:rPr>
            </w:pPr>
          </w:p>
        </w:tc>
        <w:tc>
          <w:tcPr>
            <w:tcW w:w="1400" w:type="dxa"/>
            <w:vAlign w:val="bottom"/>
            <w:shd w:val="clear" w:color="auto" w:fill="004054"/>
          </w:tcPr>
          <w:p>
            <w:pPr>
              <w:spacing w:after="0"/>
              <w:rPr>
                <w:sz w:val="8"/>
                <w:szCs w:val="8"/>
                <w:color w:val="auto"/>
              </w:rPr>
            </w:pPr>
          </w:p>
        </w:tc>
        <w:tc>
          <w:tcPr>
            <w:tcW w:w="420" w:type="dxa"/>
            <w:vAlign w:val="bottom"/>
            <w:shd w:val="clear" w:color="auto" w:fill="004054"/>
          </w:tcPr>
          <w:p>
            <w:pPr>
              <w:spacing w:after="0"/>
              <w:rPr>
                <w:sz w:val="8"/>
                <w:szCs w:val="8"/>
                <w:color w:val="auto"/>
              </w:rPr>
            </w:pPr>
          </w:p>
        </w:tc>
        <w:tc>
          <w:tcPr>
            <w:tcW w:w="80" w:type="dxa"/>
            <w:vAlign w:val="bottom"/>
            <w:shd w:val="clear" w:color="auto" w:fill="004054"/>
          </w:tcPr>
          <w:p>
            <w:pPr>
              <w:spacing w:after="0"/>
              <w:rPr>
                <w:sz w:val="8"/>
                <w:szCs w:val="8"/>
                <w:color w:val="auto"/>
              </w:rPr>
            </w:pPr>
          </w:p>
        </w:tc>
        <w:tc>
          <w:tcPr>
            <w:tcW w:w="720" w:type="dxa"/>
            <w:vAlign w:val="bottom"/>
            <w:shd w:val="clear" w:color="auto" w:fill="004054"/>
          </w:tcPr>
          <w:p>
            <w:pPr>
              <w:spacing w:after="0"/>
              <w:rPr>
                <w:sz w:val="8"/>
                <w:szCs w:val="8"/>
                <w:color w:val="auto"/>
              </w:rPr>
            </w:pPr>
          </w:p>
        </w:tc>
        <w:tc>
          <w:tcPr>
            <w:tcW w:w="140" w:type="dxa"/>
            <w:vAlign w:val="bottom"/>
            <w:shd w:val="clear" w:color="auto" w:fill="004054"/>
          </w:tcPr>
          <w:p>
            <w:pPr>
              <w:spacing w:after="0"/>
              <w:rPr>
                <w:sz w:val="8"/>
                <w:szCs w:val="8"/>
                <w:color w:val="auto"/>
              </w:rPr>
            </w:pPr>
          </w:p>
        </w:tc>
        <w:tc>
          <w:tcPr>
            <w:tcW w:w="11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004054"/>
          </w:tcPr>
          <w:p>
            <w:pPr>
              <w:spacing w:after="0"/>
              <w:rPr>
                <w:sz w:val="5"/>
                <w:szCs w:val="5"/>
                <w:color w:val="auto"/>
              </w:rPr>
            </w:pPr>
          </w:p>
        </w:tc>
        <w:tc>
          <w:tcPr>
            <w:tcW w:w="280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180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3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320" w:type="dxa"/>
            <w:vAlign w:val="bottom"/>
            <w:gridSpan w:val="3"/>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400" w:type="dxa"/>
            <w:vAlign w:val="bottom"/>
            <w:shd w:val="clear" w:color="auto" w:fill="004054"/>
          </w:tcPr>
          <w:p>
            <w:pPr>
              <w:spacing w:after="0"/>
              <w:rPr>
                <w:sz w:val="5"/>
                <w:szCs w:val="5"/>
                <w:color w:val="auto"/>
              </w:rPr>
            </w:pPr>
          </w:p>
        </w:tc>
        <w:tc>
          <w:tcPr>
            <w:tcW w:w="2480" w:type="dxa"/>
            <w:vAlign w:val="bottom"/>
            <w:gridSpan w:val="5"/>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w w:val="88"/>
              </w:rPr>
              <w:t>Gain (loss) reclassifed from accumulated</w:t>
            </w:r>
          </w:p>
        </w:tc>
        <w:tc>
          <w:tcPr>
            <w:tcW w:w="0" w:type="dxa"/>
            <w:vAlign w:val="bottom"/>
          </w:tcPr>
          <w:p>
            <w:pPr>
              <w:spacing w:after="0"/>
              <w:rPr>
                <w:sz w:val="1"/>
                <w:szCs w:val="1"/>
                <w:color w:val="auto"/>
              </w:rPr>
            </w:pPr>
          </w:p>
        </w:tc>
      </w:tr>
      <w:tr>
        <w:trPr>
          <w:trHeight w:val="116"/>
        </w:trPr>
        <w:tc>
          <w:tcPr>
            <w:tcW w:w="20" w:type="dxa"/>
            <w:vAlign w:val="bottom"/>
            <w:shd w:val="clear" w:color="auto" w:fill="004054"/>
          </w:tcPr>
          <w:p>
            <w:pPr>
              <w:spacing w:after="0"/>
              <w:rPr>
                <w:sz w:val="10"/>
                <w:szCs w:val="10"/>
                <w:color w:val="auto"/>
              </w:rPr>
            </w:pPr>
          </w:p>
        </w:tc>
        <w:tc>
          <w:tcPr>
            <w:tcW w:w="2800" w:type="dxa"/>
            <w:vAlign w:val="bottom"/>
            <w:shd w:val="clear" w:color="auto" w:fill="004054"/>
          </w:tcPr>
          <w:p>
            <w:pPr>
              <w:spacing w:after="0"/>
              <w:rPr>
                <w:sz w:val="10"/>
                <w:szCs w:val="10"/>
                <w:color w:val="auto"/>
              </w:rPr>
            </w:pPr>
          </w:p>
        </w:tc>
        <w:tc>
          <w:tcPr>
            <w:tcW w:w="800" w:type="dxa"/>
            <w:vAlign w:val="bottom"/>
            <w:shd w:val="clear" w:color="auto" w:fill="004054"/>
          </w:tcPr>
          <w:p>
            <w:pPr>
              <w:spacing w:after="0"/>
              <w:rPr>
                <w:sz w:val="10"/>
                <w:szCs w:val="10"/>
                <w:color w:val="auto"/>
              </w:rPr>
            </w:pPr>
          </w:p>
        </w:tc>
        <w:tc>
          <w:tcPr>
            <w:tcW w:w="1800" w:type="dxa"/>
            <w:vAlign w:val="bottom"/>
            <w:gridSpan w:val="3"/>
            <w:vMerge w:val="continue"/>
            <w:shd w:val="clear" w:color="auto" w:fill="004054"/>
          </w:tcPr>
          <w:p>
            <w:pPr>
              <w:spacing w:after="0"/>
              <w:rPr>
                <w:sz w:val="10"/>
                <w:szCs w:val="10"/>
                <w:color w:val="auto"/>
              </w:rPr>
            </w:pPr>
          </w:p>
        </w:tc>
        <w:tc>
          <w:tcPr>
            <w:tcW w:w="300" w:type="dxa"/>
            <w:vAlign w:val="bottom"/>
            <w:shd w:val="clear" w:color="auto" w:fill="004054"/>
          </w:tcPr>
          <w:p>
            <w:pPr>
              <w:spacing w:after="0"/>
              <w:rPr>
                <w:sz w:val="10"/>
                <w:szCs w:val="10"/>
                <w:color w:val="auto"/>
              </w:rPr>
            </w:pPr>
          </w:p>
        </w:tc>
        <w:tc>
          <w:tcPr>
            <w:tcW w:w="160" w:type="dxa"/>
            <w:vAlign w:val="bottom"/>
            <w:shd w:val="clear" w:color="auto" w:fill="004054"/>
          </w:tcPr>
          <w:p>
            <w:pPr>
              <w:spacing w:after="0"/>
              <w:rPr>
                <w:sz w:val="10"/>
                <w:szCs w:val="10"/>
                <w:color w:val="auto"/>
              </w:rPr>
            </w:pPr>
          </w:p>
        </w:tc>
        <w:tc>
          <w:tcPr>
            <w:tcW w:w="1320" w:type="dxa"/>
            <w:vAlign w:val="bottom"/>
            <w:gridSpan w:val="3"/>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accumulated other</w:t>
            </w:r>
          </w:p>
        </w:tc>
        <w:tc>
          <w:tcPr>
            <w:tcW w:w="160" w:type="dxa"/>
            <w:vAlign w:val="bottom"/>
            <w:shd w:val="clear" w:color="auto" w:fill="004054"/>
          </w:tcPr>
          <w:p>
            <w:pPr>
              <w:spacing w:after="0"/>
              <w:rPr>
                <w:sz w:val="10"/>
                <w:szCs w:val="10"/>
                <w:color w:val="auto"/>
              </w:rPr>
            </w:pPr>
          </w:p>
        </w:tc>
        <w:tc>
          <w:tcPr>
            <w:tcW w:w="1400" w:type="dxa"/>
            <w:vAlign w:val="bottom"/>
            <w:shd w:val="clear" w:color="auto" w:fill="004054"/>
          </w:tcPr>
          <w:p>
            <w:pPr>
              <w:spacing w:after="0"/>
              <w:rPr>
                <w:sz w:val="10"/>
                <w:szCs w:val="10"/>
                <w:color w:val="auto"/>
              </w:rPr>
            </w:pPr>
          </w:p>
        </w:tc>
        <w:tc>
          <w:tcPr>
            <w:tcW w:w="2480" w:type="dxa"/>
            <w:vAlign w:val="bottom"/>
            <w:gridSpan w:val="5"/>
            <w:vMerge w:val="continue"/>
            <w:shd w:val="clear" w:color="auto" w:fill="004054"/>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shd w:val="clear" w:color="auto" w:fill="004054"/>
          </w:tcPr>
          <w:p>
            <w:pPr>
              <w:spacing w:after="0"/>
              <w:rPr>
                <w:sz w:val="5"/>
                <w:szCs w:val="5"/>
                <w:color w:val="auto"/>
              </w:rPr>
            </w:pPr>
          </w:p>
        </w:tc>
        <w:tc>
          <w:tcPr>
            <w:tcW w:w="280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w w:val="86"/>
              </w:rPr>
              <w:t>income as of</w:t>
            </w:r>
          </w:p>
        </w:tc>
        <w:tc>
          <w:tcPr>
            <w:tcW w:w="3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320" w:type="dxa"/>
            <w:vAlign w:val="bottom"/>
            <w:gridSpan w:val="3"/>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3880" w:type="dxa"/>
            <w:vAlign w:val="bottom"/>
            <w:gridSpan w:val="6"/>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other comprehensive income into income (loss)</w:t>
            </w:r>
          </w:p>
        </w:tc>
        <w:tc>
          <w:tcPr>
            <w:tcW w:w="0" w:type="dxa"/>
            <w:vAlign w:val="bottom"/>
          </w:tcPr>
          <w:p>
            <w:pPr>
              <w:spacing w:after="0"/>
              <w:rPr>
                <w:sz w:val="1"/>
                <w:szCs w:val="1"/>
                <w:color w:val="auto"/>
              </w:rPr>
            </w:pPr>
          </w:p>
        </w:tc>
      </w:tr>
      <w:tr>
        <w:trPr>
          <w:trHeight w:val="125"/>
        </w:trPr>
        <w:tc>
          <w:tcPr>
            <w:tcW w:w="20" w:type="dxa"/>
            <w:vAlign w:val="bottom"/>
            <w:shd w:val="clear" w:color="auto" w:fill="004054"/>
          </w:tcPr>
          <w:p>
            <w:pPr>
              <w:spacing w:after="0"/>
              <w:rPr>
                <w:sz w:val="10"/>
                <w:szCs w:val="10"/>
                <w:color w:val="auto"/>
              </w:rPr>
            </w:pPr>
          </w:p>
        </w:tc>
        <w:tc>
          <w:tcPr>
            <w:tcW w:w="2800" w:type="dxa"/>
            <w:vAlign w:val="bottom"/>
            <w:shd w:val="clear" w:color="auto" w:fill="004054"/>
          </w:tcPr>
          <w:p>
            <w:pPr>
              <w:spacing w:after="0"/>
              <w:rPr>
                <w:sz w:val="10"/>
                <w:szCs w:val="10"/>
                <w:color w:val="auto"/>
              </w:rPr>
            </w:pPr>
          </w:p>
        </w:tc>
        <w:tc>
          <w:tcPr>
            <w:tcW w:w="800" w:type="dxa"/>
            <w:vAlign w:val="bottom"/>
            <w:shd w:val="clear" w:color="auto" w:fill="004054"/>
          </w:tcPr>
          <w:p>
            <w:pPr>
              <w:spacing w:after="0"/>
              <w:rPr>
                <w:sz w:val="10"/>
                <w:szCs w:val="10"/>
                <w:color w:val="auto"/>
              </w:rPr>
            </w:pPr>
          </w:p>
        </w:tc>
        <w:tc>
          <w:tcPr>
            <w:tcW w:w="880" w:type="dxa"/>
            <w:vAlign w:val="bottom"/>
            <w:shd w:val="clear" w:color="auto" w:fill="004054"/>
          </w:tcPr>
          <w:p>
            <w:pPr>
              <w:spacing w:after="0"/>
              <w:rPr>
                <w:sz w:val="10"/>
                <w:szCs w:val="10"/>
                <w:color w:val="auto"/>
              </w:rPr>
            </w:pPr>
          </w:p>
        </w:tc>
        <w:tc>
          <w:tcPr>
            <w:tcW w:w="120" w:type="dxa"/>
            <w:vAlign w:val="bottom"/>
            <w:shd w:val="clear" w:color="auto" w:fill="004054"/>
          </w:tcPr>
          <w:p>
            <w:pPr>
              <w:spacing w:after="0"/>
              <w:rPr>
                <w:sz w:val="10"/>
                <w:szCs w:val="10"/>
                <w:color w:val="auto"/>
              </w:rPr>
            </w:pPr>
          </w:p>
        </w:tc>
        <w:tc>
          <w:tcPr>
            <w:tcW w:w="800" w:type="dxa"/>
            <w:vAlign w:val="bottom"/>
            <w:vMerge w:val="continue"/>
            <w:shd w:val="clear" w:color="auto" w:fill="004054"/>
          </w:tcPr>
          <w:p>
            <w:pPr>
              <w:spacing w:after="0"/>
              <w:rPr>
                <w:sz w:val="10"/>
                <w:szCs w:val="10"/>
                <w:color w:val="auto"/>
              </w:rPr>
            </w:pPr>
          </w:p>
        </w:tc>
        <w:tc>
          <w:tcPr>
            <w:tcW w:w="300" w:type="dxa"/>
            <w:vAlign w:val="bottom"/>
            <w:shd w:val="clear" w:color="auto" w:fill="004054"/>
          </w:tcPr>
          <w:p>
            <w:pPr>
              <w:spacing w:after="0"/>
              <w:rPr>
                <w:sz w:val="10"/>
                <w:szCs w:val="10"/>
                <w:color w:val="auto"/>
              </w:rPr>
            </w:pPr>
          </w:p>
        </w:tc>
        <w:tc>
          <w:tcPr>
            <w:tcW w:w="160" w:type="dxa"/>
            <w:vAlign w:val="bottom"/>
            <w:shd w:val="clear" w:color="auto" w:fill="004054"/>
          </w:tcPr>
          <w:p>
            <w:pPr>
              <w:spacing w:after="0"/>
              <w:rPr>
                <w:sz w:val="10"/>
                <w:szCs w:val="10"/>
                <w:color w:val="auto"/>
              </w:rPr>
            </w:pPr>
          </w:p>
        </w:tc>
        <w:tc>
          <w:tcPr>
            <w:tcW w:w="1320" w:type="dxa"/>
            <w:vAlign w:val="bottom"/>
            <w:gridSpan w:val="3"/>
            <w:vMerge w:val="restart"/>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comprehensive</w:t>
            </w:r>
          </w:p>
        </w:tc>
        <w:tc>
          <w:tcPr>
            <w:tcW w:w="160" w:type="dxa"/>
            <w:vAlign w:val="bottom"/>
            <w:shd w:val="clear" w:color="auto" w:fill="004054"/>
          </w:tcPr>
          <w:p>
            <w:pPr>
              <w:spacing w:after="0"/>
              <w:rPr>
                <w:sz w:val="10"/>
                <w:szCs w:val="10"/>
                <w:color w:val="auto"/>
              </w:rPr>
            </w:pPr>
          </w:p>
        </w:tc>
        <w:tc>
          <w:tcPr>
            <w:tcW w:w="3880" w:type="dxa"/>
            <w:vAlign w:val="bottom"/>
            <w:gridSpan w:val="6"/>
            <w:vMerge w:val="continue"/>
            <w:shd w:val="clear" w:color="auto" w:fill="004054"/>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shd w:val="clear" w:color="auto" w:fill="004054"/>
          </w:tcPr>
          <w:p>
            <w:pPr>
              <w:spacing w:after="0"/>
              <w:rPr>
                <w:sz w:val="5"/>
                <w:szCs w:val="5"/>
                <w:color w:val="auto"/>
              </w:rPr>
            </w:pPr>
          </w:p>
        </w:tc>
        <w:tc>
          <w:tcPr>
            <w:tcW w:w="280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800" w:type="dxa"/>
            <w:vAlign w:val="bottom"/>
            <w:shd w:val="clear" w:color="auto" w:fill="004054"/>
          </w:tcPr>
          <w:p>
            <w:pPr>
              <w:spacing w:after="0"/>
              <w:rPr>
                <w:sz w:val="5"/>
                <w:szCs w:val="5"/>
                <w:color w:val="auto"/>
              </w:rPr>
            </w:pPr>
          </w:p>
        </w:tc>
        <w:tc>
          <w:tcPr>
            <w:tcW w:w="3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320" w:type="dxa"/>
            <w:vAlign w:val="bottom"/>
            <w:gridSpan w:val="3"/>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1400" w:type="dxa"/>
            <w:vAlign w:val="bottom"/>
            <w:shd w:val="clear" w:color="auto" w:fill="004054"/>
          </w:tcPr>
          <w:p>
            <w:pPr>
              <w:spacing w:after="0"/>
              <w:rPr>
                <w:sz w:val="5"/>
                <w:szCs w:val="5"/>
                <w:color w:val="auto"/>
              </w:rPr>
            </w:pPr>
          </w:p>
        </w:tc>
        <w:tc>
          <w:tcPr>
            <w:tcW w:w="420" w:type="dxa"/>
            <w:vAlign w:val="bottom"/>
            <w:shd w:val="clear" w:color="auto" w:fill="004054"/>
          </w:tcPr>
          <w:p>
            <w:pPr>
              <w:spacing w:after="0"/>
              <w:rPr>
                <w:sz w:val="5"/>
                <w:szCs w:val="5"/>
                <w:color w:val="auto"/>
              </w:rPr>
            </w:pPr>
          </w:p>
        </w:tc>
        <w:tc>
          <w:tcPr>
            <w:tcW w:w="80" w:type="dxa"/>
            <w:vAlign w:val="bottom"/>
            <w:shd w:val="clear" w:color="auto" w:fill="004054"/>
          </w:tcPr>
          <w:p>
            <w:pPr>
              <w:spacing w:after="0"/>
              <w:rPr>
                <w:sz w:val="5"/>
                <w:szCs w:val="5"/>
                <w:color w:val="auto"/>
              </w:rPr>
            </w:pPr>
          </w:p>
        </w:tc>
        <w:tc>
          <w:tcPr>
            <w:tcW w:w="7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11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004054"/>
          </w:tcPr>
          <w:p>
            <w:pPr>
              <w:spacing w:after="0"/>
              <w:rPr>
                <w:sz w:val="14"/>
                <w:szCs w:val="14"/>
                <w:color w:val="auto"/>
              </w:rPr>
            </w:pPr>
          </w:p>
        </w:tc>
        <w:tc>
          <w:tcPr>
            <w:tcW w:w="2800" w:type="dxa"/>
            <w:vAlign w:val="bottom"/>
            <w:shd w:val="clear" w:color="auto" w:fill="004054"/>
          </w:tcPr>
          <w:p>
            <w:pPr>
              <w:spacing w:after="0"/>
              <w:rPr>
                <w:sz w:val="14"/>
                <w:szCs w:val="14"/>
                <w:color w:val="auto"/>
              </w:rPr>
            </w:pPr>
          </w:p>
        </w:tc>
        <w:tc>
          <w:tcPr>
            <w:tcW w:w="80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8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300" w:type="dxa"/>
            <w:vAlign w:val="bottom"/>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1320" w:type="dxa"/>
            <w:vAlign w:val="bottom"/>
            <w:gridSpan w:val="3"/>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income into</w:t>
            </w:r>
          </w:p>
        </w:tc>
        <w:tc>
          <w:tcPr>
            <w:tcW w:w="160" w:type="dxa"/>
            <w:vAlign w:val="bottom"/>
            <w:shd w:val="clear" w:color="auto" w:fill="004054"/>
          </w:tcPr>
          <w:p>
            <w:pPr>
              <w:spacing w:after="0"/>
              <w:rPr>
                <w:sz w:val="14"/>
                <w:szCs w:val="14"/>
                <w:color w:val="auto"/>
              </w:rPr>
            </w:pPr>
          </w:p>
        </w:tc>
        <w:tc>
          <w:tcPr>
            <w:tcW w:w="18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4"/>
                <w:szCs w:val="14"/>
                <w:color w:val="auto"/>
              </w:rPr>
            </w:pPr>
          </w:p>
        </w:tc>
        <w:tc>
          <w:tcPr>
            <w:tcW w:w="720" w:type="dxa"/>
            <w:vAlign w:val="bottom"/>
            <w:shd w:val="clear" w:color="auto" w:fill="004054"/>
          </w:tcPr>
          <w:p>
            <w:pPr>
              <w:spacing w:after="0"/>
              <w:rPr>
                <w:sz w:val="14"/>
                <w:szCs w:val="14"/>
                <w:color w:val="auto"/>
              </w:rPr>
            </w:pPr>
          </w:p>
        </w:tc>
        <w:tc>
          <w:tcPr>
            <w:tcW w:w="1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87"/>
              </w:rPr>
              <w:t>Six months ended</w:t>
            </w:r>
          </w:p>
        </w:tc>
        <w:tc>
          <w:tcPr>
            <w:tcW w:w="0" w:type="dxa"/>
            <w:vAlign w:val="bottom"/>
          </w:tcPr>
          <w:p>
            <w:pPr>
              <w:spacing w:after="0"/>
              <w:rPr>
                <w:sz w:val="1"/>
                <w:szCs w:val="1"/>
                <w:color w:val="auto"/>
              </w:rPr>
            </w:pPr>
          </w:p>
        </w:tc>
      </w:tr>
      <w:tr>
        <w:trPr>
          <w:trHeight w:val="220"/>
        </w:trPr>
        <w:tc>
          <w:tcPr>
            <w:tcW w:w="20" w:type="dxa"/>
            <w:vAlign w:val="bottom"/>
            <w:tcBorders>
              <w:bottom w:val="single" w:sz="8" w:color="004054"/>
            </w:tcBorders>
            <w:shd w:val="clear" w:color="auto" w:fill="004054"/>
          </w:tcPr>
          <w:p>
            <w:pPr>
              <w:spacing w:after="0"/>
              <w:rPr>
                <w:sz w:val="19"/>
                <w:szCs w:val="19"/>
                <w:color w:val="auto"/>
              </w:rPr>
            </w:pPr>
          </w:p>
        </w:tc>
        <w:tc>
          <w:tcPr>
            <w:tcW w:w="280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800" w:type="dxa"/>
            <w:vAlign w:val="bottom"/>
            <w:tcBorders>
              <w:bottom w:val="single" w:sz="8" w:color="004054"/>
            </w:tcBorders>
            <w:shd w:val="clear" w:color="auto" w:fill="004054"/>
          </w:tcPr>
          <w:p>
            <w:pPr>
              <w:spacing w:after="0"/>
              <w:rPr>
                <w:sz w:val="19"/>
                <w:szCs w:val="19"/>
                <w:color w:val="auto"/>
              </w:rPr>
            </w:pPr>
          </w:p>
        </w:tc>
        <w:tc>
          <w:tcPr>
            <w:tcW w:w="880" w:type="dxa"/>
            <w:vAlign w:val="bottom"/>
            <w:tcBorders>
              <w:bottom w:val="single" w:sz="8" w:color="004054"/>
            </w:tcBorders>
            <w:shd w:val="clear" w:color="auto" w:fill="004054"/>
          </w:tcPr>
          <w:p>
            <w:pPr>
              <w:spacing w:after="0"/>
              <w:rPr>
                <w:sz w:val="19"/>
                <w:szCs w:val="19"/>
                <w:color w:val="auto"/>
              </w:rPr>
            </w:pPr>
          </w:p>
        </w:tc>
        <w:tc>
          <w:tcPr>
            <w:tcW w:w="120" w:type="dxa"/>
            <w:vAlign w:val="bottom"/>
            <w:tcBorders>
              <w:bottom w:val="single" w:sz="8" w:color="004054"/>
            </w:tcBorders>
            <w:shd w:val="clear" w:color="auto" w:fill="004054"/>
          </w:tcPr>
          <w:p>
            <w:pPr>
              <w:spacing w:after="0"/>
              <w:rPr>
                <w:sz w:val="19"/>
                <w:szCs w:val="19"/>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00" w:type="dxa"/>
            <w:vAlign w:val="bottom"/>
            <w:tcBorders>
              <w:bottom w:val="single" w:sz="8" w:color="004054"/>
            </w:tcBorders>
            <w:shd w:val="clear" w:color="auto" w:fill="004054"/>
          </w:tcPr>
          <w:p>
            <w:pPr>
              <w:spacing w:after="0"/>
              <w:rPr>
                <w:sz w:val="19"/>
                <w:szCs w:val="19"/>
                <w:color w:val="auto"/>
              </w:rPr>
            </w:pPr>
          </w:p>
        </w:tc>
        <w:tc>
          <w:tcPr>
            <w:tcW w:w="160" w:type="dxa"/>
            <w:vAlign w:val="bottom"/>
            <w:tcBorders>
              <w:bottom w:val="single" w:sz="8" w:color="004054"/>
            </w:tcBorders>
            <w:shd w:val="clear" w:color="auto" w:fill="004054"/>
          </w:tcPr>
          <w:p>
            <w:pPr>
              <w:spacing w:after="0"/>
              <w:rPr>
                <w:sz w:val="19"/>
                <w:szCs w:val="19"/>
                <w:color w:val="auto"/>
              </w:rPr>
            </w:pPr>
          </w:p>
        </w:tc>
        <w:tc>
          <w:tcPr>
            <w:tcW w:w="1320" w:type="dxa"/>
            <w:vAlign w:val="bottom"/>
            <w:tcBorders>
              <w:bottom w:val="single" w:sz="8" w:color="004054"/>
            </w:tcBorders>
            <w:gridSpan w:val="3"/>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income (loss)</w:t>
            </w:r>
          </w:p>
        </w:tc>
        <w:tc>
          <w:tcPr>
            <w:tcW w:w="160" w:type="dxa"/>
            <w:vAlign w:val="bottom"/>
            <w:tcBorders>
              <w:bottom w:val="single" w:sz="8" w:color="004054"/>
            </w:tcBorders>
            <w:shd w:val="clear" w:color="auto" w:fill="004054"/>
          </w:tcPr>
          <w:p>
            <w:pPr>
              <w:spacing w:after="0"/>
              <w:rPr>
                <w:sz w:val="19"/>
                <w:szCs w:val="19"/>
                <w:color w:val="auto"/>
              </w:rPr>
            </w:pPr>
          </w:p>
        </w:tc>
        <w:tc>
          <w:tcPr>
            <w:tcW w:w="182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June 30, 2023</w:t>
            </w:r>
          </w:p>
        </w:tc>
        <w:tc>
          <w:tcPr>
            <w:tcW w:w="80" w:type="dxa"/>
            <w:vAlign w:val="bottom"/>
          </w:tcPr>
          <w:p>
            <w:pPr>
              <w:spacing w:after="0"/>
              <w:rPr>
                <w:sz w:val="19"/>
                <w:szCs w:val="19"/>
                <w:color w:val="auto"/>
              </w:rPr>
            </w:pPr>
          </w:p>
        </w:tc>
        <w:tc>
          <w:tcPr>
            <w:tcW w:w="720" w:type="dxa"/>
            <w:vAlign w:val="bottom"/>
            <w:tcBorders>
              <w:bottom w:val="single" w:sz="8" w:color="004054"/>
            </w:tcBorders>
            <w:shd w:val="clear" w:color="auto" w:fill="004054"/>
          </w:tcPr>
          <w:p>
            <w:pPr>
              <w:spacing w:after="0"/>
              <w:rPr>
                <w:sz w:val="19"/>
                <w:szCs w:val="19"/>
                <w:color w:val="auto"/>
              </w:rPr>
            </w:pPr>
          </w:p>
        </w:tc>
        <w:tc>
          <w:tcPr>
            <w:tcW w:w="140" w:type="dxa"/>
            <w:vAlign w:val="bottom"/>
            <w:tcBorders>
              <w:bottom w:val="single" w:sz="8" w:color="004054"/>
            </w:tcBorders>
            <w:shd w:val="clear" w:color="auto" w:fill="004054"/>
          </w:tcPr>
          <w:p>
            <w:pPr>
              <w:spacing w:after="0"/>
              <w:rPr>
                <w:sz w:val="19"/>
                <w:szCs w:val="19"/>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June 30, 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80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51555C"/>
              </w:rPr>
              <w:t>Interest rate swaps</w:t>
            </w:r>
          </w:p>
        </w:tc>
        <w:tc>
          <w:tcPr>
            <w:tcW w:w="1680" w:type="dxa"/>
            <w:vAlign w:val="bottom"/>
            <w:gridSpan w:val="2"/>
          </w:tcPr>
          <w:p>
            <w:pPr>
              <w:jc w:val="right"/>
              <w:ind w:right="684"/>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1555C"/>
              </w:rPr>
              <w:t>25,204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51555C"/>
                <w:w w:val="95"/>
              </w:rPr>
              <w:t>Interest expense $</w:t>
            </w:r>
          </w:p>
        </w:tc>
        <w:tc>
          <w:tcPr>
            <w:tcW w:w="1820" w:type="dxa"/>
            <w:vAlign w:val="bottom"/>
            <w:gridSpan w:val="2"/>
          </w:tcPr>
          <w:p>
            <w:pPr>
              <w:jc w:val="right"/>
              <w:spacing w:after="0"/>
              <w:rPr>
                <w:sz w:val="20"/>
                <w:szCs w:val="20"/>
                <w:color w:val="auto"/>
              </w:rPr>
            </w:pPr>
            <w:r>
              <w:rPr>
                <w:rFonts w:ascii="Arial" w:cs="Arial" w:eastAsia="Arial" w:hAnsi="Arial"/>
                <w:sz w:val="18"/>
                <w:szCs w:val="18"/>
                <w:color w:val="51555C"/>
              </w:rPr>
              <w:t>5,083</w:t>
            </w:r>
          </w:p>
        </w:tc>
        <w:tc>
          <w:tcPr>
            <w:tcW w:w="800" w:type="dxa"/>
            <w:vAlign w:val="bottom"/>
            <w:gridSpan w:val="2"/>
          </w:tcPr>
          <w:p>
            <w:pPr>
              <w:jc w:val="right"/>
              <w:ind w:right="528"/>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9,582</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w w:val="95"/>
              </w:rPr>
              <w:t>Foreign currency forward contracts</w:t>
            </w:r>
          </w:p>
        </w:tc>
        <w:tc>
          <w:tcPr>
            <w:tcW w:w="1680" w:type="dxa"/>
            <w:vAlign w:val="bottom"/>
            <w:tcBorders>
              <w:bottom w:val="single" w:sz="8" w:color="EBFBFF"/>
            </w:tcBorders>
            <w:gridSpan w:val="2"/>
            <w:shd w:val="clear" w:color="auto" w:fill="EBFBFF"/>
          </w:tcPr>
          <w:p>
            <w:pPr>
              <w:jc w:val="right"/>
              <w:ind w:right="684"/>
              <w:spacing w:after="0"/>
              <w:rPr>
                <w:sz w:val="20"/>
                <w:szCs w:val="20"/>
                <w:color w:val="auto"/>
              </w:rPr>
            </w:pPr>
            <w:r>
              <w:rPr>
                <w:rFonts w:ascii="Arial" w:cs="Arial" w:eastAsia="Arial" w:hAnsi="Arial"/>
                <w:sz w:val="18"/>
                <w:szCs w:val="18"/>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(292)</w:t>
            </w:r>
          </w:p>
        </w:tc>
        <w:tc>
          <w:tcPr>
            <w:tcW w:w="30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tcBorders>
            <w:gridSpan w:val="4"/>
            <w:shd w:val="clear" w:color="auto" w:fill="EBFBFF"/>
          </w:tcPr>
          <w:p>
            <w:pPr>
              <w:jc w:val="right"/>
              <w:ind w:right="40"/>
              <w:spacing w:after="0"/>
              <w:rPr>
                <w:sz w:val="20"/>
                <w:szCs w:val="20"/>
                <w:color w:val="auto"/>
              </w:rPr>
            </w:pPr>
            <w:r>
              <w:rPr>
                <w:rFonts w:ascii="Arial" w:cs="Arial" w:eastAsia="Arial" w:hAnsi="Arial"/>
                <w:sz w:val="18"/>
                <w:szCs w:val="18"/>
                <w:color w:val="51555C"/>
              </w:rPr>
              <w:t>Revenue $</w:t>
            </w:r>
          </w:p>
        </w:tc>
        <w:tc>
          <w:tcPr>
            <w:tcW w:w="182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109</w:t>
            </w:r>
          </w:p>
        </w:tc>
        <w:tc>
          <w:tcPr>
            <w:tcW w:w="800" w:type="dxa"/>
            <w:vAlign w:val="bottom"/>
            <w:tcBorders>
              <w:bottom w:val="single" w:sz="8" w:color="EBFBFF"/>
            </w:tcBorders>
            <w:gridSpan w:val="2"/>
            <w:shd w:val="clear" w:color="auto" w:fill="EBFBFF"/>
          </w:tcPr>
          <w:p>
            <w:pPr>
              <w:jc w:val="right"/>
              <w:ind w:right="528"/>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b w:val="1"/>
                <w:bCs w:val="1"/>
                <w:color w:val="51555C"/>
              </w:rPr>
              <w:t>Net Investment Hedges</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w w:val="95"/>
              </w:rPr>
              <w:t>Foreign currency forward contracts</w:t>
            </w:r>
          </w:p>
        </w:tc>
        <w:tc>
          <w:tcPr>
            <w:tcW w:w="1680" w:type="dxa"/>
            <w:vAlign w:val="bottom"/>
            <w:tcBorders>
              <w:bottom w:val="single" w:sz="8" w:color="EBFBFF"/>
            </w:tcBorders>
            <w:gridSpan w:val="2"/>
            <w:shd w:val="clear" w:color="auto" w:fill="EBFBFF"/>
          </w:tcPr>
          <w:p>
            <w:pPr>
              <w:jc w:val="right"/>
              <w:ind w:right="684"/>
              <w:spacing w:after="0"/>
              <w:rPr>
                <w:sz w:val="20"/>
                <w:szCs w:val="20"/>
                <w:color w:val="auto"/>
              </w:rPr>
            </w:pPr>
            <w:r>
              <w:rPr>
                <w:rFonts w:ascii="Arial" w:cs="Arial" w:eastAsia="Arial" w:hAnsi="Arial"/>
                <w:sz w:val="18"/>
                <w:szCs w:val="18"/>
                <w:color w:val="51555C"/>
              </w:rPr>
              <w:t>$</w:t>
            </w:r>
          </w:p>
        </w:tc>
        <w:tc>
          <w:tcPr>
            <w:tcW w:w="12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(401)</w:t>
            </w:r>
          </w:p>
        </w:tc>
        <w:tc>
          <w:tcPr>
            <w:tcW w:w="30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tcBorders>
            <w:gridSpan w:val="4"/>
            <w:shd w:val="clear" w:color="auto" w:fill="EBFBFF"/>
          </w:tcPr>
          <w:p>
            <w:pPr>
              <w:jc w:val="right"/>
              <w:ind w:right="40"/>
              <w:spacing w:after="0"/>
              <w:rPr>
                <w:sz w:val="20"/>
                <w:szCs w:val="20"/>
                <w:color w:val="auto"/>
              </w:rPr>
            </w:pPr>
            <w:r>
              <w:rPr>
                <w:rFonts w:ascii="Arial" w:cs="Arial" w:eastAsia="Arial" w:hAnsi="Arial"/>
                <w:sz w:val="18"/>
                <w:szCs w:val="18"/>
                <w:color w:val="51555C"/>
              </w:rPr>
              <w:t>$</w:t>
            </w:r>
          </w:p>
        </w:tc>
        <w:tc>
          <w:tcPr>
            <w:tcW w:w="140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800" w:type="dxa"/>
            <w:vAlign w:val="bottom"/>
            <w:tcBorders>
              <w:bottom w:val="single" w:sz="8" w:color="EBFBFF"/>
            </w:tcBorders>
            <w:gridSpan w:val="2"/>
            <w:shd w:val="clear" w:color="auto" w:fill="EBFBFF"/>
          </w:tcPr>
          <w:p>
            <w:pPr>
              <w:jc w:val="right"/>
              <w:ind w:right="528"/>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8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8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87"/>
              </w:rPr>
              <w:t>Six months ended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Borders>
              <w:bottom w:val="single" w:sz="8" w:color="004054"/>
            </w:tcBorders>
            <w:shd w:val="clear" w:color="auto" w:fill="004054"/>
          </w:tcPr>
          <w:p>
            <w:pPr>
              <w:spacing w:after="0"/>
              <w:rPr>
                <w:sz w:val="19"/>
                <w:szCs w:val="19"/>
                <w:color w:val="auto"/>
              </w:rPr>
            </w:pPr>
          </w:p>
        </w:tc>
        <w:tc>
          <w:tcPr>
            <w:tcW w:w="120" w:type="dxa"/>
            <w:vAlign w:val="bottom"/>
            <w:tcBorders>
              <w:bottom w:val="single" w:sz="8" w:color="004054"/>
            </w:tcBorders>
            <w:shd w:val="clear" w:color="auto" w:fill="004054"/>
          </w:tcPr>
          <w:p>
            <w:pPr>
              <w:spacing w:after="0"/>
              <w:rPr>
                <w:sz w:val="19"/>
                <w:szCs w:val="19"/>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004054"/>
            </w:tcBorders>
            <w:shd w:val="clear" w:color="auto" w:fill="004054"/>
          </w:tcPr>
          <w:p>
            <w:pPr>
              <w:spacing w:after="0"/>
              <w:rPr>
                <w:sz w:val="19"/>
                <w:szCs w:val="19"/>
                <w:color w:val="auto"/>
              </w:rPr>
            </w:pPr>
          </w:p>
        </w:tc>
        <w:tc>
          <w:tcPr>
            <w:tcW w:w="182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June 30, 2022</w:t>
            </w:r>
          </w:p>
        </w:tc>
        <w:tc>
          <w:tcPr>
            <w:tcW w:w="80" w:type="dxa"/>
            <w:vAlign w:val="bottom"/>
          </w:tcPr>
          <w:p>
            <w:pPr>
              <w:spacing w:after="0"/>
              <w:rPr>
                <w:sz w:val="19"/>
                <w:szCs w:val="19"/>
                <w:color w:val="auto"/>
              </w:rPr>
            </w:pPr>
          </w:p>
        </w:tc>
        <w:tc>
          <w:tcPr>
            <w:tcW w:w="720" w:type="dxa"/>
            <w:vAlign w:val="bottom"/>
            <w:tcBorders>
              <w:bottom w:val="single" w:sz="8" w:color="004054"/>
            </w:tcBorders>
            <w:shd w:val="clear" w:color="auto" w:fill="004054"/>
          </w:tcPr>
          <w:p>
            <w:pPr>
              <w:spacing w:after="0"/>
              <w:rPr>
                <w:sz w:val="19"/>
                <w:szCs w:val="19"/>
                <w:color w:val="auto"/>
              </w:rPr>
            </w:pPr>
          </w:p>
        </w:tc>
        <w:tc>
          <w:tcPr>
            <w:tcW w:w="140" w:type="dxa"/>
            <w:vAlign w:val="bottom"/>
            <w:tcBorders>
              <w:bottom w:val="single" w:sz="8" w:color="004054"/>
            </w:tcBorders>
            <w:shd w:val="clear" w:color="auto" w:fill="004054"/>
          </w:tcPr>
          <w:p>
            <w:pPr>
              <w:spacing w:after="0"/>
              <w:rPr>
                <w:sz w:val="19"/>
                <w:szCs w:val="19"/>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June 30,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80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8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120"/>
              <w:spacing w:after="0"/>
              <w:rPr>
                <w:sz w:val="20"/>
                <w:szCs w:val="20"/>
                <w:color w:val="auto"/>
              </w:rPr>
            </w:pPr>
            <w:r>
              <w:rPr>
                <w:rFonts w:ascii="Arial" w:cs="Arial" w:eastAsia="Arial" w:hAnsi="Arial"/>
                <w:sz w:val="18"/>
                <w:szCs w:val="18"/>
                <w:color w:val="51555C"/>
              </w:rPr>
              <w:t>Interest rate swaps</w:t>
            </w:r>
          </w:p>
        </w:tc>
        <w:tc>
          <w:tcPr>
            <w:tcW w:w="1680" w:type="dxa"/>
            <w:vAlign w:val="bottom"/>
            <w:gridSpan w:val="2"/>
          </w:tcPr>
          <w:p>
            <w:pPr>
              <w:jc w:val="right"/>
              <w:ind w:right="684"/>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51555C"/>
              </w:rPr>
              <w:t>25,412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51555C"/>
                <w:w w:val="95"/>
              </w:rPr>
              <w:t>Interest expense $</w:t>
            </w:r>
          </w:p>
        </w:tc>
        <w:tc>
          <w:tcPr>
            <w:tcW w:w="1820" w:type="dxa"/>
            <w:vAlign w:val="bottom"/>
            <w:gridSpan w:val="2"/>
          </w:tcPr>
          <w:p>
            <w:pPr>
              <w:jc w:val="right"/>
              <w:spacing w:after="0"/>
              <w:rPr>
                <w:sz w:val="20"/>
                <w:szCs w:val="20"/>
                <w:color w:val="auto"/>
              </w:rPr>
            </w:pPr>
            <w:r>
              <w:rPr>
                <w:rFonts w:ascii="Arial" w:cs="Arial" w:eastAsia="Arial" w:hAnsi="Arial"/>
                <w:sz w:val="18"/>
                <w:szCs w:val="18"/>
                <w:color w:val="51555C"/>
              </w:rPr>
              <w:t>323</w:t>
            </w:r>
          </w:p>
        </w:tc>
        <w:tc>
          <w:tcPr>
            <w:tcW w:w="800" w:type="dxa"/>
            <w:vAlign w:val="bottom"/>
            <w:gridSpan w:val="2"/>
          </w:tcPr>
          <w:p>
            <w:pPr>
              <w:jc w:val="right"/>
              <w:ind w:right="528"/>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(35)</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00" w:type="dxa"/>
            <w:vAlign w:val="bottom"/>
            <w:tcBorders>
              <w:bottom w:val="single" w:sz="8" w:color="0CD973"/>
            </w:tcBorders>
          </w:tcPr>
          <w:p>
            <w:pPr>
              <w:spacing w:after="0"/>
              <w:rPr>
                <w:sz w:val="3"/>
                <w:szCs w:val="3"/>
                <w:color w:val="auto"/>
              </w:rPr>
            </w:pPr>
          </w:p>
        </w:tc>
        <w:tc>
          <w:tcPr>
            <w:tcW w:w="800" w:type="dxa"/>
            <w:vAlign w:val="bottom"/>
            <w:tcBorders>
              <w:bottom w:val="single" w:sz="8" w:color="0CD973"/>
            </w:tcBorders>
          </w:tcPr>
          <w:p>
            <w:pPr>
              <w:spacing w:after="0"/>
              <w:rPr>
                <w:sz w:val="3"/>
                <w:szCs w:val="3"/>
                <w:color w:val="auto"/>
              </w:rPr>
            </w:pPr>
          </w:p>
        </w:tc>
        <w:tc>
          <w:tcPr>
            <w:tcW w:w="880" w:type="dxa"/>
            <w:vAlign w:val="bottom"/>
            <w:tcBorders>
              <w:bottom w:val="single" w:sz="8" w:color="0CD973"/>
            </w:tcBorders>
          </w:tcPr>
          <w:p>
            <w:pPr>
              <w:spacing w:after="0"/>
              <w:rPr>
                <w:sz w:val="3"/>
                <w:szCs w:val="3"/>
                <w:color w:val="auto"/>
              </w:rPr>
            </w:pPr>
          </w:p>
        </w:tc>
        <w:tc>
          <w:tcPr>
            <w:tcW w:w="120" w:type="dxa"/>
            <w:vAlign w:val="bottom"/>
            <w:tcBorders>
              <w:bottom w:val="single" w:sz="8" w:color="0CD973"/>
            </w:tcBorders>
          </w:tcPr>
          <w:p>
            <w:pPr>
              <w:spacing w:after="0"/>
              <w:rPr>
                <w:sz w:val="3"/>
                <w:szCs w:val="3"/>
                <w:color w:val="auto"/>
              </w:rPr>
            </w:pPr>
          </w:p>
        </w:tc>
        <w:tc>
          <w:tcPr>
            <w:tcW w:w="800" w:type="dxa"/>
            <w:vAlign w:val="bottom"/>
            <w:tcBorders>
              <w:bottom w:val="single" w:sz="8" w:color="0CD973"/>
            </w:tcBorders>
          </w:tcPr>
          <w:p>
            <w:pPr>
              <w:spacing w:after="0"/>
              <w:rPr>
                <w:sz w:val="3"/>
                <w:szCs w:val="3"/>
                <w:color w:val="auto"/>
              </w:rPr>
            </w:pPr>
          </w:p>
        </w:tc>
        <w:tc>
          <w:tcPr>
            <w:tcW w:w="30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110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14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1400" w:type="dxa"/>
            <w:vAlign w:val="bottom"/>
            <w:tcBorders>
              <w:bottom w:val="single" w:sz="8" w:color="0CD973"/>
            </w:tcBorders>
          </w:tcPr>
          <w:p>
            <w:pPr>
              <w:spacing w:after="0"/>
              <w:rPr>
                <w:sz w:val="3"/>
                <w:szCs w:val="3"/>
                <w:color w:val="auto"/>
              </w:rPr>
            </w:pPr>
          </w:p>
        </w:tc>
        <w:tc>
          <w:tcPr>
            <w:tcW w:w="42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720" w:type="dxa"/>
            <w:vAlign w:val="bottom"/>
            <w:tcBorders>
              <w:bottom w:val="single" w:sz="8" w:color="0CD973"/>
            </w:tcBorders>
          </w:tcPr>
          <w:p>
            <w:pPr>
              <w:spacing w:after="0"/>
              <w:rPr>
                <w:sz w:val="3"/>
                <w:szCs w:val="3"/>
                <w:color w:val="auto"/>
              </w:rPr>
            </w:pPr>
          </w:p>
        </w:tc>
        <w:tc>
          <w:tcPr>
            <w:tcW w:w="140" w:type="dxa"/>
            <w:vAlign w:val="bottom"/>
            <w:tcBorders>
              <w:bottom w:val="single" w:sz="8" w:color="0CD973"/>
            </w:tcBorders>
          </w:tcPr>
          <w:p>
            <w:pPr>
              <w:spacing w:after="0"/>
              <w:rPr>
                <w:sz w:val="3"/>
                <w:szCs w:val="3"/>
                <w:color w:val="auto"/>
              </w:rPr>
            </w:pPr>
          </w:p>
        </w:tc>
        <w:tc>
          <w:tcPr>
            <w:tcW w:w="1120" w:type="dxa"/>
            <w:vAlign w:val="bottom"/>
            <w:tcBorders>
              <w:bottom w:val="single" w:sz="8" w:color="0CD97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-4311015</wp:posOffset>
            </wp:positionV>
            <wp:extent cx="15601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-4311015</wp:posOffset>
            </wp:positionV>
            <wp:extent cx="1568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-1765300</wp:posOffset>
            </wp:positionV>
            <wp:extent cx="48177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policy requires that derivatves used for hedging purposes be designated and efectve as a hedge of the identfed risk exposure at the incepton of the contract. Accumulated other comprehensive income (loss) includes unrealized gains or losses from the change in fair value measurement of our derivatve instruments each reportng period and the related income tax expense or beneft. Excluding net investment hedges, changes in the fair value measurements of the derivatve instruments and the related income tax expense or beneft are refected as adjustments to accumulated other comprehensive income (loss) untl the actual hedged expense is incurred or untl the hedge is terminated at which point the unrealized gain (loss) and related tax efects are reclassifed from accumulated other comprehensive income (loss) to current earnings. For net investment hedges, changes in the fair value measurements of the derivatve instruments and the related income tax expense or beneft are refected as adjustments to translaton adjustment, a component of accumulated other comprehensive income (loss), and recognized in earnings only when the hedged GBP investment is liquidated. The estmated accumulated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239395</wp:posOffset>
            </wp:positionV>
            <wp:extent cx="66040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15</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comprehensive income as of June 30, 2023 that is expected to be reclassifed into earnings within the next twelve months is $20.9 million. There were no inefectve portons of our interest rate swap or foreign currency forward derivatves during the six months ended June 30, 2023 and 2022. See Note 10 to these condensed consolidated fnancial statements for a summary of the changes in accumulated other comprehensive income (loss) by component. We classify cash fows related to derivatve instruments as operatng actvites in the condensed consolidated statements of cash fows.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8. Commitments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Leases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We have operatng leases for corporate ofces, subleased ofces and certain equipment and furniture. As of June 30, 2023, we did not have any operatng leases that had not yet commenced.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the components of our lease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3880" w:type="dxa"/>
            <w:vAlign w:val="bottom"/>
            <w:shd w:val="clear" w:color="auto" w:fill="004054"/>
          </w:tcPr>
          <w:p>
            <w:pPr>
              <w:spacing w:after="0"/>
              <w:rPr>
                <w:sz w:val="15"/>
                <w:szCs w:val="15"/>
                <w:color w:val="auto"/>
              </w:rPr>
            </w:pPr>
          </w:p>
        </w:tc>
        <w:tc>
          <w:tcPr>
            <w:tcW w:w="74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4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14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84"/>
        </w:trPr>
        <w:tc>
          <w:tcPr>
            <w:tcW w:w="20" w:type="dxa"/>
            <w:vAlign w:val="bottom"/>
            <w:shd w:val="clear" w:color="auto" w:fill="004054"/>
          </w:tcPr>
          <w:p>
            <w:pPr>
              <w:spacing w:after="0"/>
              <w:rPr>
                <w:sz w:val="15"/>
                <w:szCs w:val="15"/>
                <w:color w:val="auto"/>
              </w:rPr>
            </w:pPr>
          </w:p>
        </w:tc>
        <w:tc>
          <w:tcPr>
            <w:tcW w:w="3880" w:type="dxa"/>
            <w:vAlign w:val="bottom"/>
            <w:shd w:val="clear" w:color="auto" w:fill="004054"/>
          </w:tcPr>
          <w:p>
            <w:pPr>
              <w:spacing w:after="0"/>
              <w:rPr>
                <w:sz w:val="15"/>
                <w:szCs w:val="15"/>
                <w:color w:val="auto"/>
              </w:rPr>
            </w:pPr>
          </w:p>
        </w:tc>
        <w:tc>
          <w:tcPr>
            <w:tcW w:w="74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4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14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0"/>
        </w:trPr>
        <w:tc>
          <w:tcPr>
            <w:tcW w:w="20" w:type="dxa"/>
            <w:vAlign w:val="bottom"/>
            <w:shd w:val="clear" w:color="auto" w:fill="004054"/>
          </w:tcPr>
          <w:p>
            <w:pPr>
              <w:spacing w:after="0"/>
              <w:rPr>
                <w:sz w:val="19"/>
                <w:szCs w:val="19"/>
                <w:color w:val="auto"/>
              </w:rPr>
            </w:pPr>
          </w:p>
        </w:tc>
        <w:tc>
          <w:tcPr>
            <w:tcW w:w="388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740" w:type="dxa"/>
            <w:vAlign w:val="bottom"/>
            <w:shd w:val="clear" w:color="auto" w:fill="004054"/>
          </w:tcPr>
          <w:p>
            <w:pPr>
              <w:spacing w:after="0"/>
              <w:rPr>
                <w:sz w:val="19"/>
                <w:szCs w:val="19"/>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00" w:type="dxa"/>
            <w:vAlign w:val="bottom"/>
            <w:shd w:val="clear" w:color="auto" w:fill="004054"/>
          </w:tcPr>
          <w:p>
            <w:pPr>
              <w:spacing w:after="0"/>
              <w:rPr>
                <w:sz w:val="19"/>
                <w:szCs w:val="19"/>
                <w:color w:val="auto"/>
              </w:rPr>
            </w:pPr>
          </w:p>
        </w:tc>
        <w:tc>
          <w:tcPr>
            <w:tcW w:w="14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Pr>
          <w:p>
            <w:pPr>
              <w:spacing w:after="0"/>
              <w:rPr>
                <w:sz w:val="19"/>
                <w:szCs w:val="19"/>
                <w:color w:val="auto"/>
              </w:rPr>
            </w:pPr>
          </w:p>
        </w:tc>
        <w:tc>
          <w:tcPr>
            <w:tcW w:w="720" w:type="dxa"/>
            <w:vAlign w:val="bottom"/>
            <w:shd w:val="clear" w:color="auto" w:fill="004054"/>
          </w:tcPr>
          <w:p>
            <w:pPr>
              <w:spacing w:after="0"/>
              <w:rPr>
                <w:sz w:val="19"/>
                <w:szCs w:val="19"/>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80" w:type="dxa"/>
            <w:vAlign w:val="bottom"/>
            <w:shd w:val="clear" w:color="auto" w:fill="004054"/>
          </w:tcPr>
          <w:p>
            <w:pPr>
              <w:spacing w:after="0"/>
              <w:rPr>
                <w:sz w:val="19"/>
                <w:szCs w:val="19"/>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3880" w:type="dxa"/>
            <w:vAlign w:val="bottom"/>
            <w:shd w:val="clear" w:color="auto" w:fill="004054"/>
          </w:tcPr>
          <w:p>
            <w:pPr>
              <w:spacing w:after="0"/>
              <w:rPr>
                <w:sz w:val="6"/>
                <w:szCs w:val="6"/>
                <w:color w:val="auto"/>
              </w:rPr>
            </w:pPr>
          </w:p>
        </w:tc>
        <w:tc>
          <w:tcPr>
            <w:tcW w:w="74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460" w:type="dxa"/>
            <w:vAlign w:val="bottom"/>
            <w:shd w:val="clear" w:color="auto" w:fill="004054"/>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380" w:type="dxa"/>
            <w:vAlign w:val="bottom"/>
            <w:shd w:val="clear" w:color="auto" w:fill="004054"/>
          </w:tcPr>
          <w:p>
            <w:pPr>
              <w:spacing w:after="0"/>
              <w:rPr>
                <w:sz w:val="6"/>
                <w:szCs w:val="6"/>
                <w:color w:val="auto"/>
              </w:rPr>
            </w:pPr>
          </w:p>
        </w:tc>
      </w:tr>
      <w:tr>
        <w:trPr>
          <w:trHeight w:val="324"/>
        </w:trPr>
        <w:tc>
          <w:tcPr>
            <w:tcW w:w="20" w:type="dxa"/>
            <w:vAlign w:val="bottom"/>
          </w:tcPr>
          <w:p>
            <w:pPr>
              <w:spacing w:after="0"/>
              <w:rPr>
                <w:sz w:val="24"/>
                <w:szCs w:val="24"/>
                <w:color w:val="auto"/>
              </w:rPr>
            </w:pPr>
          </w:p>
        </w:tc>
        <w:tc>
          <w:tcPr>
            <w:tcW w:w="388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Operatng lease cost</w:t>
            </w:r>
            <w:r>
              <w:rPr>
                <w:rFonts w:ascii="Arial" w:cs="Arial" w:eastAsia="Arial" w:hAnsi="Arial"/>
                <w:sz w:val="23"/>
                <w:szCs w:val="23"/>
                <w:color w:val="51555C"/>
                <w:vertAlign w:val="superscript"/>
              </w:rPr>
              <w:t>(1)</w:t>
            </w:r>
          </w:p>
        </w:tc>
        <w:tc>
          <w:tcPr>
            <w:tcW w:w="740" w:type="dxa"/>
            <w:vAlign w:val="bottom"/>
            <w:shd w:val="clear" w:color="auto" w:fill="EBFBFF"/>
          </w:tcPr>
          <w:p>
            <w:pPr>
              <w:jc w:val="right"/>
              <w:ind w:right="530"/>
              <w:spacing w:after="0"/>
              <w:rPr>
                <w:sz w:val="20"/>
                <w:szCs w:val="20"/>
                <w:color w:val="auto"/>
              </w:rPr>
            </w:pPr>
            <w:r>
              <w:rPr>
                <w:rFonts w:ascii="Arial" w:cs="Arial" w:eastAsia="Arial" w:hAnsi="Arial"/>
                <w:sz w:val="18"/>
                <w:szCs w:val="18"/>
                <w:color w:val="51555C"/>
                <w:w w:val="99"/>
              </w:rPr>
              <w:t>$</w:t>
            </w:r>
          </w:p>
        </w:tc>
        <w:tc>
          <w:tcPr>
            <w:tcW w:w="11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2,304</w:t>
            </w:r>
          </w:p>
        </w:tc>
        <w:tc>
          <w:tcPr>
            <w:tcW w:w="300" w:type="dxa"/>
            <w:vAlign w:val="bottom"/>
            <w:shd w:val="clear" w:color="auto" w:fill="EBFBFF"/>
          </w:tcPr>
          <w:p>
            <w:pPr>
              <w:jc w:val="right"/>
              <w:ind w:right="110"/>
              <w:spacing w:after="0"/>
              <w:rPr>
                <w:sz w:val="20"/>
                <w:szCs w:val="20"/>
                <w:color w:val="auto"/>
              </w:rPr>
            </w:pPr>
            <w:r>
              <w:rPr>
                <w:rFonts w:ascii="Arial" w:cs="Arial" w:eastAsia="Arial" w:hAnsi="Arial"/>
                <w:sz w:val="18"/>
                <w:szCs w:val="18"/>
                <w:color w:val="51555C"/>
                <w:w w:val="79"/>
              </w:rPr>
              <w:t>$</w:t>
            </w:r>
          </w:p>
        </w:tc>
        <w:tc>
          <w:tcPr>
            <w:tcW w:w="146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2,445</w:t>
            </w:r>
          </w:p>
        </w:tc>
        <w:tc>
          <w:tcPr>
            <w:tcW w:w="820" w:type="dxa"/>
            <w:vAlign w:val="bottom"/>
            <w:gridSpan w:val="2"/>
            <w:shd w:val="clear" w:color="auto" w:fill="EBFBFF"/>
          </w:tcPr>
          <w:p>
            <w:pPr>
              <w:jc w:val="right"/>
              <w:ind w:right="510"/>
              <w:spacing w:after="0"/>
              <w:rPr>
                <w:sz w:val="20"/>
                <w:szCs w:val="20"/>
                <w:color w:val="auto"/>
              </w:rPr>
            </w:pPr>
            <w:r>
              <w:rPr>
                <w:rFonts w:ascii="Arial" w:cs="Arial" w:eastAsia="Arial" w:hAnsi="Arial"/>
                <w:sz w:val="18"/>
                <w:szCs w:val="18"/>
                <w:color w:val="51555C"/>
              </w:rPr>
              <w:t>$</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4,689</w:t>
            </w:r>
          </w:p>
        </w:tc>
        <w:tc>
          <w:tcPr>
            <w:tcW w:w="38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79"/>
              </w:rPr>
              <w:t>$</w:t>
            </w:r>
          </w:p>
        </w:tc>
        <w:tc>
          <w:tcPr>
            <w:tcW w:w="13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4,976</w:t>
            </w:r>
          </w:p>
        </w:tc>
      </w:tr>
      <w:tr>
        <w:trPr>
          <w:trHeight w:val="227"/>
        </w:trPr>
        <w:tc>
          <w:tcPr>
            <w:tcW w:w="2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51555C"/>
              </w:rPr>
              <w:t>Variable lease cost</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395</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51555C"/>
              </w:rPr>
              <w:t>413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827</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850</w:t>
            </w:r>
          </w:p>
        </w:tc>
      </w:tr>
      <w:tr>
        <w:trPr>
          <w:trHeight w:val="43"/>
        </w:trPr>
        <w:tc>
          <w:tcPr>
            <w:tcW w:w="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3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Sublease income</w:t>
            </w:r>
          </w:p>
        </w:tc>
        <w:tc>
          <w:tcPr>
            <w:tcW w:w="74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(854)</w:t>
            </w:r>
          </w:p>
        </w:tc>
        <w:tc>
          <w:tcPr>
            <w:tcW w:w="300" w:type="dxa"/>
            <w:vAlign w:val="bottom"/>
            <w:tcBorders>
              <w:bottom w:val="single" w:sz="8" w:color="EBFBFF"/>
            </w:tcBorders>
            <w:shd w:val="clear" w:color="auto" w:fill="EBFBFF"/>
          </w:tcPr>
          <w:p>
            <w:pPr>
              <w:spacing w:after="0"/>
              <w:rPr>
                <w:sz w:val="23"/>
                <w:szCs w:val="23"/>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(766)</w:t>
            </w:r>
          </w:p>
        </w:tc>
        <w:tc>
          <w:tcPr>
            <w:tcW w:w="100" w:type="dxa"/>
            <w:vAlign w:val="bottom"/>
            <w:tcBorders>
              <w:bottom w:val="single" w:sz="8" w:color="EBFBFF"/>
            </w:tcBorders>
            <w:shd w:val="clear" w:color="auto" w:fill="EBFBFF"/>
          </w:tcPr>
          <w:p>
            <w:pPr>
              <w:spacing w:after="0"/>
              <w:rPr>
                <w:sz w:val="23"/>
                <w:szCs w:val="23"/>
                <w:color w:val="auto"/>
              </w:rPr>
            </w:pPr>
          </w:p>
        </w:tc>
        <w:tc>
          <w:tcPr>
            <w:tcW w:w="7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(1,665)</w:t>
            </w:r>
          </w:p>
        </w:tc>
        <w:tc>
          <w:tcPr>
            <w:tcW w:w="380" w:type="dxa"/>
            <w:vAlign w:val="bottom"/>
            <w:tcBorders>
              <w:bottom w:val="single" w:sz="8" w:color="EBFBFF"/>
            </w:tcBorders>
            <w:shd w:val="clear" w:color="auto" w:fill="EBFBFF"/>
          </w:tcPr>
          <w:p>
            <w:pPr>
              <w:spacing w:after="0"/>
              <w:rPr>
                <w:sz w:val="23"/>
                <w:szCs w:val="23"/>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(1,197)</w:t>
            </w:r>
          </w:p>
        </w:tc>
      </w:tr>
      <w:tr>
        <w:trPr>
          <w:trHeight w:val="220"/>
        </w:trPr>
        <w:tc>
          <w:tcPr>
            <w:tcW w:w="20" w:type="dxa"/>
            <w:vAlign w:val="bottom"/>
          </w:tcPr>
          <w:p>
            <w:pPr>
              <w:spacing w:after="0"/>
              <w:rPr>
                <w:sz w:val="19"/>
                <w:szCs w:val="19"/>
                <w:color w:val="auto"/>
              </w:rPr>
            </w:pPr>
          </w:p>
        </w:tc>
        <w:tc>
          <w:tcPr>
            <w:tcW w:w="3880" w:type="dxa"/>
            <w:vAlign w:val="bottom"/>
            <w:tcBorders>
              <w:top w:val="single" w:sz="8" w:color="EBFBFF"/>
            </w:tcBorders>
          </w:tcPr>
          <w:p>
            <w:pPr>
              <w:ind w:left="120"/>
              <w:spacing w:after="0"/>
              <w:rPr>
                <w:sz w:val="20"/>
                <w:szCs w:val="20"/>
                <w:color w:val="auto"/>
              </w:rPr>
            </w:pPr>
            <w:r>
              <w:rPr>
                <w:rFonts w:ascii="Arial" w:cs="Arial" w:eastAsia="Arial" w:hAnsi="Arial"/>
                <w:sz w:val="18"/>
                <w:szCs w:val="18"/>
                <w:color w:val="51555C"/>
              </w:rPr>
              <w:t>Net lease cost</w:t>
            </w:r>
          </w:p>
        </w:tc>
        <w:tc>
          <w:tcPr>
            <w:tcW w:w="740" w:type="dxa"/>
            <w:vAlign w:val="bottom"/>
            <w:tcBorders>
              <w:top w:val="single" w:sz="8" w:color="51555C"/>
            </w:tcBorders>
          </w:tcPr>
          <w:p>
            <w:pPr>
              <w:jc w:val="right"/>
              <w:ind w:right="530"/>
              <w:spacing w:after="0"/>
              <w:rPr>
                <w:sz w:val="20"/>
                <w:szCs w:val="20"/>
                <w:color w:val="auto"/>
              </w:rPr>
            </w:pPr>
            <w:r>
              <w:rPr>
                <w:rFonts w:ascii="Arial" w:cs="Arial" w:eastAsia="Arial" w:hAnsi="Arial"/>
                <w:sz w:val="18"/>
                <w:szCs w:val="18"/>
                <w:color w:val="51555C"/>
                <w:w w:val="99"/>
              </w:rPr>
              <w:t>$</w:t>
            </w: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1,845</w:t>
            </w:r>
          </w:p>
        </w:tc>
        <w:tc>
          <w:tcPr>
            <w:tcW w:w="300" w:type="dxa"/>
            <w:vAlign w:val="bottom"/>
            <w:tcBorders>
              <w:top w:val="single" w:sz="8" w:color="51555C"/>
            </w:tcBorders>
          </w:tcPr>
          <w:p>
            <w:pPr>
              <w:jc w:val="right"/>
              <w:ind w:right="110"/>
              <w:spacing w:after="0"/>
              <w:rPr>
                <w:sz w:val="20"/>
                <w:szCs w:val="20"/>
                <w:color w:val="auto"/>
              </w:rPr>
            </w:pPr>
            <w:r>
              <w:rPr>
                <w:rFonts w:ascii="Arial" w:cs="Arial" w:eastAsia="Arial" w:hAnsi="Arial"/>
                <w:sz w:val="18"/>
                <w:szCs w:val="18"/>
                <w:color w:val="51555C"/>
                <w:w w:val="79"/>
              </w:rPr>
              <w:t>$</w:t>
            </w:r>
          </w:p>
        </w:tc>
        <w:tc>
          <w:tcPr>
            <w:tcW w:w="14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2,092</w:t>
            </w:r>
          </w:p>
        </w:tc>
        <w:tc>
          <w:tcPr>
            <w:tcW w:w="100" w:type="dxa"/>
            <w:vAlign w:val="bottom"/>
            <w:tcBorders>
              <w:top w:val="single" w:sz="8" w:color="EBFBFF"/>
            </w:tcBorders>
          </w:tcPr>
          <w:p>
            <w:pPr>
              <w:spacing w:after="0"/>
              <w:rPr>
                <w:sz w:val="19"/>
                <w:szCs w:val="19"/>
                <w:color w:val="auto"/>
              </w:rPr>
            </w:pPr>
          </w:p>
        </w:tc>
        <w:tc>
          <w:tcPr>
            <w:tcW w:w="720" w:type="dxa"/>
            <w:vAlign w:val="bottom"/>
            <w:tcBorders>
              <w:top w:val="single" w:sz="8" w:color="51555C"/>
            </w:tcBorders>
          </w:tcPr>
          <w:p>
            <w:pPr>
              <w:jc w:val="right"/>
              <w:ind w:right="5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3,851</w:t>
            </w:r>
          </w:p>
        </w:tc>
        <w:tc>
          <w:tcPr>
            <w:tcW w:w="380" w:type="dxa"/>
            <w:vAlign w:val="bottom"/>
            <w:tcBorders>
              <w:top w:val="single" w:sz="8" w:color="51555C"/>
            </w:tcBorders>
          </w:tcPr>
          <w:p>
            <w:pPr>
              <w:jc w:val="right"/>
              <w:ind w:right="190"/>
              <w:spacing w:after="0"/>
              <w:rPr>
                <w:sz w:val="20"/>
                <w:szCs w:val="20"/>
                <w:color w:val="auto"/>
              </w:rPr>
            </w:pPr>
            <w:r>
              <w:rPr>
                <w:rFonts w:ascii="Arial" w:cs="Arial" w:eastAsia="Arial" w:hAnsi="Arial"/>
                <w:sz w:val="18"/>
                <w:szCs w:val="18"/>
                <w:color w:val="51555C"/>
                <w:w w:val="79"/>
              </w:rPr>
              <w:t>$</w:t>
            </w:r>
          </w:p>
        </w:tc>
        <w:tc>
          <w:tcPr>
            <w:tcW w:w="13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4,629</w:t>
            </w:r>
          </w:p>
        </w:tc>
      </w:tr>
      <w:tr>
        <w:trPr>
          <w:trHeight w:val="43"/>
        </w:trPr>
        <w:tc>
          <w:tcPr>
            <w:tcW w:w="20" w:type="dxa"/>
            <w:vAlign w:val="bottom"/>
          </w:tcPr>
          <w:p>
            <w:pPr>
              <w:spacing w:after="0"/>
              <w:rPr>
                <w:sz w:val="3"/>
                <w:szCs w:val="3"/>
                <w:color w:val="auto"/>
              </w:rPr>
            </w:pPr>
          </w:p>
        </w:tc>
        <w:tc>
          <w:tcPr>
            <w:tcW w:w="3880" w:type="dxa"/>
            <w:vAlign w:val="bottom"/>
            <w:tcBorders>
              <w:bottom w:val="single" w:sz="8" w:color="0CD973"/>
            </w:tcBorders>
          </w:tcPr>
          <w:p>
            <w:pPr>
              <w:spacing w:after="0"/>
              <w:rPr>
                <w:sz w:val="3"/>
                <w:szCs w:val="3"/>
                <w:color w:val="auto"/>
              </w:rPr>
            </w:pPr>
          </w:p>
        </w:tc>
        <w:tc>
          <w:tcPr>
            <w:tcW w:w="740" w:type="dxa"/>
            <w:vAlign w:val="bottom"/>
            <w:tcBorders>
              <w:bottom w:val="single" w:sz="8" w:color="0CD973"/>
            </w:tcBorders>
          </w:tcPr>
          <w:p>
            <w:pPr>
              <w:spacing w:after="0"/>
              <w:rPr>
                <w:sz w:val="3"/>
                <w:szCs w:val="3"/>
                <w:color w:val="auto"/>
              </w:rPr>
            </w:pPr>
          </w:p>
        </w:tc>
        <w:tc>
          <w:tcPr>
            <w:tcW w:w="1120" w:type="dxa"/>
            <w:vAlign w:val="bottom"/>
            <w:tcBorders>
              <w:bottom w:val="single" w:sz="8" w:color="0CD973"/>
            </w:tcBorders>
          </w:tcPr>
          <w:p>
            <w:pPr>
              <w:spacing w:after="0"/>
              <w:rPr>
                <w:sz w:val="3"/>
                <w:szCs w:val="3"/>
                <w:color w:val="auto"/>
              </w:rPr>
            </w:pPr>
          </w:p>
        </w:tc>
        <w:tc>
          <w:tcPr>
            <w:tcW w:w="300" w:type="dxa"/>
            <w:vAlign w:val="bottom"/>
            <w:tcBorders>
              <w:bottom w:val="single" w:sz="8" w:color="0CD973"/>
            </w:tcBorders>
          </w:tcPr>
          <w:p>
            <w:pPr>
              <w:spacing w:after="0"/>
              <w:rPr>
                <w:sz w:val="3"/>
                <w:szCs w:val="3"/>
                <w:color w:val="auto"/>
              </w:rPr>
            </w:pPr>
          </w:p>
        </w:tc>
        <w:tc>
          <w:tcPr>
            <w:tcW w:w="146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720" w:type="dxa"/>
            <w:vAlign w:val="bottom"/>
            <w:tcBorders>
              <w:bottom w:val="single" w:sz="8" w:color="0CD973"/>
            </w:tcBorders>
          </w:tcPr>
          <w:p>
            <w:pPr>
              <w:spacing w:after="0"/>
              <w:rPr>
                <w:sz w:val="3"/>
                <w:szCs w:val="3"/>
                <w:color w:val="auto"/>
              </w:rPr>
            </w:pPr>
          </w:p>
        </w:tc>
        <w:tc>
          <w:tcPr>
            <w:tcW w:w="1140" w:type="dxa"/>
            <w:vAlign w:val="bottom"/>
            <w:tcBorders>
              <w:bottom w:val="single" w:sz="8" w:color="0CD973"/>
            </w:tcBorders>
          </w:tcPr>
          <w:p>
            <w:pPr>
              <w:spacing w:after="0"/>
              <w:rPr>
                <w:sz w:val="3"/>
                <w:szCs w:val="3"/>
                <w:color w:val="auto"/>
              </w:rPr>
            </w:pPr>
          </w:p>
        </w:tc>
        <w:tc>
          <w:tcPr>
            <w:tcW w:w="380" w:type="dxa"/>
            <w:vAlign w:val="bottom"/>
            <w:tcBorders>
              <w:bottom w:val="single" w:sz="8" w:color="0CD973"/>
            </w:tcBorders>
          </w:tcPr>
          <w:p>
            <w:pPr>
              <w:spacing w:after="0"/>
              <w:rPr>
                <w:sz w:val="3"/>
                <w:szCs w:val="3"/>
                <w:color w:val="auto"/>
              </w:rPr>
            </w:pPr>
          </w:p>
        </w:tc>
        <w:tc>
          <w:tcPr>
            <w:tcW w:w="1380" w:type="dxa"/>
            <w:vAlign w:val="bottom"/>
            <w:tcBorders>
              <w:bottom w:val="single" w:sz="8" w:color="0CD97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-899795</wp:posOffset>
            </wp:positionV>
            <wp:extent cx="4646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Includes short-term lease costs, which were immaterial.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commitments</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have contractual obligatons for third-party technology used in our solutons and for other services we purchase as part of our normal operatons. In certain cases, these arrangements require a minimum annual purchase commitment by us. As of June 30, 2023, the remaining aggregate minimum purchase commitment under these arrangements was approximately $270.4 million through 2027.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Soluton and service indemnifcatons</w:t>
      </w:r>
    </w:p>
    <w:p>
      <w:pPr>
        <w:spacing w:after="0" w:line="173"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51555C"/>
        </w:rPr>
        <w:t>In the ordinary course of business, we provide certain indemnifcatons of varying scope to customers against claims of intellectual property infringement made by third partes arising from the use of our solutons or services. We have not identfed any losses that might be covered by these indemnifcatons.</w:t>
      </w:r>
    </w:p>
    <w:p>
      <w:pPr>
        <w:spacing w:after="0" w:line="269"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16</w:t>
      </w:r>
      <w:r>
        <w:rPr>
          <w:sz w:val="20"/>
          <w:szCs w:val="20"/>
          <w:color w:val="auto"/>
        </w:rPr>
        <w:tab/>
      </w:r>
      <w:r>
        <w:rPr>
          <w:sz w:val="1"/>
          <w:szCs w:val="1"/>
          <w:color w:val="auto"/>
        </w:rPr>
        <w:drawing>
          <wp:inline distT="0" distB="0" distL="0" distR="0">
            <wp:extent cx="651510" cy="1714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Legal proceedings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51555C"/>
        </w:rPr>
        <w:t>We are subject to legal proceedings and claims that arise in the ordinary course of business, as well as certain other non-ordinary course proceedings, claims and investgatons, as described below. We make a provision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 the loss or range of losses arising from the proceeding can be made, we disclose such an estmate, if material. If such a loss or range of losses is not reasonably estmable, we disclose that fact. We review any such loss contngency provisions at least quarterly and adjust them to refect the impacts of negotatons, setlements, rulings, advice of legal counsel and other informaton and events pertaining to a partcular case. We recognize insurance recoveries, if any, when they are probable of receipt. All associated costs due to third-party service providers and consultants, including legal fees, are expensed as incurred.</w:t>
      </w:r>
    </w:p>
    <w:p>
      <w:pPr>
        <w:spacing w:after="0" w:line="11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51555C"/>
        </w:rPr>
        <w:t>Legal proceedings are inherently unpredictable. However, we believe that we have valid defenses with respect to the legal maters pending or threatened against us and intend to defend ourselves vigorously against all claims asserted. It is possible that our consolidated fnancial positon, results of operatons or cash fows could be materially negatvely afected in any partcular period by an unfavorable resoluton of one or more of such legal proceedings.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As previously disclosed, we are subject to risks and uncertaintes as a result of a ransomware atack against us in May 2020 in which a cybercriminal removed a copy of a subset of data from our self-hosted environment (the "Security Incident"). Based on the nature of the Security Incident, our research and third party (including law enforcement) investgaton, we do not believe that any data went beyond the cybercriminal, has been misused, or has been disseminated or otherwise made available publicly. Our investgaton into the Security Incident remains ongoing.</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a result of the Security Incident, we are currently subject to certain legal proceedings, claims and investgatons, as discussed below, and could be the subject of additonal legal proceedings, claims, inquiries and investgatons in the future that might result in adverse judgments, setlements, fnes, penaltes or other resoluton. To limit our exposure to losses related to claims against us, including data breaches such as the Security Incident, we maintain $50 million of insurance above a $250 thousand deductble payable by us. As noted below, this coverage has reduced our fnancial exposure related to the Security Incident.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51555C"/>
        </w:rPr>
        <w:t>We recorded expenses and ofsetng insurance recoveries related to the Security Incident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538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Three months ended</w:t>
            </w:r>
          </w:p>
        </w:tc>
        <w:tc>
          <w:tcPr>
            <w:tcW w:w="100" w:type="dxa"/>
            <w:vAlign w:val="bottom"/>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6"/>
              </w:rPr>
              <w:t>Six months ended</w:t>
            </w:r>
          </w:p>
        </w:tc>
      </w:tr>
      <w:tr>
        <w:trPr>
          <w:trHeight w:val="184"/>
        </w:trPr>
        <w:tc>
          <w:tcPr>
            <w:tcW w:w="20" w:type="dxa"/>
            <w:vAlign w:val="bottom"/>
            <w:shd w:val="clear" w:color="auto" w:fill="004054"/>
          </w:tcPr>
          <w:p>
            <w:pPr>
              <w:spacing w:after="0"/>
              <w:rPr>
                <w:sz w:val="15"/>
                <w:szCs w:val="15"/>
                <w:color w:val="auto"/>
              </w:rPr>
            </w:pPr>
          </w:p>
        </w:tc>
        <w:tc>
          <w:tcPr>
            <w:tcW w:w="538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80"/>
        </w:trPr>
        <w:tc>
          <w:tcPr>
            <w:tcW w:w="20" w:type="dxa"/>
            <w:vAlign w:val="bottom"/>
            <w:tcBorders>
              <w:bottom w:val="single" w:sz="8" w:color="004054"/>
            </w:tcBorders>
            <w:shd w:val="clear" w:color="auto" w:fill="004054"/>
          </w:tcPr>
          <w:p>
            <w:pPr>
              <w:spacing w:after="0"/>
              <w:rPr>
                <w:sz w:val="24"/>
                <w:szCs w:val="24"/>
                <w:color w:val="auto"/>
              </w:rPr>
            </w:pPr>
          </w:p>
        </w:tc>
        <w:tc>
          <w:tcPr>
            <w:tcW w:w="538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004054"/>
            </w:tcBorders>
            <w:shd w:val="clear" w:color="auto" w:fill="004054"/>
          </w:tcPr>
          <w:p>
            <w:pPr>
              <w:spacing w:after="0"/>
              <w:rPr>
                <w:sz w:val="24"/>
                <w:szCs w:val="24"/>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40" w:type="dxa"/>
            <w:vAlign w:val="bottom"/>
            <w:tcBorders>
              <w:bottom w:val="single" w:sz="8" w:color="004054"/>
            </w:tcBorders>
            <w:shd w:val="clear" w:color="auto" w:fill="004054"/>
          </w:tcPr>
          <w:p>
            <w:pPr>
              <w:spacing w:after="0"/>
              <w:rPr>
                <w:sz w:val="24"/>
                <w:szCs w:val="24"/>
                <w:color w:val="auto"/>
              </w:rPr>
            </w:pPr>
          </w:p>
        </w:tc>
        <w:tc>
          <w:tcPr>
            <w:tcW w:w="13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Pr>
          <w:p>
            <w:pPr>
              <w:spacing w:after="0"/>
              <w:rPr>
                <w:sz w:val="24"/>
                <w:szCs w:val="24"/>
                <w:color w:val="auto"/>
              </w:rPr>
            </w:pPr>
          </w:p>
        </w:tc>
        <w:tc>
          <w:tcPr>
            <w:tcW w:w="500" w:type="dxa"/>
            <w:vAlign w:val="bottom"/>
            <w:tcBorders>
              <w:bottom w:val="single" w:sz="8" w:color="004054"/>
            </w:tcBorders>
            <w:shd w:val="clear" w:color="auto" w:fill="004054"/>
          </w:tcPr>
          <w:p>
            <w:pPr>
              <w:spacing w:after="0"/>
              <w:rPr>
                <w:sz w:val="24"/>
                <w:szCs w:val="24"/>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20" w:type="dxa"/>
            <w:vAlign w:val="bottom"/>
            <w:tcBorders>
              <w:bottom w:val="single" w:sz="8" w:color="004054"/>
            </w:tcBorders>
            <w:shd w:val="clear" w:color="auto" w:fill="004054"/>
          </w:tcPr>
          <w:p>
            <w:pPr>
              <w:spacing w:after="0"/>
              <w:rPr>
                <w:sz w:val="24"/>
                <w:szCs w:val="24"/>
                <w:color w:val="auto"/>
              </w:rPr>
            </w:pPr>
          </w:p>
        </w:tc>
        <w:tc>
          <w:tcPr>
            <w:tcW w:w="12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50"/>
        </w:trPr>
        <w:tc>
          <w:tcPr>
            <w:tcW w:w="20" w:type="dxa"/>
            <w:vAlign w:val="bottom"/>
          </w:tcPr>
          <w:p>
            <w:pPr>
              <w:spacing w:after="0"/>
              <w:rPr>
                <w:sz w:val="21"/>
                <w:szCs w:val="21"/>
                <w:color w:val="auto"/>
              </w:rPr>
            </w:pPr>
          </w:p>
        </w:tc>
        <w:tc>
          <w:tcPr>
            <w:tcW w:w="53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Gross expense</w:t>
            </w: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26,777</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8,435</w:t>
            </w: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44,560</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79"/>
              </w:rPr>
              <w:t>$</w:t>
            </w: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17,440</w:t>
            </w:r>
          </w:p>
        </w:tc>
      </w:tr>
      <w:tr>
        <w:trPr>
          <w:trHeight w:val="227"/>
        </w:trPr>
        <w:tc>
          <w:tcPr>
            <w:tcW w:w="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51555C"/>
              </w:rPr>
              <w:t>Ofsetng insurance recoveries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51555C"/>
              </w:rPr>
              <w:t>(87)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51555C"/>
              </w:rPr>
              <w:t>(1,891)</w:t>
            </w:r>
          </w:p>
        </w:tc>
      </w:tr>
      <w:tr>
        <w:trPr>
          <w:trHeight w:val="43"/>
        </w:trPr>
        <w:tc>
          <w:tcPr>
            <w:tcW w:w="20" w:type="dxa"/>
            <w:vAlign w:val="bottom"/>
          </w:tcPr>
          <w:p>
            <w:pPr>
              <w:spacing w:after="0"/>
              <w:rPr>
                <w:sz w:val="3"/>
                <w:szCs w:val="3"/>
                <w:color w:val="auto"/>
              </w:rPr>
            </w:pPr>
          </w:p>
        </w:tc>
        <w:tc>
          <w:tcPr>
            <w:tcW w:w="5380" w:type="dxa"/>
            <w:vAlign w:val="bottom"/>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130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940" w:type="dxa"/>
            <w:vAlign w:val="bottom"/>
            <w:tcBorders>
              <w:bottom w:val="single" w:sz="8" w:color="51555C"/>
            </w:tcBorders>
          </w:tcPr>
          <w:p>
            <w:pPr>
              <w:spacing w:after="0"/>
              <w:rPr>
                <w:sz w:val="3"/>
                <w:szCs w:val="3"/>
                <w:color w:val="auto"/>
              </w:rPr>
            </w:pPr>
          </w:p>
        </w:tc>
        <w:tc>
          <w:tcPr>
            <w:tcW w:w="220" w:type="dxa"/>
            <w:vAlign w:val="bottom"/>
            <w:tcBorders>
              <w:bottom w:val="single" w:sz="8" w:color="51555C"/>
            </w:tcBorders>
          </w:tcPr>
          <w:p>
            <w:pPr>
              <w:spacing w:after="0"/>
              <w:rPr>
                <w:sz w:val="3"/>
                <w:szCs w:val="3"/>
                <w:color w:val="auto"/>
              </w:rPr>
            </w:pPr>
          </w:p>
        </w:tc>
        <w:tc>
          <w:tcPr>
            <w:tcW w:w="1220" w:type="dxa"/>
            <w:vAlign w:val="bottom"/>
            <w:tcBorders>
              <w:bottom w:val="single" w:sz="8" w:color="51555C"/>
            </w:tcBorders>
          </w:tcPr>
          <w:p>
            <w:pPr>
              <w:spacing w:after="0"/>
              <w:rPr>
                <w:sz w:val="3"/>
                <w:szCs w:val="3"/>
                <w:color w:val="auto"/>
              </w:rPr>
            </w:pPr>
          </w:p>
        </w:tc>
      </w:tr>
      <w:tr>
        <w:trPr>
          <w:trHeight w:val="269"/>
        </w:trPr>
        <w:tc>
          <w:tcPr>
            <w:tcW w:w="20" w:type="dxa"/>
            <w:vAlign w:val="bottom"/>
          </w:tcPr>
          <w:p>
            <w:pPr>
              <w:spacing w:after="0"/>
              <w:rPr>
                <w:sz w:val="22"/>
                <w:szCs w:val="22"/>
                <w:color w:val="auto"/>
              </w:rPr>
            </w:pPr>
          </w:p>
        </w:tc>
        <w:tc>
          <w:tcPr>
            <w:tcW w:w="538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Net expense</w:t>
            </w: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26,777</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8,348</w:t>
            </w:r>
          </w:p>
        </w:tc>
        <w:tc>
          <w:tcPr>
            <w:tcW w:w="600" w:type="dxa"/>
            <w:vAlign w:val="bottom"/>
            <w:tcBorders>
              <w:bottom w:val="single" w:sz="8" w:color="EBFBFF"/>
            </w:tcBorders>
            <w:gridSpan w:val="2"/>
            <w:shd w:val="clear" w:color="auto" w:fill="EBFBFF"/>
          </w:tcPr>
          <w:p>
            <w:pPr>
              <w:jc w:val="right"/>
              <w:ind w:right="290"/>
              <w:spacing w:after="0"/>
              <w:rPr>
                <w:sz w:val="20"/>
                <w:szCs w:val="20"/>
                <w:color w:val="auto"/>
              </w:rPr>
            </w:pPr>
            <w:r>
              <w:rPr>
                <w:rFonts w:ascii="Arial" w:cs="Arial" w:eastAsia="Arial" w:hAnsi="Arial"/>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44,560</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79"/>
              </w:rPr>
              <w:t>$</w:t>
            </w: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15,549</w:t>
            </w:r>
          </w:p>
        </w:tc>
      </w:tr>
      <w:tr>
        <w:trPr>
          <w:trHeight w:val="664"/>
        </w:trPr>
        <w:tc>
          <w:tcPr>
            <w:tcW w:w="20" w:type="dxa"/>
            <w:vAlign w:val="bottom"/>
          </w:tcPr>
          <w:p>
            <w:pPr>
              <w:spacing w:after="0"/>
              <w:rPr>
                <w:sz w:val="24"/>
                <w:szCs w:val="24"/>
                <w:color w:val="auto"/>
              </w:rPr>
            </w:pPr>
          </w:p>
        </w:tc>
        <w:tc>
          <w:tcPr>
            <w:tcW w:w="5380" w:type="dxa"/>
            <w:vAlign w:val="bottom"/>
            <w:tcBorders>
              <w:top w:val="single" w:sz="8" w:color="0CD973"/>
            </w:tcBorders>
          </w:tcPr>
          <w:p>
            <w:pPr>
              <w:spacing w:after="0"/>
              <w:rPr>
                <w:sz w:val="24"/>
                <w:szCs w:val="24"/>
                <w:color w:val="auto"/>
              </w:rPr>
            </w:pPr>
          </w:p>
        </w:tc>
        <w:tc>
          <w:tcPr>
            <w:tcW w:w="480" w:type="dxa"/>
            <w:vAlign w:val="bottom"/>
            <w:tcBorders>
              <w:top w:val="single" w:sz="8" w:color="0CD973"/>
            </w:tcBorders>
          </w:tcPr>
          <w:p>
            <w:pPr>
              <w:spacing w:after="0"/>
              <w:rPr>
                <w:sz w:val="24"/>
                <w:szCs w:val="24"/>
                <w:color w:val="auto"/>
              </w:rPr>
            </w:pPr>
          </w:p>
        </w:tc>
        <w:tc>
          <w:tcPr>
            <w:tcW w:w="940" w:type="dxa"/>
            <w:vAlign w:val="bottom"/>
            <w:tcBorders>
              <w:top w:val="single" w:sz="8" w:color="0CD973"/>
            </w:tcBorders>
          </w:tcPr>
          <w:p>
            <w:pPr>
              <w:spacing w:after="0"/>
              <w:rPr>
                <w:sz w:val="24"/>
                <w:szCs w:val="24"/>
                <w:color w:val="auto"/>
              </w:rPr>
            </w:pPr>
          </w:p>
        </w:tc>
        <w:tc>
          <w:tcPr>
            <w:tcW w:w="140" w:type="dxa"/>
            <w:vAlign w:val="bottom"/>
            <w:tcBorders>
              <w:top w:val="single" w:sz="8" w:color="0CD973"/>
            </w:tcBorders>
          </w:tcPr>
          <w:p>
            <w:pPr>
              <w:spacing w:after="0"/>
              <w:rPr>
                <w:sz w:val="24"/>
                <w:szCs w:val="24"/>
                <w:color w:val="auto"/>
              </w:rPr>
            </w:pPr>
          </w:p>
        </w:tc>
        <w:tc>
          <w:tcPr>
            <w:tcW w:w="2840" w:type="dxa"/>
            <w:vAlign w:val="bottom"/>
            <w:tcBorders>
              <w:top w:val="single" w:sz="8" w:color="0CD973"/>
            </w:tcBorders>
            <w:gridSpan w:val="4"/>
          </w:tcPr>
          <w:p>
            <w:pPr>
              <w:jc w:val="right"/>
              <w:ind w:right="155"/>
              <w:spacing w:after="0"/>
              <w:rPr>
                <w:sz w:val="20"/>
                <w:szCs w:val="20"/>
                <w:color w:val="auto"/>
              </w:rPr>
            </w:pPr>
            <w:r>
              <w:rPr>
                <w:rFonts w:ascii="Arial" w:cs="Arial" w:eastAsia="Arial" w:hAnsi="Arial"/>
                <w:sz w:val="14"/>
                <w:szCs w:val="14"/>
                <w:color w:val="51555C"/>
              </w:rPr>
              <w:t>Second Quarter 2023 Form 10-Q</w:t>
            </w:r>
          </w:p>
        </w:tc>
        <w:tc>
          <w:tcPr>
            <w:tcW w:w="220" w:type="dxa"/>
            <w:vAlign w:val="bottom"/>
            <w:tcBorders>
              <w:top w:val="single" w:sz="8" w:color="0CD973"/>
            </w:tcBorders>
          </w:tcPr>
          <w:p>
            <w:pPr>
              <w:spacing w:after="0"/>
              <w:rPr>
                <w:sz w:val="24"/>
                <w:szCs w:val="24"/>
                <w:color w:val="auto"/>
              </w:rPr>
            </w:pPr>
          </w:p>
        </w:tc>
        <w:tc>
          <w:tcPr>
            <w:tcW w:w="1220" w:type="dxa"/>
            <w:vAlign w:val="bottom"/>
            <w:tcBorders>
              <w:top w:val="single" w:sz="8" w:color="0CD973"/>
            </w:tcBorders>
          </w:tcPr>
          <w:p>
            <w:pPr>
              <w:jc w:val="right"/>
              <w:spacing w:after="0"/>
              <w:rPr>
                <w:sz w:val="20"/>
                <w:szCs w:val="20"/>
                <w:color w:val="auto"/>
              </w:rPr>
            </w:pPr>
            <w:r>
              <w:rPr>
                <w:rFonts w:ascii="Arial" w:cs="Arial" w:eastAsia="Arial" w:hAnsi="Arial"/>
                <w:sz w:val="14"/>
                <w:szCs w:val="14"/>
                <w:color w:val="51555C"/>
              </w:rPr>
              <w:t>17</w:t>
            </w:r>
          </w:p>
        </w:tc>
      </w:tr>
      <w:tr>
        <w:trPr>
          <w:trHeight w:val="349"/>
        </w:trPr>
        <w:tc>
          <w:tcPr>
            <w:tcW w:w="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-1345565</wp:posOffset>
            </wp:positionV>
            <wp:extent cx="36944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9443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-368300</wp:posOffset>
            </wp:positionV>
            <wp:extent cx="66040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summarizes our cumulatve expenses, insurance recoveries recognized and insurance recoveries paid as of:</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834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360" w:type="dxa"/>
            <w:vAlign w:val="bottom"/>
            <w:shd w:val="clear" w:color="auto" w:fill="004054"/>
          </w:tcPr>
          <w:p>
            <w:pPr>
              <w:spacing w:after="0"/>
              <w:rPr>
                <w:sz w:val="15"/>
                <w:szCs w:val="15"/>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184"/>
        </w:trPr>
        <w:tc>
          <w:tcPr>
            <w:tcW w:w="20" w:type="dxa"/>
            <w:vAlign w:val="bottom"/>
            <w:shd w:val="clear" w:color="auto" w:fill="004054"/>
          </w:tcPr>
          <w:p>
            <w:pPr>
              <w:spacing w:after="0"/>
              <w:rPr>
                <w:sz w:val="15"/>
                <w:szCs w:val="15"/>
                <w:color w:val="auto"/>
              </w:rPr>
            </w:pPr>
          </w:p>
        </w:tc>
        <w:tc>
          <w:tcPr>
            <w:tcW w:w="834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60" w:type="dxa"/>
            <w:vAlign w:val="bottom"/>
            <w:shd w:val="clear" w:color="auto" w:fill="004054"/>
          </w:tcPr>
          <w:p>
            <w:pPr>
              <w:spacing w:after="0"/>
              <w:rPr>
                <w:sz w:val="15"/>
                <w:szCs w:val="15"/>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834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100" w:type="dxa"/>
            <w:vAlign w:val="bottom"/>
            <w:shd w:val="clear" w:color="auto" w:fill="004054"/>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Cumulatve gross expense</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7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152,565</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108,005</w:t>
            </w:r>
          </w:p>
        </w:tc>
      </w:tr>
      <w:tr>
        <w:trPr>
          <w:trHeight w:val="227"/>
        </w:trPr>
        <w:tc>
          <w:tcPr>
            <w:tcW w:w="20" w:type="dxa"/>
            <w:vAlign w:val="bottom"/>
          </w:tcPr>
          <w:p>
            <w:pPr>
              <w:spacing w:after="0"/>
              <w:rPr>
                <w:sz w:val="19"/>
                <w:szCs w:val="19"/>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51555C"/>
              </w:rPr>
              <w:t>Cumulatve ofsetng insurance recoveries recognized</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(50,000)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(50,000)</w:t>
            </w:r>
          </w:p>
        </w:tc>
      </w:tr>
      <w:tr>
        <w:trPr>
          <w:trHeight w:val="43"/>
        </w:trPr>
        <w:tc>
          <w:tcPr>
            <w:tcW w:w="20" w:type="dxa"/>
            <w:vAlign w:val="bottom"/>
          </w:tcPr>
          <w:p>
            <w:pPr>
              <w:spacing w:after="0"/>
              <w:rPr>
                <w:sz w:val="3"/>
                <w:szCs w:val="3"/>
                <w:color w:val="auto"/>
              </w:rPr>
            </w:pPr>
          </w:p>
        </w:tc>
        <w:tc>
          <w:tcPr>
            <w:tcW w:w="8340" w:type="dxa"/>
            <w:vAlign w:val="bottom"/>
            <w:tcBorders>
              <w:bottom w:val="single" w:sz="8" w:color="EBFBFF"/>
            </w:tcBorders>
          </w:tcPr>
          <w:p>
            <w:pPr>
              <w:spacing w:after="0"/>
              <w:rPr>
                <w:sz w:val="3"/>
                <w:szCs w:val="3"/>
                <w:color w:val="auto"/>
              </w:rPr>
            </w:pPr>
          </w:p>
        </w:tc>
        <w:tc>
          <w:tcPr>
            <w:tcW w:w="440" w:type="dxa"/>
            <w:vAlign w:val="bottom"/>
            <w:tcBorders>
              <w:bottom w:val="single" w:sz="8" w:color="51555C"/>
            </w:tcBorders>
          </w:tcPr>
          <w:p>
            <w:pPr>
              <w:spacing w:after="0"/>
              <w:rPr>
                <w:sz w:val="3"/>
                <w:szCs w:val="3"/>
                <w:color w:val="auto"/>
              </w:rPr>
            </w:pPr>
          </w:p>
        </w:tc>
        <w:tc>
          <w:tcPr>
            <w:tcW w:w="980" w:type="dxa"/>
            <w:vAlign w:val="bottom"/>
            <w:tcBorders>
              <w:bottom w:val="single" w:sz="8" w:color="51555C"/>
            </w:tcBorders>
          </w:tcPr>
          <w:p>
            <w:pPr>
              <w:spacing w:after="0"/>
              <w:rPr>
                <w:sz w:val="3"/>
                <w:szCs w:val="3"/>
                <w:color w:val="auto"/>
              </w:rPr>
            </w:pPr>
          </w:p>
        </w:tc>
        <w:tc>
          <w:tcPr>
            <w:tcW w:w="360" w:type="dxa"/>
            <w:vAlign w:val="bottom"/>
            <w:tcBorders>
              <w:bottom w:val="single" w:sz="8" w:color="51555C"/>
            </w:tcBorders>
          </w:tcPr>
          <w:p>
            <w:pPr>
              <w:spacing w:after="0"/>
              <w:rPr>
                <w:sz w:val="3"/>
                <w:szCs w:val="3"/>
                <w:color w:val="auto"/>
              </w:rPr>
            </w:pPr>
          </w:p>
        </w:tc>
        <w:tc>
          <w:tcPr>
            <w:tcW w:w="1100" w:type="dxa"/>
            <w:vAlign w:val="bottom"/>
            <w:tcBorders>
              <w:bottom w:val="single" w:sz="8" w:color="51555C"/>
            </w:tcBorders>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83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Cumulatve net expense</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7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102,565</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58,005</w:t>
            </w:r>
          </w:p>
        </w:tc>
      </w:tr>
      <w:tr>
        <w:trPr>
          <w:trHeight w:val="250"/>
        </w:trPr>
        <w:tc>
          <w:tcPr>
            <w:tcW w:w="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440" w:type="dxa"/>
            <w:vAlign w:val="bottom"/>
            <w:tcBorders>
              <w:top w:val="single" w:sz="8" w:color="51555C"/>
            </w:tcBorders>
          </w:tcPr>
          <w:p>
            <w:pPr>
              <w:spacing w:after="0"/>
              <w:rPr>
                <w:sz w:val="21"/>
                <w:szCs w:val="21"/>
                <w:color w:val="auto"/>
              </w:rPr>
            </w:pPr>
          </w:p>
        </w:tc>
        <w:tc>
          <w:tcPr>
            <w:tcW w:w="980" w:type="dxa"/>
            <w:vAlign w:val="bottom"/>
            <w:tcBorders>
              <w:top w:val="single" w:sz="8" w:color="51555C"/>
            </w:tcBorders>
          </w:tcPr>
          <w:p>
            <w:pPr>
              <w:spacing w:after="0"/>
              <w:rPr>
                <w:sz w:val="21"/>
                <w:szCs w:val="21"/>
                <w:color w:val="auto"/>
              </w:rPr>
            </w:pPr>
          </w:p>
        </w:tc>
        <w:tc>
          <w:tcPr>
            <w:tcW w:w="360" w:type="dxa"/>
            <w:vAlign w:val="bottom"/>
            <w:tcBorders>
              <w:top w:val="single" w:sz="8" w:color="51555C"/>
            </w:tcBorders>
          </w:tcPr>
          <w:p>
            <w:pPr>
              <w:spacing w:after="0"/>
              <w:rPr>
                <w:sz w:val="21"/>
                <w:szCs w:val="21"/>
                <w:color w:val="auto"/>
              </w:rPr>
            </w:pPr>
          </w:p>
        </w:tc>
        <w:tc>
          <w:tcPr>
            <w:tcW w:w="1100" w:type="dxa"/>
            <w:vAlign w:val="bottom"/>
            <w:tcBorders>
              <w:top w:val="single" w:sz="8" w:color="51555C"/>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Cumulatve ofsetng insurance recoveries paid</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7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(50,000)</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(50,000)</w:t>
            </w:r>
          </w:p>
        </w:tc>
      </w:tr>
      <w:tr>
        <w:trPr>
          <w:trHeight w:val="20"/>
        </w:trPr>
        <w:tc>
          <w:tcPr>
            <w:tcW w:w="20" w:type="dxa"/>
            <w:vAlign w:val="bottom"/>
          </w:tcPr>
          <w:p>
            <w:pPr>
              <w:spacing w:after="0" w:line="20" w:lineRule="exact"/>
              <w:rPr>
                <w:sz w:val="1"/>
                <w:szCs w:val="1"/>
                <w:color w:val="auto"/>
              </w:rPr>
            </w:pPr>
          </w:p>
        </w:tc>
        <w:tc>
          <w:tcPr>
            <w:tcW w:w="834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r>
    </w:tbl>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51555C"/>
        </w:rPr>
        <w:t>Recorded expenses have consisted primarily of payments to third-party service providers and consultants, including legal fees, as well as setlement of the previously disclosed SEC investgaton (as discussed below), setlements of customer claims and accruals for certain loss contngencies. Not included in the expenses discussed above were costs associated with enhancements to our cybersecurity program. We present expenses and insurance recoveries related to the Security Incident in general and administratve expense on our consolidated statements of comprehensive income (loss) and as operatng actvites on our consolidated statements of cash fows. Total costs related to the Security Incident exceeded the limit of our insurance coverage during the frst quarter of 2022. We expect to contnue to experience signifcant expenses related to our response to the Security Incident, resoluton of legal proceedings, claims and investgatons, including those discussed below, and our eforts to further enhance our cybersecurity measures. For the three and six months ended June 30, 2023, we incurred net pre-tax expenses of $26.8 million and $44.6 million, respectvely, related to the Security Incident, which included $7.0 million and $14.6 million, respectvely, for ongoing legal fees and additonal accruals for loss contngencies of $19.8 million and $30.0 million, respectvely. During the six months ended June 30, 2023, we had net cash outlays of $15.8 million related to the Security Incident, which included ongoing legal fees and the $3.0 million civil penalty paid related to the SEC setlement (as discussed below). In line with our policy, legal fees are expensed as incurred. For full year 2023, we currently expect net pre-tax expense of approximately $20.0 million to $30.0 million and net cash outlays of approximately $25.0 million to $35.0 million for ongoing legal fees related to the Security Incident. Not included in these ranges are our previous setlements or current accruals for loss contngencies related to the maters discussed below.</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51555C"/>
        </w:rPr>
        <w:t>As of June 30, 2023, we have recorded approximately $50.0 million in aggregate liabilites for loss contngencies based primarily on recent negotatons with certain governmental agencies related to the Security Incident that we believe we can reasonably estmate in accordance with our loss contngency procedures described above. Our liabilites for loss contngencies are recorded in accrued expenses and other current liabilites on our condensed consolidated balance sheets. It is reasonably possible that our estmated or actual losses may change in the near term for those maters and be materially in excess of the amounts accrued, but we are unable at this tme to reasonably estmate the possible additonal loss.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There are other Security Incident-related maters, including customer claims, customer consttuent class actons and governmental investgatons, for which we have not recorded a liability for a loss contngency as of June 30, 2023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51555C"/>
        </w:rPr>
        <w:t xml:space="preserve">Customer claims. </w:t>
      </w:r>
      <w:r>
        <w:rPr>
          <w:rFonts w:ascii="Arial" w:cs="Arial" w:eastAsia="Arial" w:hAnsi="Arial"/>
          <w:sz w:val="17"/>
          <w:szCs w:val="17"/>
          <w:color w:val="51555C"/>
        </w:rPr>
        <w:t>To date, we have received approximately 260 specifc requests for reimbursement of expenses, approximately 210 (or 81%) have been</w:t>
      </w:r>
      <w:r>
        <w:rPr>
          <w:rFonts w:ascii="Arial" w:cs="Arial" w:eastAsia="Arial" w:hAnsi="Arial"/>
          <w:sz w:val="17"/>
          <w:szCs w:val="17"/>
          <w:b w:val="1"/>
          <w:bCs w:val="1"/>
          <w:i w:val="1"/>
          <w:iCs w:val="1"/>
          <w:color w:val="51555C"/>
        </w:rPr>
        <w:t xml:space="preserve"> </w:t>
      </w:r>
      <w:r>
        <w:rPr>
          <w:rFonts w:ascii="Arial" w:cs="Arial" w:eastAsia="Arial" w:hAnsi="Arial"/>
          <w:sz w:val="17"/>
          <w:szCs w:val="17"/>
          <w:color w:val="51555C"/>
        </w:rPr>
        <w:t>fully resolved and closed. We have also received approximately 400 reservatons of the right to seek expense recovery in the future from customers or their atorneys in the U.S., U.K. and Canada related to the Security Incident.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Customer and insurer subrogaton claims generally seek reimbursement of their costs and expenses associated with notfying their own customers of the Security Incident and taking steps to assure that personal informaton has not been compromised as a result of the Security Incident. Our review of customer and subrogaton claims includes analyzing individual customer contracts into which we have entered, the specifc claims made and applicable law.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18</w:t>
      </w:r>
      <w:r>
        <w:rPr>
          <w:sz w:val="20"/>
          <w:szCs w:val="20"/>
          <w:color w:val="auto"/>
        </w:rPr>
        <w:tab/>
      </w:r>
      <w:r>
        <w:rPr>
          <w:sz w:val="1"/>
          <w:szCs w:val="1"/>
          <w:color w:val="auto"/>
        </w:rPr>
        <w:drawing>
          <wp:inline distT="0" distB="0" distL="0" distR="0">
            <wp:extent cx="651510" cy="1714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51555C"/>
        </w:rPr>
        <w:t xml:space="preserve">Customer consttuent class actons. </w:t>
      </w:r>
      <w:r>
        <w:rPr>
          <w:rFonts w:ascii="Arial" w:cs="Arial" w:eastAsia="Arial" w:hAnsi="Arial"/>
          <w:sz w:val="18"/>
          <w:szCs w:val="18"/>
          <w:color w:val="51555C"/>
        </w:rPr>
        <w:t>Presently, we are a defendant in 19 putatve consumer class acton cases [17 in U.S. federal courts (which have been</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consolidated under mult district litgaton to a single federal court) and 2 in Canadian courts] alleging harm from the Security Incident. The plaintfs in these cases, who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Lawsuits that are putatve class actons require a plaintf to satsfy a number of procedural requirements before proceeding to trial. These requirements include, among others, demonstraton to a court that the law proscribes in some manner our actvites, the making of factual allegatons sufcient to suggest that our actvites exceeded the limits of the law and a determinaton by the court—known as class certfcaton—that the law permits a group of individuals to pursue the case together as a class. If these procedural requirements are not met, the lawsuit cannot proceed as a class acton and the plaintf may lose the fnancial incentve to proceed with the case. We are currently engaged in court proceedings to determine whether this will proceed as a class acton. Frequently, a court’s determinaton as to these procedural requirements is subject to appeal to a higher court. As a result of these uncertaintes, we may be unable to determine the probability of loss untl, or afer, a court has fnally determined that a plaintf has satsfed the applicable class acton procedural requirements.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Furthermore, for putatve class actons, it is ofen not possible to reasonably estmate the possible loss or a range of loss amounts, even where we have determined that a loss is reasonably possible. Generally, class actons involve a large number of people and raise complex legal and factual issues that result in uncertainty as to their outcome and, ultmately, making it difcult for us to estmate the amount of damages that a plaintf might successfully prove. This analysis is further complicated by the fact that the plaintfs lack contractual privity with us.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51555C"/>
        </w:rPr>
        <w:t xml:space="preserve">Governmental investgatons. </w:t>
      </w:r>
      <w:r>
        <w:rPr>
          <w:rFonts w:ascii="Arial" w:cs="Arial" w:eastAsia="Arial" w:hAnsi="Arial"/>
          <w:sz w:val="18"/>
          <w:szCs w:val="18"/>
          <w:color w:val="51555C"/>
        </w:rPr>
        <w:t>To date, we have received a consolidated, mult-state Civil Investgatve Demand issued on behalf of 49 state Atorneys</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General and the District of Columbia, a separate Civil Investgatve Demand from the ofce of the Indiana Atorney General and a separate Civil Investgatve Demand from the ofce of the California Atorney General relatng to the Security Incident. We have been in discussions, directly with certain Atorneys General or indirectly through an executve commitee of the mult-state group of Atorneys General, about potental resoluton of issues arising from these investgatons. Although we are hopeful that we can resolve these maters on acceptable terms, there is no assurance that we will be able to do so on terms acceptable to us and to any or all such states.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51555C"/>
        </w:rPr>
        <w:t>We also are subject to the following pending governmental actons: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51555C"/>
        </w:rPr>
      </w:pPr>
      <w:r>
        <w:rPr>
          <w:rFonts w:ascii="Arial" w:cs="Arial" w:eastAsia="Arial" w:hAnsi="Arial"/>
          <w:sz w:val="18"/>
          <w:szCs w:val="18"/>
          <w:color w:val="51555C"/>
        </w:rPr>
        <w:t>an investgaton by the U.S. Federal Trade Commission;</w:t>
      </w:r>
    </w:p>
    <w:p>
      <w:pPr>
        <w:spacing w:after="0" w:line="117" w:lineRule="exact"/>
        <w:rPr>
          <w:rFonts w:ascii="Arial" w:cs="Arial" w:eastAsia="Arial" w:hAnsi="Arial"/>
          <w:sz w:val="18"/>
          <w:szCs w:val="18"/>
          <w:color w:val="51555C"/>
        </w:rPr>
      </w:pPr>
    </w:p>
    <w:p>
      <w:pPr>
        <w:ind w:left="660" w:hanging="328"/>
        <w:spacing w:after="0"/>
        <w:tabs>
          <w:tab w:leader="none" w:pos="660" w:val="left"/>
        </w:tabs>
        <w:numPr>
          <w:ilvl w:val="0"/>
          <w:numId w:val="10"/>
        </w:numPr>
        <w:rPr>
          <w:rFonts w:ascii="Arial" w:cs="Arial" w:eastAsia="Arial" w:hAnsi="Arial"/>
          <w:sz w:val="18"/>
          <w:szCs w:val="18"/>
          <w:color w:val="51555C"/>
        </w:rPr>
      </w:pPr>
      <w:r>
        <w:rPr>
          <w:rFonts w:ascii="Arial" w:cs="Arial" w:eastAsia="Arial" w:hAnsi="Arial"/>
          <w:sz w:val="18"/>
          <w:szCs w:val="18"/>
          <w:color w:val="51555C"/>
        </w:rPr>
        <w:t>an investgaton by the U.S. Department of Health and Human Services;</w:t>
      </w:r>
    </w:p>
    <w:p>
      <w:pPr>
        <w:spacing w:after="0" w:line="117" w:lineRule="exact"/>
        <w:rPr>
          <w:rFonts w:ascii="Arial" w:cs="Arial" w:eastAsia="Arial" w:hAnsi="Arial"/>
          <w:sz w:val="18"/>
          <w:szCs w:val="18"/>
          <w:color w:val="51555C"/>
        </w:rPr>
      </w:pPr>
    </w:p>
    <w:p>
      <w:pPr>
        <w:ind w:left="660" w:hanging="328"/>
        <w:spacing w:after="0"/>
        <w:tabs>
          <w:tab w:leader="none" w:pos="660" w:val="left"/>
        </w:tabs>
        <w:numPr>
          <w:ilvl w:val="0"/>
          <w:numId w:val="10"/>
        </w:numPr>
        <w:rPr>
          <w:rFonts w:ascii="Arial" w:cs="Arial" w:eastAsia="Arial" w:hAnsi="Arial"/>
          <w:sz w:val="18"/>
          <w:szCs w:val="18"/>
          <w:color w:val="51555C"/>
        </w:rPr>
      </w:pPr>
      <w:r>
        <w:rPr>
          <w:rFonts w:ascii="Arial" w:cs="Arial" w:eastAsia="Arial" w:hAnsi="Arial"/>
          <w:sz w:val="18"/>
          <w:szCs w:val="18"/>
          <w:color w:val="51555C"/>
        </w:rPr>
        <w:t>an investgaton by the Ofce of the Australian Informaton Commissioner; and</w:t>
      </w:r>
    </w:p>
    <w:p>
      <w:pPr>
        <w:spacing w:after="0" w:line="117" w:lineRule="exact"/>
        <w:rPr>
          <w:rFonts w:ascii="Arial" w:cs="Arial" w:eastAsia="Arial" w:hAnsi="Arial"/>
          <w:sz w:val="18"/>
          <w:szCs w:val="18"/>
          <w:color w:val="51555C"/>
        </w:rPr>
      </w:pPr>
    </w:p>
    <w:p>
      <w:pPr>
        <w:ind w:left="660" w:hanging="328"/>
        <w:spacing w:after="0"/>
        <w:tabs>
          <w:tab w:leader="none" w:pos="660" w:val="left"/>
        </w:tabs>
        <w:numPr>
          <w:ilvl w:val="0"/>
          <w:numId w:val="10"/>
        </w:numPr>
        <w:rPr>
          <w:rFonts w:ascii="Arial" w:cs="Arial" w:eastAsia="Arial" w:hAnsi="Arial"/>
          <w:sz w:val="18"/>
          <w:szCs w:val="18"/>
          <w:color w:val="51555C"/>
        </w:rPr>
      </w:pPr>
      <w:r>
        <w:rPr>
          <w:rFonts w:ascii="Arial" w:cs="Arial" w:eastAsia="Arial" w:hAnsi="Arial"/>
          <w:sz w:val="18"/>
          <w:szCs w:val="18"/>
          <w:color w:val="51555C"/>
        </w:rPr>
        <w:t>an investgaton by the Ofce of the Privacy Commissioner of Canada.</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51555C"/>
        </w:rPr>
        <w:t>As previously disclosed, on March 9, 2023, the Company reached a setlement with the SEC in connecton with the Security Incident. This setlement fully resolves the previously disclosed SEC investgaton of the Security Incident and is further described in an SEC cease-and-desist order (the “SEC Order”). Under the terms of the SEC Order, the Company has agreed to cease-and-desist from commitng or causing any violatons or any future violatons of Sectons 17(a)(2) and (3) of the Securites Act of 1933, as amended (the “Securites Act”), and Secton 13(a) of the Securites Exchange Act of 1934, as amended (the “Exchange Act”), and Rules 12b-20, 13a-13 and 13a-15(a) thereunder. No other violatons of the securites laws are alleged in the SEC Order. As part of the SEC Order, the Company also agreed to pay, and has paid, a civil penalty in the amount of $3.0 million. The Company consented to the entry of the SEC Order without admitng or denying the fndings of the SEC Order, other than with respect to the SEC’s jurisdicton over the Company and the subject mater of the SEC Order. The SEC Order describing the setlement was furnished as Exhibit 99.1 and the SEC’s press release announcing this resoluton is furnished as Exhibit 99.2 to the Company’s Current Report on Form 8-K fled with the SEC on 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224790</wp:posOffset>
            </wp:positionV>
            <wp:extent cx="66040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19</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51555C"/>
        </w:rPr>
        <w:t>On September 28, 2021, the Informaton Commissioner’s Ofce in the United Kingdom under the U.K. Data Protecton Act 2018 (the "ICO") notfed us that it has closed its investgaton of the Security Incident. Based on its investgaton and having considered our actons before, during and afer the Security Incident, the ICO issued our European subsidiary a reprimand in accordance with Artcle 58(2)(b) of the U.K. General Data Protecton Regulaton ("U.K. GDPR") due to our non-compliance, in the ICO's view, with the requirements set out in Artcle 32 of the U.K. GDPR regarding the processing of personal data. The ICO did not impose a penalty related to the Security Incident, nor did it impose any requirements for further acton by us.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On September 24, 2021, we received notce from the Spanish Data Protecton Authority that it has concluded its investgaton of the Security Incident, pursuant to which our European subsidiary paid a penalty of €60,000 in relaton to the alleged late notfcaton of two Spanish data controllers regarding the Security Incident.</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On January 15, 2021, we were notfed by the Data Protecton Commission of Ireland that it has concluded its investgaton of the Security Incident without taking any acton against us.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We contnue to cooperate with all ongoing investgatons, which include various requests for documents, policies, narratves and communicatons, as well as requests to interview or depose various Company-related personnel. As noted above, each of these separate governmental investgatons could result in adverse judgments, setlements, fnes, penaltes or other resoluton, the amount, scope and tming of which we are currently unable to predict, but could have a material adverse impact on our results of operatons, cash fows or fnancial conditon.</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9.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51555C"/>
        </w:rPr>
        <w:t>Our income tax beneft and efectve income tax rates, including the efects of period-specifc events, were: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520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106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Three months ended</w:t>
            </w:r>
          </w:p>
        </w:tc>
        <w:tc>
          <w:tcPr>
            <w:tcW w:w="80" w:type="dxa"/>
            <w:vAlign w:val="bottom"/>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6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7"/>
              </w:rPr>
              <w:t>Six months ended</w:t>
            </w:r>
          </w:p>
        </w:tc>
      </w:tr>
      <w:tr>
        <w:trPr>
          <w:trHeight w:val="184"/>
        </w:trPr>
        <w:tc>
          <w:tcPr>
            <w:tcW w:w="20" w:type="dxa"/>
            <w:vAlign w:val="bottom"/>
            <w:shd w:val="clear" w:color="auto" w:fill="004054"/>
          </w:tcPr>
          <w:p>
            <w:pPr>
              <w:spacing w:after="0"/>
              <w:rPr>
                <w:sz w:val="15"/>
                <w:szCs w:val="15"/>
                <w:color w:val="auto"/>
              </w:rPr>
            </w:pPr>
          </w:p>
        </w:tc>
        <w:tc>
          <w:tcPr>
            <w:tcW w:w="520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106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6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0"/>
        </w:trPr>
        <w:tc>
          <w:tcPr>
            <w:tcW w:w="20" w:type="dxa"/>
            <w:vAlign w:val="bottom"/>
            <w:shd w:val="clear" w:color="auto" w:fill="004054"/>
          </w:tcPr>
          <w:p>
            <w:pPr>
              <w:spacing w:after="0"/>
              <w:rPr>
                <w:sz w:val="19"/>
                <w:szCs w:val="19"/>
                <w:color w:val="auto"/>
              </w:rPr>
            </w:pPr>
          </w:p>
        </w:tc>
        <w:tc>
          <w:tcPr>
            <w:tcW w:w="520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60" w:type="dxa"/>
            <w:vAlign w:val="bottom"/>
            <w:shd w:val="clear" w:color="auto" w:fill="004054"/>
          </w:tcPr>
          <w:p>
            <w:pPr>
              <w:spacing w:after="0"/>
              <w:rPr>
                <w:sz w:val="19"/>
                <w:szCs w:val="19"/>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80" w:type="dxa"/>
            <w:vAlign w:val="bottom"/>
          </w:tcPr>
          <w:p>
            <w:pPr>
              <w:spacing w:after="0"/>
              <w:rPr>
                <w:sz w:val="19"/>
                <w:szCs w:val="19"/>
                <w:color w:val="auto"/>
              </w:rPr>
            </w:pPr>
          </w:p>
        </w:tc>
        <w:tc>
          <w:tcPr>
            <w:tcW w:w="440" w:type="dxa"/>
            <w:vAlign w:val="bottom"/>
            <w:shd w:val="clear" w:color="auto" w:fill="004054"/>
          </w:tcPr>
          <w:p>
            <w:pPr>
              <w:spacing w:after="0"/>
              <w:rPr>
                <w:sz w:val="19"/>
                <w:szCs w:val="19"/>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40" w:type="dxa"/>
            <w:vAlign w:val="bottom"/>
            <w:shd w:val="clear" w:color="auto" w:fill="004054"/>
          </w:tcPr>
          <w:p>
            <w:pPr>
              <w:spacing w:after="0"/>
              <w:rPr>
                <w:sz w:val="19"/>
                <w:szCs w:val="19"/>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5200" w:type="dxa"/>
            <w:vAlign w:val="bottom"/>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320" w:type="dxa"/>
            <w:vAlign w:val="bottom"/>
            <w:shd w:val="clear" w:color="auto" w:fill="004054"/>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240" w:type="dxa"/>
            <w:vAlign w:val="bottom"/>
            <w:shd w:val="clear" w:color="auto" w:fill="004054"/>
          </w:tcPr>
          <w:p>
            <w:pPr>
              <w:spacing w:after="0"/>
              <w:rPr>
                <w:sz w:val="6"/>
                <w:szCs w:val="6"/>
                <w:color w:val="auto"/>
              </w:rPr>
            </w:pPr>
          </w:p>
        </w:tc>
        <w:tc>
          <w:tcPr>
            <w:tcW w:w="1240" w:type="dxa"/>
            <w:vAlign w:val="bottom"/>
            <w:shd w:val="clear" w:color="auto" w:fill="004054"/>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Income tax beneft</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ind w:right="56"/>
              <w:spacing w:after="0"/>
              <w:rPr>
                <w:sz w:val="20"/>
                <w:szCs w:val="20"/>
                <w:color w:val="auto"/>
              </w:rPr>
            </w:pPr>
            <w:r>
              <w:rPr>
                <w:rFonts w:ascii="Arial" w:cs="Arial" w:eastAsia="Arial" w:hAnsi="Arial"/>
                <w:sz w:val="18"/>
                <w:szCs w:val="18"/>
                <w:color w:val="51555C"/>
              </w:rPr>
              <w:t>(10,200)</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320" w:type="dxa"/>
            <w:vAlign w:val="bottom"/>
            <w:tcBorders>
              <w:bottom w:val="single" w:sz="8" w:color="EBFBFF"/>
            </w:tcBorders>
            <w:shd w:val="clear" w:color="auto" w:fill="EBFBFF"/>
          </w:tcPr>
          <w:p>
            <w:pPr>
              <w:jc w:val="right"/>
              <w:ind w:right="81"/>
              <w:spacing w:after="0"/>
              <w:rPr>
                <w:sz w:val="20"/>
                <w:szCs w:val="20"/>
                <w:color w:val="auto"/>
              </w:rPr>
            </w:pPr>
            <w:r>
              <w:rPr>
                <w:rFonts w:ascii="Arial" w:cs="Arial" w:eastAsia="Arial" w:hAnsi="Arial"/>
                <w:sz w:val="18"/>
                <w:szCs w:val="18"/>
                <w:color w:val="51555C"/>
              </w:rPr>
              <w:t>(2,367)</w:t>
            </w:r>
          </w:p>
        </w:tc>
        <w:tc>
          <w:tcPr>
            <w:tcW w:w="520" w:type="dxa"/>
            <w:vAlign w:val="bottom"/>
            <w:tcBorders>
              <w:bottom w:val="single" w:sz="8" w:color="EBFBFF"/>
            </w:tcBorders>
            <w:gridSpan w:val="2"/>
            <w:shd w:val="clear" w:color="auto" w:fill="EBFBFF"/>
          </w:tcPr>
          <w:p>
            <w:pPr>
              <w:jc w:val="right"/>
              <w:ind w:right="300"/>
              <w:spacing w:after="0"/>
              <w:rPr>
                <w:sz w:val="20"/>
                <w:szCs w:val="20"/>
                <w:color w:val="auto"/>
              </w:rPr>
            </w:pPr>
            <w:r>
              <w:rPr>
                <w:rFonts w:ascii="Arial" w:cs="Arial" w:eastAsia="Arial" w:hAnsi="Arial"/>
                <w:sz w:val="18"/>
                <w:szCs w:val="18"/>
                <w:color w:val="51555C"/>
              </w:rPr>
              <w:t>$</w:t>
            </w:r>
          </w:p>
        </w:tc>
        <w:tc>
          <w:tcPr>
            <w:tcW w:w="1060" w:type="dxa"/>
            <w:vAlign w:val="bottom"/>
            <w:tcBorders>
              <w:bottom w:val="single" w:sz="8" w:color="EBFBFF"/>
            </w:tcBorders>
            <w:shd w:val="clear" w:color="auto" w:fill="EBFBFF"/>
          </w:tcPr>
          <w:p>
            <w:pPr>
              <w:jc w:val="right"/>
              <w:ind w:right="56"/>
              <w:spacing w:after="0"/>
              <w:rPr>
                <w:sz w:val="20"/>
                <w:szCs w:val="20"/>
                <w:color w:val="auto"/>
              </w:rPr>
            </w:pPr>
            <w:r>
              <w:rPr>
                <w:rFonts w:ascii="Arial" w:cs="Arial" w:eastAsia="Arial" w:hAnsi="Arial"/>
                <w:sz w:val="18"/>
                <w:szCs w:val="18"/>
                <w:color w:val="51555C"/>
              </w:rPr>
              <w:t>(14,101)</w:t>
            </w: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79"/>
              </w:rPr>
              <w:t>$</w:t>
            </w:r>
          </w:p>
        </w:tc>
        <w:tc>
          <w:tcPr>
            <w:tcW w:w="1240" w:type="dxa"/>
            <w:vAlign w:val="bottom"/>
            <w:tcBorders>
              <w:bottom w:val="single" w:sz="8" w:color="EBFBFF"/>
            </w:tcBorders>
            <w:shd w:val="clear" w:color="auto" w:fill="EBFBFF"/>
          </w:tcPr>
          <w:p>
            <w:pPr>
              <w:jc w:val="right"/>
              <w:ind w:right="81"/>
              <w:spacing w:after="0"/>
              <w:rPr>
                <w:sz w:val="20"/>
                <w:szCs w:val="20"/>
                <w:color w:val="auto"/>
              </w:rPr>
            </w:pPr>
            <w:r>
              <w:rPr>
                <w:rFonts w:ascii="Arial" w:cs="Arial" w:eastAsia="Arial" w:hAnsi="Arial"/>
                <w:sz w:val="18"/>
                <w:szCs w:val="18"/>
                <w:color w:val="51555C"/>
              </w:rPr>
              <w:t>(4,417)</w:t>
            </w:r>
          </w:p>
        </w:tc>
      </w:tr>
      <w:tr>
        <w:trPr>
          <w:trHeight w:val="227"/>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51555C"/>
              </w:rPr>
              <w:t>Efectve income tax rate</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126.0 %</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51555C"/>
              </w:rPr>
              <w:t>40.9 %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52.8 %</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24.2 %</w:t>
            </w:r>
          </w:p>
        </w:tc>
      </w:tr>
      <w:tr>
        <w:trPr>
          <w:trHeight w:val="43"/>
        </w:trPr>
        <w:tc>
          <w:tcPr>
            <w:tcW w:w="20" w:type="dxa"/>
            <w:vAlign w:val="bottom"/>
          </w:tcPr>
          <w:p>
            <w:pPr>
              <w:spacing w:after="0"/>
              <w:rPr>
                <w:sz w:val="3"/>
                <w:szCs w:val="3"/>
                <w:color w:val="auto"/>
              </w:rPr>
            </w:pPr>
          </w:p>
        </w:tc>
        <w:tc>
          <w:tcPr>
            <w:tcW w:w="5200" w:type="dxa"/>
            <w:vAlign w:val="bottom"/>
            <w:tcBorders>
              <w:bottom w:val="single" w:sz="8" w:color="0CD973"/>
            </w:tcBorders>
          </w:tcPr>
          <w:p>
            <w:pPr>
              <w:spacing w:after="0"/>
              <w:rPr>
                <w:sz w:val="3"/>
                <w:szCs w:val="3"/>
                <w:color w:val="auto"/>
              </w:rPr>
            </w:pPr>
          </w:p>
        </w:tc>
        <w:tc>
          <w:tcPr>
            <w:tcW w:w="420" w:type="dxa"/>
            <w:vAlign w:val="bottom"/>
            <w:tcBorders>
              <w:bottom w:val="single" w:sz="8" w:color="0CD973"/>
            </w:tcBorders>
          </w:tcPr>
          <w:p>
            <w:pPr>
              <w:spacing w:after="0"/>
              <w:rPr>
                <w:sz w:val="3"/>
                <w:szCs w:val="3"/>
                <w:color w:val="auto"/>
              </w:rPr>
            </w:pPr>
          </w:p>
        </w:tc>
        <w:tc>
          <w:tcPr>
            <w:tcW w:w="1060" w:type="dxa"/>
            <w:vAlign w:val="bottom"/>
            <w:tcBorders>
              <w:bottom w:val="single" w:sz="8" w:color="0CD973"/>
            </w:tcBorders>
          </w:tcPr>
          <w:p>
            <w:pPr>
              <w:spacing w:after="0"/>
              <w:rPr>
                <w:sz w:val="3"/>
                <w:szCs w:val="3"/>
                <w:color w:val="auto"/>
              </w:rPr>
            </w:pPr>
          </w:p>
        </w:tc>
        <w:tc>
          <w:tcPr>
            <w:tcW w:w="160" w:type="dxa"/>
            <w:vAlign w:val="bottom"/>
            <w:tcBorders>
              <w:bottom w:val="single" w:sz="8" w:color="0CD973"/>
            </w:tcBorders>
          </w:tcPr>
          <w:p>
            <w:pPr>
              <w:spacing w:after="0"/>
              <w:rPr>
                <w:sz w:val="3"/>
                <w:szCs w:val="3"/>
                <w:color w:val="auto"/>
              </w:rPr>
            </w:pPr>
          </w:p>
        </w:tc>
        <w:tc>
          <w:tcPr>
            <w:tcW w:w="1320" w:type="dxa"/>
            <w:vAlign w:val="bottom"/>
            <w:tcBorders>
              <w:bottom w:val="single" w:sz="8" w:color="0CD973"/>
            </w:tcBorders>
          </w:tcPr>
          <w:p>
            <w:pPr>
              <w:spacing w:after="0"/>
              <w:rPr>
                <w:sz w:val="3"/>
                <w:szCs w:val="3"/>
                <w:color w:val="auto"/>
              </w:rPr>
            </w:pPr>
          </w:p>
        </w:tc>
        <w:tc>
          <w:tcPr>
            <w:tcW w:w="80" w:type="dxa"/>
            <w:vAlign w:val="bottom"/>
            <w:tcBorders>
              <w:bottom w:val="single" w:sz="8" w:color="0CD973"/>
            </w:tcBorders>
          </w:tcPr>
          <w:p>
            <w:pPr>
              <w:spacing w:after="0"/>
              <w:rPr>
                <w:sz w:val="3"/>
                <w:szCs w:val="3"/>
                <w:color w:val="auto"/>
              </w:rPr>
            </w:pPr>
          </w:p>
        </w:tc>
        <w:tc>
          <w:tcPr>
            <w:tcW w:w="440" w:type="dxa"/>
            <w:vAlign w:val="bottom"/>
            <w:tcBorders>
              <w:bottom w:val="single" w:sz="8" w:color="0CD973"/>
            </w:tcBorders>
          </w:tcPr>
          <w:p>
            <w:pPr>
              <w:spacing w:after="0"/>
              <w:rPr>
                <w:sz w:val="3"/>
                <w:szCs w:val="3"/>
                <w:color w:val="auto"/>
              </w:rPr>
            </w:pPr>
          </w:p>
        </w:tc>
        <w:tc>
          <w:tcPr>
            <w:tcW w:w="1060" w:type="dxa"/>
            <w:vAlign w:val="bottom"/>
            <w:tcBorders>
              <w:bottom w:val="single" w:sz="8" w:color="0CD973"/>
            </w:tcBorders>
          </w:tcPr>
          <w:p>
            <w:pPr>
              <w:spacing w:after="0"/>
              <w:rPr>
                <w:sz w:val="3"/>
                <w:szCs w:val="3"/>
                <w:color w:val="auto"/>
              </w:rPr>
            </w:pPr>
          </w:p>
        </w:tc>
        <w:tc>
          <w:tcPr>
            <w:tcW w:w="240" w:type="dxa"/>
            <w:vAlign w:val="bottom"/>
            <w:tcBorders>
              <w:bottom w:val="single" w:sz="8" w:color="0CD973"/>
            </w:tcBorders>
          </w:tcPr>
          <w:p>
            <w:pPr>
              <w:spacing w:after="0"/>
              <w:rPr>
                <w:sz w:val="3"/>
                <w:szCs w:val="3"/>
                <w:color w:val="auto"/>
              </w:rPr>
            </w:pPr>
          </w:p>
        </w:tc>
        <w:tc>
          <w:tcPr>
            <w:tcW w:w="1240" w:type="dxa"/>
            <w:vAlign w:val="bottom"/>
            <w:tcBorders>
              <w:bottom w:val="single" w:sz="8" w:color="0CD97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-513715</wp:posOffset>
            </wp:positionV>
            <wp:extent cx="38061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increases in our efectve income tax rate for the three and six months ended June 30, 2023, when compared to the same periods in 2022 were primarily atributable to unfavorable impact of non-deductble Security Incident accruals. See Note 8 to these unaudited, condensed consolidated fnancial statements for additonal informaton about our loss contngency accruals related to the Security Incident.</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51555C"/>
        </w:rPr>
        <w:t>For the three and six months ended June 30, 2022, we utlized the discrete efectve tax rate method, as allowed by ASC 740-270-30-18, Income Taxes— Interim Reportng, to calculate our interim income tax provision. The discrete method is applied when the applicaton of the estmated annual efectve tax rate is impractcal because it is not possible to reliably estmate the annual efectve tax rate. The discrete method treats the year-to-date period as if it was the annual period and determines the income tax expense or beneft on that basis. For the three and six months ended June 30, 2023 we have utlized the annual efectve tax rate method, as we believe it can now be reliably estmated. This methodology requires us to apply our estmated annual efectve tax rate to year-to-date pre-tax earnings. During the second quarter of 2023, our estmated annual efectve tax rate increased due to the unfavorable impacts of non-deductble Security Incident accruals and its impact on pre-tax earnings. This increase, when applied to quarter-to-date and year-to-date date pre-tax losses, resulted in recogniton of income tax benefts at 126.0% and 52.8%, respectvely.</w:t>
      </w:r>
    </w:p>
    <w:p>
      <w:pPr>
        <w:spacing w:after="0" w:line="336"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20</w:t>
      </w:r>
      <w:r>
        <w:rPr>
          <w:sz w:val="20"/>
          <w:szCs w:val="20"/>
          <w:color w:val="auto"/>
        </w:rPr>
        <w:tab/>
      </w:r>
      <w:r>
        <w:rPr>
          <w:sz w:val="1"/>
          <w:szCs w:val="1"/>
          <w:color w:val="auto"/>
        </w:rPr>
        <w:drawing>
          <wp:inline distT="0" distB="0" distL="0" distR="0">
            <wp:extent cx="651510" cy="1714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10.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Changes in accumulated other comprehensive income (loss) by component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accumulated other comprehensive income (loss) by component,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65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200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right w:val="single" w:sz="8" w:color="004054"/>
            </w:tcBorders>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820" w:type="dxa"/>
            <w:vAlign w:val="bottom"/>
            <w:shd w:val="clear" w:color="auto" w:fill="004054"/>
          </w:tcPr>
          <w:p>
            <w:pPr>
              <w:spacing w:after="0"/>
              <w:rPr>
                <w:sz w:val="15"/>
                <w:szCs w:val="15"/>
                <w:color w:val="auto"/>
              </w:rPr>
            </w:pPr>
          </w:p>
        </w:tc>
        <w:tc>
          <w:tcPr>
            <w:tcW w:w="11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w w:val="91"/>
              </w:rPr>
              <w:t>Six months ended</w:t>
            </w:r>
          </w:p>
        </w:tc>
      </w:tr>
      <w:tr>
        <w:trPr>
          <w:trHeight w:val="184"/>
        </w:trPr>
        <w:tc>
          <w:tcPr>
            <w:tcW w:w="20" w:type="dxa"/>
            <w:vAlign w:val="bottom"/>
            <w:shd w:val="clear" w:color="auto" w:fill="004054"/>
          </w:tcPr>
          <w:p>
            <w:pPr>
              <w:spacing w:after="0"/>
              <w:rPr>
                <w:sz w:val="15"/>
                <w:szCs w:val="15"/>
                <w:color w:val="auto"/>
              </w:rPr>
            </w:pPr>
          </w:p>
        </w:tc>
        <w:tc>
          <w:tcPr>
            <w:tcW w:w="65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820" w:type="dxa"/>
            <w:vAlign w:val="bottom"/>
            <w:shd w:val="clear" w:color="auto" w:fill="004054"/>
          </w:tcPr>
          <w:p>
            <w:pPr>
              <w:spacing w:after="0"/>
              <w:rPr>
                <w:sz w:val="15"/>
                <w:szCs w:val="15"/>
                <w:color w:val="auto"/>
              </w:rPr>
            </w:pPr>
          </w:p>
        </w:tc>
        <w:tc>
          <w:tcPr>
            <w:tcW w:w="320" w:type="dxa"/>
            <w:vAlign w:val="bottom"/>
            <w:shd w:val="clear" w:color="auto" w:fill="004054"/>
          </w:tcPr>
          <w:p>
            <w:pPr>
              <w:spacing w:after="0"/>
              <w:rPr>
                <w:sz w:val="15"/>
                <w:szCs w:val="15"/>
                <w:color w:val="auto"/>
              </w:rPr>
            </w:pPr>
          </w:p>
        </w:tc>
        <w:tc>
          <w:tcPr>
            <w:tcW w:w="8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Borders>
              <w:right w:val="single" w:sz="8" w:color="004054"/>
            </w:tcBorders>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820" w:type="dxa"/>
            <w:vAlign w:val="bottom"/>
            <w:shd w:val="clear" w:color="auto" w:fill="004054"/>
          </w:tcPr>
          <w:p>
            <w:pPr>
              <w:spacing w:after="0"/>
              <w:rPr>
                <w:sz w:val="15"/>
                <w:szCs w:val="15"/>
                <w:color w:val="auto"/>
              </w:rPr>
            </w:pPr>
          </w:p>
        </w:tc>
        <w:tc>
          <w:tcPr>
            <w:tcW w:w="320" w:type="dxa"/>
            <w:vAlign w:val="bottom"/>
            <w:shd w:val="clear" w:color="auto" w:fill="004054"/>
          </w:tcPr>
          <w:p>
            <w:pPr>
              <w:spacing w:after="0"/>
              <w:rPr>
                <w:sz w:val="15"/>
                <w:szCs w:val="15"/>
                <w:color w:val="auto"/>
              </w:rPr>
            </w:pPr>
          </w:p>
        </w:tc>
        <w:tc>
          <w:tcPr>
            <w:tcW w:w="8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0"/>
        </w:trPr>
        <w:tc>
          <w:tcPr>
            <w:tcW w:w="20" w:type="dxa"/>
            <w:vAlign w:val="bottom"/>
            <w:shd w:val="clear" w:color="auto" w:fill="004054"/>
          </w:tcPr>
          <w:p>
            <w:pPr>
              <w:spacing w:after="0"/>
              <w:rPr>
                <w:sz w:val="19"/>
                <w:szCs w:val="19"/>
                <w:color w:val="auto"/>
              </w:rPr>
            </w:pPr>
          </w:p>
        </w:tc>
        <w:tc>
          <w:tcPr>
            <w:tcW w:w="654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(in thousands)</w:t>
            </w:r>
          </w:p>
        </w:tc>
        <w:tc>
          <w:tcPr>
            <w:tcW w:w="300" w:type="dxa"/>
            <w:vAlign w:val="bottom"/>
            <w:shd w:val="clear" w:color="auto" w:fill="004054"/>
          </w:tcPr>
          <w:p>
            <w:pPr>
              <w:spacing w:after="0"/>
              <w:rPr>
                <w:sz w:val="19"/>
                <w:szCs w:val="19"/>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20" w:type="dxa"/>
            <w:vAlign w:val="bottom"/>
            <w:shd w:val="clear" w:color="auto" w:fill="004054"/>
          </w:tcPr>
          <w:p>
            <w:pPr>
              <w:spacing w:after="0"/>
              <w:rPr>
                <w:sz w:val="19"/>
                <w:szCs w:val="19"/>
                <w:color w:val="auto"/>
              </w:rPr>
            </w:pPr>
          </w:p>
        </w:tc>
        <w:tc>
          <w:tcPr>
            <w:tcW w:w="8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Borders>
              <w:right w:val="single" w:sz="8" w:color="004054"/>
            </w:tcBorders>
          </w:tcPr>
          <w:p>
            <w:pPr>
              <w:spacing w:after="0"/>
              <w:rPr>
                <w:sz w:val="19"/>
                <w:szCs w:val="19"/>
                <w:color w:val="auto"/>
              </w:rPr>
            </w:pPr>
          </w:p>
        </w:tc>
        <w:tc>
          <w:tcPr>
            <w:tcW w:w="300" w:type="dxa"/>
            <w:vAlign w:val="bottom"/>
            <w:shd w:val="clear" w:color="auto" w:fill="004054"/>
          </w:tcPr>
          <w:p>
            <w:pPr>
              <w:spacing w:after="0"/>
              <w:rPr>
                <w:sz w:val="19"/>
                <w:szCs w:val="19"/>
                <w:color w:val="auto"/>
              </w:rPr>
            </w:pPr>
          </w:p>
        </w:tc>
        <w:tc>
          <w:tcPr>
            <w:tcW w:w="8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20" w:type="dxa"/>
            <w:vAlign w:val="bottom"/>
            <w:shd w:val="clear" w:color="auto" w:fill="004054"/>
          </w:tcPr>
          <w:p>
            <w:pPr>
              <w:spacing w:after="0"/>
              <w:rPr>
                <w:sz w:val="19"/>
                <w:szCs w:val="19"/>
                <w:color w:val="auto"/>
              </w:rPr>
            </w:pPr>
          </w:p>
        </w:tc>
        <w:tc>
          <w:tcPr>
            <w:tcW w:w="8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70"/>
        </w:trPr>
        <w:tc>
          <w:tcPr>
            <w:tcW w:w="20" w:type="dxa"/>
            <w:vAlign w:val="bottom"/>
            <w:shd w:val="clear" w:color="auto" w:fill="004054"/>
          </w:tcPr>
          <w:p>
            <w:pPr>
              <w:spacing w:after="0"/>
              <w:rPr>
                <w:sz w:val="6"/>
                <w:szCs w:val="6"/>
                <w:color w:val="auto"/>
              </w:rPr>
            </w:pPr>
          </w:p>
        </w:tc>
        <w:tc>
          <w:tcPr>
            <w:tcW w:w="654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820" w:type="dxa"/>
            <w:vAlign w:val="bottom"/>
            <w:shd w:val="clear" w:color="auto" w:fill="004054"/>
          </w:tcPr>
          <w:p>
            <w:pPr>
              <w:spacing w:after="0"/>
              <w:rPr>
                <w:sz w:val="6"/>
                <w:szCs w:val="6"/>
                <w:color w:val="auto"/>
              </w:rPr>
            </w:pPr>
          </w:p>
        </w:tc>
        <w:tc>
          <w:tcPr>
            <w:tcW w:w="320" w:type="dxa"/>
            <w:vAlign w:val="bottom"/>
            <w:shd w:val="clear" w:color="auto" w:fill="004054"/>
          </w:tcPr>
          <w:p>
            <w:pPr>
              <w:spacing w:after="0"/>
              <w:rPr>
                <w:sz w:val="6"/>
                <w:szCs w:val="6"/>
                <w:color w:val="auto"/>
              </w:rPr>
            </w:pPr>
          </w:p>
        </w:tc>
        <w:tc>
          <w:tcPr>
            <w:tcW w:w="860" w:type="dxa"/>
            <w:vAlign w:val="bottom"/>
            <w:tcBorders>
              <w:right w:val="single" w:sz="8" w:color="004054"/>
            </w:tcBorders>
            <w:shd w:val="clear" w:color="auto" w:fill="004054"/>
          </w:tcPr>
          <w:p>
            <w:pPr>
              <w:spacing w:after="0"/>
              <w:rPr>
                <w:sz w:val="6"/>
                <w:szCs w:val="6"/>
                <w:color w:val="auto"/>
              </w:rPr>
            </w:pPr>
          </w:p>
        </w:tc>
        <w:tc>
          <w:tcPr>
            <w:tcW w:w="100" w:type="dxa"/>
            <w:vAlign w:val="bottom"/>
            <w:tcBorders>
              <w:right w:val="single" w:sz="8" w:color="004054"/>
            </w:tcBorders>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820" w:type="dxa"/>
            <w:vAlign w:val="bottom"/>
            <w:shd w:val="clear" w:color="auto" w:fill="004054"/>
          </w:tcPr>
          <w:p>
            <w:pPr>
              <w:spacing w:after="0"/>
              <w:rPr>
                <w:sz w:val="6"/>
                <w:szCs w:val="6"/>
                <w:color w:val="auto"/>
              </w:rPr>
            </w:pPr>
          </w:p>
        </w:tc>
        <w:tc>
          <w:tcPr>
            <w:tcW w:w="32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beginning of period</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7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404</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15,295</w:t>
            </w:r>
          </w:p>
        </w:tc>
        <w:tc>
          <w:tcPr>
            <w:tcW w:w="400" w:type="dxa"/>
            <w:vAlign w:val="bottom"/>
            <w:tcBorders>
              <w:bottom w:val="single" w:sz="8" w:color="EBFBFF"/>
            </w:tcBorders>
            <w:gridSpan w:val="2"/>
            <w:shd w:val="clear" w:color="auto" w:fill="EBFBFF"/>
          </w:tcPr>
          <w:p>
            <w:pPr>
              <w:jc w:val="right"/>
              <w:ind w:right="110"/>
              <w:spacing w:after="0"/>
              <w:rPr>
                <w:sz w:val="20"/>
                <w:szCs w:val="20"/>
                <w:color w:val="auto"/>
              </w:rPr>
            </w:pPr>
            <w:r>
              <w:rPr>
                <w:rFonts w:ascii="Arial" w:cs="Arial" w:eastAsia="Arial" w:hAnsi="Arial"/>
                <w:sz w:val="18"/>
                <w:szCs w:val="18"/>
                <w:color w:val="51555C"/>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8,938</w:t>
            </w:r>
          </w:p>
        </w:tc>
        <w:tc>
          <w:tcPr>
            <w:tcW w:w="320" w:type="dxa"/>
            <w:vAlign w:val="bottom"/>
            <w:tcBorders>
              <w:bottom w:val="single" w:sz="8" w:color="EBFBFF"/>
            </w:tcBorders>
            <w:shd w:val="clear" w:color="auto" w:fill="EBFBFF"/>
          </w:tcPr>
          <w:p>
            <w:pPr>
              <w:jc w:val="right"/>
              <w:ind w:right="113"/>
              <w:spacing w:after="0"/>
              <w:rPr>
                <w:sz w:val="20"/>
                <w:szCs w:val="20"/>
                <w:color w:val="auto"/>
              </w:rPr>
            </w:pPr>
            <w:r>
              <w:rPr>
                <w:rFonts w:ascii="Arial" w:cs="Arial" w:eastAsia="Arial" w:hAnsi="Arial"/>
                <w:sz w:val="18"/>
                <w:szCs w:val="18"/>
                <w:color w:val="51555C"/>
                <w:w w:val="99"/>
              </w:rPr>
              <w:t>$</w:t>
            </w: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6,522</w:t>
            </w:r>
          </w:p>
        </w:tc>
      </w:tr>
      <w:tr>
        <w:trPr>
          <w:trHeight w:val="231"/>
        </w:trPr>
        <w:tc>
          <w:tcPr>
            <w:tcW w:w="20" w:type="dxa"/>
            <w:vAlign w:val="bottom"/>
          </w:tcPr>
          <w:p>
            <w:pPr>
              <w:spacing w:after="0"/>
              <w:rPr>
                <w:sz w:val="20"/>
                <w:szCs w:val="20"/>
                <w:color w:val="auto"/>
              </w:rPr>
            </w:pPr>
          </w:p>
        </w:tc>
        <w:tc>
          <w:tcPr>
            <w:tcW w:w="6540" w:type="dxa"/>
            <w:vAlign w:val="bottom"/>
          </w:tcPr>
          <w:p>
            <w:pPr>
              <w:ind w:left="20"/>
              <w:spacing w:after="0"/>
              <w:rPr>
                <w:sz w:val="20"/>
                <w:szCs w:val="20"/>
                <w:color w:val="auto"/>
              </w:rPr>
            </w:pPr>
            <w:r>
              <w:rPr>
                <w:rFonts w:ascii="Arial" w:cs="Arial" w:eastAsia="Arial" w:hAnsi="Arial"/>
                <w:sz w:val="18"/>
                <w:szCs w:val="18"/>
                <w:b w:val="1"/>
                <w:bCs w:val="1"/>
                <w:color w:val="51555C"/>
              </w:rPr>
              <w:t>By component:</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Gains and losses on cash fow hedges:</w:t>
            </w: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right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220"/>
              <w:spacing w:after="0"/>
              <w:rPr>
                <w:sz w:val="20"/>
                <w:szCs w:val="20"/>
                <w:color w:val="auto"/>
              </w:rPr>
            </w:pPr>
            <w:r>
              <w:rPr>
                <w:rFonts w:ascii="Arial" w:cs="Arial" w:eastAsia="Arial" w:hAnsi="Arial"/>
                <w:sz w:val="18"/>
                <w:szCs w:val="18"/>
                <w:color w:val="51555C"/>
              </w:rPr>
              <w:t>Accumulated other comprehensive income 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51555C"/>
                <w:w w:val="79"/>
              </w:rPr>
              <w:t>$</w:t>
            </w:r>
          </w:p>
        </w:tc>
        <w:tc>
          <w:tcPr>
            <w:tcW w:w="820" w:type="dxa"/>
            <w:vAlign w:val="bottom"/>
          </w:tcPr>
          <w:p>
            <w:pPr>
              <w:jc w:val="right"/>
              <w:spacing w:after="0"/>
              <w:rPr>
                <w:sz w:val="20"/>
                <w:szCs w:val="20"/>
                <w:color w:val="auto"/>
              </w:rPr>
            </w:pPr>
            <w:r>
              <w:rPr>
                <w:rFonts w:ascii="Arial" w:cs="Arial" w:eastAsia="Arial" w:hAnsi="Arial"/>
                <w:sz w:val="18"/>
                <w:szCs w:val="18"/>
                <w:color w:val="51555C"/>
              </w:rPr>
              <w:t>13,141</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16,162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51555C"/>
              </w:rPr>
              <w:t>$</w:t>
            </w:r>
          </w:p>
        </w:tc>
        <w:tc>
          <w:tcPr>
            <w:tcW w:w="820" w:type="dxa"/>
            <w:vAlign w:val="bottom"/>
          </w:tcPr>
          <w:p>
            <w:pPr>
              <w:jc w:val="right"/>
              <w:spacing w:after="0"/>
              <w:rPr>
                <w:sz w:val="20"/>
                <w:szCs w:val="20"/>
                <w:color w:val="auto"/>
              </w:rPr>
            </w:pPr>
            <w:r>
              <w:rPr>
                <w:rFonts w:ascii="Arial" w:cs="Arial" w:eastAsia="Arial" w:hAnsi="Arial"/>
                <w:sz w:val="18"/>
                <w:szCs w:val="18"/>
                <w:color w:val="51555C"/>
              </w:rPr>
              <w:t>23,833</w:t>
            </w:r>
          </w:p>
        </w:tc>
        <w:tc>
          <w:tcPr>
            <w:tcW w:w="320" w:type="dxa"/>
            <w:vAlign w:val="bottom"/>
          </w:tcPr>
          <w:p>
            <w:pPr>
              <w:jc w:val="right"/>
              <w:ind w:right="113"/>
              <w:spacing w:after="0"/>
              <w:rPr>
                <w:sz w:val="20"/>
                <w:szCs w:val="20"/>
                <w:color w:val="auto"/>
              </w:rPr>
            </w:pPr>
            <w:r>
              <w:rPr>
                <w:rFonts w:ascii="Arial" w:cs="Arial" w:eastAsia="Arial" w:hAnsi="Arial"/>
                <w:sz w:val="18"/>
                <w:szCs w:val="18"/>
                <w:color w:val="51555C"/>
                <w:w w:val="99"/>
              </w:rPr>
              <w:t>$</w:t>
            </w:r>
          </w:p>
        </w:tc>
        <w:tc>
          <w:tcPr>
            <w:tcW w:w="840" w:type="dxa"/>
            <w:vAlign w:val="bottom"/>
          </w:tcPr>
          <w:p>
            <w:pPr>
              <w:jc w:val="right"/>
              <w:spacing w:after="0"/>
              <w:rPr>
                <w:sz w:val="20"/>
                <w:szCs w:val="20"/>
                <w:color w:val="auto"/>
              </w:rPr>
            </w:pPr>
            <w:r>
              <w:rPr>
                <w:rFonts w:ascii="Arial" w:cs="Arial" w:eastAsia="Arial" w:hAnsi="Arial"/>
                <w:sz w:val="18"/>
                <w:szCs w:val="18"/>
                <w:color w:val="51555C"/>
              </w:rPr>
              <w:t>5,257</w:t>
            </w:r>
          </w:p>
        </w:tc>
      </w:tr>
      <w:tr>
        <w:trPr>
          <w:trHeight w:val="43"/>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5"/>
        </w:trPr>
        <w:tc>
          <w:tcPr>
            <w:tcW w:w="20" w:type="dxa"/>
            <w:vAlign w:val="bottom"/>
          </w:tcPr>
          <w:p>
            <w:pPr>
              <w:spacing w:after="0"/>
              <w:rPr>
                <w:sz w:val="23"/>
                <w:szCs w:val="23"/>
                <w:color w:val="auto"/>
              </w:rPr>
            </w:pPr>
          </w:p>
        </w:tc>
        <w:tc>
          <w:tcPr>
            <w:tcW w:w="6540" w:type="dxa"/>
            <w:vAlign w:val="bottom"/>
            <w:shd w:val="clear" w:color="auto" w:fill="EBFBFF"/>
          </w:tcPr>
          <w:p>
            <w:pPr>
              <w:ind w:left="340"/>
              <w:spacing w:after="0"/>
              <w:rPr>
                <w:sz w:val="20"/>
                <w:szCs w:val="20"/>
                <w:color w:val="auto"/>
              </w:rPr>
            </w:pPr>
            <w:r>
              <w:rPr>
                <w:rFonts w:ascii="Arial" w:cs="Arial" w:eastAsia="Arial" w:hAnsi="Arial"/>
                <w:sz w:val="18"/>
                <w:szCs w:val="18"/>
                <w:color w:val="51555C"/>
                <w:w w:val="95"/>
              </w:rPr>
              <w:t>Other comprehensive income before reclassifcatons, net of tax efects of $(3,238),</w:t>
            </w:r>
          </w:p>
        </w:tc>
        <w:tc>
          <w:tcPr>
            <w:tcW w:w="300" w:type="dxa"/>
            <w:vAlign w:val="bottom"/>
            <w:shd w:val="clear" w:color="auto" w:fill="EBFBFF"/>
          </w:tcPr>
          <w:p>
            <w:pPr>
              <w:spacing w:after="0"/>
              <w:rPr>
                <w:sz w:val="23"/>
                <w:szCs w:val="23"/>
                <w:color w:val="auto"/>
              </w:rPr>
            </w:pPr>
          </w:p>
        </w:tc>
        <w:tc>
          <w:tcPr>
            <w:tcW w:w="820" w:type="dxa"/>
            <w:vAlign w:val="bottom"/>
            <w:shd w:val="clear" w:color="auto" w:fill="EBFBFF"/>
          </w:tcPr>
          <w:p>
            <w:pPr>
              <w:spacing w:after="0"/>
              <w:rPr>
                <w:sz w:val="23"/>
                <w:szCs w:val="23"/>
                <w:color w:val="auto"/>
              </w:rPr>
            </w:pPr>
          </w:p>
        </w:tc>
        <w:tc>
          <w:tcPr>
            <w:tcW w:w="320" w:type="dxa"/>
            <w:vAlign w:val="bottom"/>
            <w:shd w:val="clear" w:color="auto" w:fill="EBFBFF"/>
          </w:tcPr>
          <w:p>
            <w:pPr>
              <w:spacing w:after="0"/>
              <w:rPr>
                <w:sz w:val="23"/>
                <w:szCs w:val="23"/>
                <w:color w:val="auto"/>
              </w:rPr>
            </w:pPr>
          </w:p>
        </w:tc>
        <w:tc>
          <w:tcPr>
            <w:tcW w:w="860" w:type="dxa"/>
            <w:vAlign w:val="bottom"/>
            <w:tcBorders>
              <w:right w:val="single" w:sz="8" w:color="EBFBFF"/>
            </w:tcBorders>
            <w:shd w:val="clear" w:color="auto" w:fill="EBFBFF"/>
          </w:tcPr>
          <w:p>
            <w:pPr>
              <w:spacing w:after="0"/>
              <w:rPr>
                <w:sz w:val="23"/>
                <w:szCs w:val="23"/>
                <w:color w:val="auto"/>
              </w:rPr>
            </w:pPr>
          </w:p>
        </w:tc>
        <w:tc>
          <w:tcPr>
            <w:tcW w:w="100" w:type="dxa"/>
            <w:vAlign w:val="bottom"/>
            <w:tcBorders>
              <w:right w:val="single" w:sz="8" w:color="EBFBFF"/>
            </w:tcBorders>
            <w:shd w:val="clear" w:color="auto" w:fill="EBFBFF"/>
          </w:tcPr>
          <w:p>
            <w:pPr>
              <w:spacing w:after="0"/>
              <w:rPr>
                <w:sz w:val="23"/>
                <w:szCs w:val="23"/>
                <w:color w:val="auto"/>
              </w:rPr>
            </w:pPr>
          </w:p>
        </w:tc>
        <w:tc>
          <w:tcPr>
            <w:tcW w:w="300" w:type="dxa"/>
            <w:vAlign w:val="bottom"/>
            <w:shd w:val="clear" w:color="auto" w:fill="EBFBFF"/>
          </w:tcPr>
          <w:p>
            <w:pPr>
              <w:spacing w:after="0"/>
              <w:rPr>
                <w:sz w:val="23"/>
                <w:szCs w:val="23"/>
                <w:color w:val="auto"/>
              </w:rPr>
            </w:pPr>
          </w:p>
        </w:tc>
        <w:tc>
          <w:tcPr>
            <w:tcW w:w="820" w:type="dxa"/>
            <w:vAlign w:val="bottom"/>
            <w:shd w:val="clear" w:color="auto" w:fill="EBFBFF"/>
          </w:tcPr>
          <w:p>
            <w:pPr>
              <w:spacing w:after="0"/>
              <w:rPr>
                <w:sz w:val="23"/>
                <w:szCs w:val="23"/>
                <w:color w:val="auto"/>
              </w:rPr>
            </w:pPr>
          </w:p>
        </w:tc>
        <w:tc>
          <w:tcPr>
            <w:tcW w:w="320" w:type="dxa"/>
            <w:vAlign w:val="bottom"/>
            <w:shd w:val="clear" w:color="auto" w:fill="EBFBFF"/>
          </w:tcPr>
          <w:p>
            <w:pPr>
              <w:spacing w:after="0"/>
              <w:rPr>
                <w:sz w:val="23"/>
                <w:szCs w:val="23"/>
                <w:color w:val="auto"/>
              </w:rPr>
            </w:pPr>
          </w:p>
        </w:tc>
        <w:tc>
          <w:tcPr>
            <w:tcW w:w="840" w:type="dxa"/>
            <w:vAlign w:val="bottom"/>
            <w:shd w:val="clear" w:color="auto" w:fill="EBFBFF"/>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6540" w:type="dxa"/>
            <w:vAlign w:val="bottom"/>
            <w:tcBorders>
              <w:bottom w:val="single" w:sz="8" w:color="EBFBFF"/>
            </w:tcBorders>
            <w:shd w:val="clear" w:color="auto" w:fill="EBFBFF"/>
          </w:tcPr>
          <w:p>
            <w:pPr>
              <w:ind w:left="340"/>
              <w:spacing w:after="0"/>
              <w:rPr>
                <w:sz w:val="20"/>
                <w:szCs w:val="20"/>
                <w:color w:val="auto"/>
              </w:rPr>
            </w:pPr>
            <w:r>
              <w:rPr>
                <w:rFonts w:ascii="Arial" w:cs="Arial" w:eastAsia="Arial" w:hAnsi="Arial"/>
                <w:sz w:val="18"/>
                <w:szCs w:val="18"/>
                <w:color w:val="51555C"/>
              </w:rPr>
              <w:t>$(993) $(672) and $(4,782)</w:t>
            </w:r>
          </w:p>
        </w:tc>
        <w:tc>
          <w:tcPr>
            <w:tcW w:w="30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9,231</w:t>
            </w:r>
          </w:p>
        </w:tc>
        <w:tc>
          <w:tcPr>
            <w:tcW w:w="32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2,796</w:t>
            </w:r>
          </w:p>
        </w:tc>
        <w:tc>
          <w:tcPr>
            <w:tcW w:w="100" w:type="dxa"/>
            <w:vAlign w:val="bottom"/>
            <w:tcBorders>
              <w:bottom w:val="single" w:sz="8" w:color="EBFBFF"/>
              <w:right w:val="single" w:sz="8" w:color="EBFBFF"/>
            </w:tcBorders>
            <w:shd w:val="clear" w:color="auto" w:fill="EBFBFF"/>
          </w:tcPr>
          <w:p>
            <w:pPr>
              <w:spacing w:after="0"/>
              <w:rPr>
                <w:sz w:val="22"/>
                <w:szCs w:val="22"/>
                <w:color w:val="auto"/>
              </w:rPr>
            </w:pPr>
          </w:p>
        </w:tc>
        <w:tc>
          <w:tcPr>
            <w:tcW w:w="30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1,942</w:t>
            </w:r>
          </w:p>
        </w:tc>
        <w:tc>
          <w:tcPr>
            <w:tcW w:w="320" w:type="dxa"/>
            <w:vAlign w:val="bottom"/>
            <w:tcBorders>
              <w:bottom w:val="single" w:sz="8" w:color="EBFBFF"/>
            </w:tcBorders>
            <w:shd w:val="clear" w:color="auto" w:fill="EBFBFF"/>
          </w:tcPr>
          <w:p>
            <w:pPr>
              <w:spacing w:after="0"/>
              <w:rPr>
                <w:sz w:val="22"/>
                <w:szCs w:val="22"/>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13,437</w:t>
            </w:r>
          </w:p>
        </w:tc>
      </w:tr>
      <w:tr>
        <w:trPr>
          <w:trHeight w:val="227"/>
        </w:trPr>
        <w:tc>
          <w:tcPr>
            <w:tcW w:w="20" w:type="dxa"/>
            <w:vAlign w:val="bottom"/>
          </w:tcPr>
          <w:p>
            <w:pPr>
              <w:spacing w:after="0"/>
              <w:rPr>
                <w:sz w:val="19"/>
                <w:szCs w:val="19"/>
                <w:color w:val="auto"/>
              </w:rPr>
            </w:pPr>
          </w:p>
        </w:tc>
        <w:tc>
          <w:tcPr>
            <w:tcW w:w="6540" w:type="dxa"/>
            <w:vAlign w:val="bottom"/>
          </w:tcPr>
          <w:p>
            <w:pPr>
              <w:ind w:left="440"/>
              <w:spacing w:after="0"/>
              <w:rPr>
                <w:sz w:val="20"/>
                <w:szCs w:val="20"/>
                <w:color w:val="auto"/>
              </w:rPr>
            </w:pPr>
            <w:r>
              <w:rPr>
                <w:rFonts w:ascii="Arial" w:cs="Arial" w:eastAsia="Arial" w:hAnsi="Arial"/>
                <w:sz w:val="18"/>
                <w:szCs w:val="18"/>
                <w:color w:val="51555C"/>
              </w:rPr>
              <w:t>Amounts reclassifed from accumulated other comprehensive income</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51555C"/>
              </w:rPr>
              <w:t>(5,192)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51555C"/>
              </w:rPr>
              <w:t>(9,816)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51555C"/>
              </w:rPr>
              <w:t>35</w:t>
            </w:r>
          </w:p>
        </w:tc>
      </w:tr>
      <w:tr>
        <w:trPr>
          <w:trHeight w:val="43"/>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6540" w:type="dxa"/>
            <w:vAlign w:val="bottom"/>
            <w:tcBorders>
              <w:bottom w:val="single" w:sz="8" w:color="EBFBFF"/>
            </w:tcBorders>
            <w:shd w:val="clear" w:color="auto" w:fill="EBFBFF"/>
          </w:tcPr>
          <w:p>
            <w:pPr>
              <w:ind w:left="440"/>
              <w:spacing w:after="0"/>
              <w:rPr>
                <w:sz w:val="20"/>
                <w:szCs w:val="20"/>
                <w:color w:val="auto"/>
              </w:rPr>
            </w:pPr>
            <w:r>
              <w:rPr>
                <w:rFonts w:ascii="Arial" w:cs="Arial" w:eastAsia="Arial" w:hAnsi="Arial"/>
                <w:sz w:val="18"/>
                <w:szCs w:val="18"/>
                <w:color w:val="51555C"/>
              </w:rPr>
              <w:t>Tax expense (beneft) included in provision for income taxes</w:t>
            </w: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1,344</w:t>
            </w:r>
          </w:p>
        </w:tc>
        <w:tc>
          <w:tcPr>
            <w:tcW w:w="32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85</w:t>
            </w:r>
          </w:p>
        </w:tc>
        <w:tc>
          <w:tcPr>
            <w:tcW w:w="100" w:type="dxa"/>
            <w:vAlign w:val="bottom"/>
            <w:tcBorders>
              <w:bottom w:val="single" w:sz="8" w:color="EBFBFF"/>
              <w:right w:val="single" w:sz="8" w:color="EBFBFF"/>
            </w:tcBorders>
            <w:shd w:val="clear" w:color="auto" w:fill="EBFBFF"/>
          </w:tcPr>
          <w:p>
            <w:pPr>
              <w:spacing w:after="0"/>
              <w:rPr>
                <w:sz w:val="23"/>
                <w:szCs w:val="23"/>
                <w:color w:val="auto"/>
              </w:rPr>
            </w:pP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2,565</w:t>
            </w:r>
          </w:p>
        </w:tc>
        <w:tc>
          <w:tcPr>
            <w:tcW w:w="320" w:type="dxa"/>
            <w:vAlign w:val="bottom"/>
            <w:tcBorders>
              <w:bottom w:val="single" w:sz="8" w:color="EBFBFF"/>
            </w:tcBorders>
            <w:shd w:val="clear" w:color="auto" w:fill="EBFBFF"/>
          </w:tcPr>
          <w:p>
            <w:pPr>
              <w:spacing w:after="0"/>
              <w:rPr>
                <w:sz w:val="23"/>
                <w:szCs w:val="23"/>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w:t>
            </w:r>
          </w:p>
        </w:tc>
      </w:tr>
      <w:tr>
        <w:trPr>
          <w:trHeight w:val="228"/>
        </w:trPr>
        <w:tc>
          <w:tcPr>
            <w:tcW w:w="20" w:type="dxa"/>
            <w:vAlign w:val="bottom"/>
          </w:tcPr>
          <w:p>
            <w:pPr>
              <w:spacing w:after="0"/>
              <w:rPr>
                <w:sz w:val="19"/>
                <w:szCs w:val="19"/>
                <w:color w:val="auto"/>
              </w:rPr>
            </w:pPr>
          </w:p>
        </w:tc>
        <w:tc>
          <w:tcPr>
            <w:tcW w:w="6540" w:type="dxa"/>
            <w:vAlign w:val="bottom"/>
            <w:tcBorders>
              <w:top w:val="single" w:sz="8" w:color="EBFBFF"/>
            </w:tcBorders>
          </w:tcPr>
          <w:p>
            <w:pPr>
              <w:ind w:left="340"/>
              <w:spacing w:after="0"/>
              <w:rPr>
                <w:sz w:val="20"/>
                <w:szCs w:val="20"/>
                <w:color w:val="auto"/>
              </w:rPr>
            </w:pPr>
            <w:r>
              <w:rPr>
                <w:rFonts w:ascii="Arial" w:cs="Arial" w:eastAsia="Arial" w:hAnsi="Arial"/>
                <w:sz w:val="18"/>
                <w:szCs w:val="18"/>
                <w:color w:val="51555C"/>
              </w:rPr>
              <w:t>Total amounts reclassifed from accumulated other comprehensive income</w:t>
            </w:r>
          </w:p>
        </w:tc>
        <w:tc>
          <w:tcPr>
            <w:tcW w:w="300" w:type="dxa"/>
            <w:vAlign w:val="bottom"/>
            <w:tcBorders>
              <w:top w:val="single" w:sz="8" w:color="51555C"/>
            </w:tcBorders>
          </w:tcPr>
          <w:p>
            <w:pPr>
              <w:spacing w:after="0"/>
              <w:rPr>
                <w:sz w:val="19"/>
                <w:szCs w:val="19"/>
                <w:color w:val="auto"/>
              </w:rPr>
            </w:pPr>
          </w:p>
        </w:tc>
        <w:tc>
          <w:tcPr>
            <w:tcW w:w="8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(3,848)</w:t>
            </w:r>
          </w:p>
        </w:tc>
        <w:tc>
          <w:tcPr>
            <w:tcW w:w="320" w:type="dxa"/>
            <w:vAlign w:val="bottom"/>
            <w:tcBorders>
              <w:top w:val="single" w:sz="8" w:color="51555C"/>
            </w:tcBorders>
          </w:tcPr>
          <w:p>
            <w:pPr>
              <w:spacing w:after="0"/>
              <w:rPr>
                <w:sz w:val="19"/>
                <w:szCs w:val="19"/>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(238)</w:t>
            </w:r>
          </w:p>
        </w:tc>
        <w:tc>
          <w:tcPr>
            <w:tcW w:w="100" w:type="dxa"/>
            <w:vAlign w:val="bottom"/>
            <w:tcBorders>
              <w:top w:val="single" w:sz="8" w:color="EBFBFF"/>
            </w:tcBorders>
          </w:tcPr>
          <w:p>
            <w:pPr>
              <w:spacing w:after="0"/>
              <w:rPr>
                <w:sz w:val="19"/>
                <w:szCs w:val="19"/>
                <w:color w:val="auto"/>
              </w:rPr>
            </w:pPr>
          </w:p>
        </w:tc>
        <w:tc>
          <w:tcPr>
            <w:tcW w:w="300" w:type="dxa"/>
            <w:vAlign w:val="bottom"/>
            <w:tcBorders>
              <w:top w:val="single" w:sz="8" w:color="51555C"/>
            </w:tcBorders>
          </w:tcPr>
          <w:p>
            <w:pPr>
              <w:spacing w:after="0"/>
              <w:rPr>
                <w:sz w:val="19"/>
                <w:szCs w:val="19"/>
                <w:color w:val="auto"/>
              </w:rPr>
            </w:pPr>
          </w:p>
        </w:tc>
        <w:tc>
          <w:tcPr>
            <w:tcW w:w="8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(7,251)</w:t>
            </w:r>
          </w:p>
        </w:tc>
        <w:tc>
          <w:tcPr>
            <w:tcW w:w="320" w:type="dxa"/>
            <w:vAlign w:val="bottom"/>
            <w:tcBorders>
              <w:top w:val="single" w:sz="8" w:color="51555C"/>
            </w:tcBorders>
          </w:tcPr>
          <w:p>
            <w:pPr>
              <w:spacing w:after="0"/>
              <w:rPr>
                <w:sz w:val="19"/>
                <w:szCs w:val="19"/>
                <w:color w:val="auto"/>
              </w:rPr>
            </w:pPr>
          </w:p>
        </w:tc>
        <w:tc>
          <w:tcPr>
            <w:tcW w:w="8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w:t>
            </w:r>
          </w:p>
        </w:tc>
      </w:tr>
      <w:tr>
        <w:trPr>
          <w:trHeight w:val="35"/>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268"/>
        </w:trPr>
        <w:tc>
          <w:tcPr>
            <w:tcW w:w="20" w:type="dxa"/>
            <w:vAlign w:val="bottom"/>
          </w:tcPr>
          <w:p>
            <w:pPr>
              <w:spacing w:after="0"/>
              <w:rPr>
                <w:sz w:val="22"/>
                <w:szCs w:val="22"/>
                <w:color w:val="auto"/>
              </w:rPr>
            </w:pPr>
          </w:p>
        </w:tc>
        <w:tc>
          <w:tcPr>
            <w:tcW w:w="654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8"/>
                <w:szCs w:val="18"/>
                <w:color w:val="51555C"/>
              </w:rPr>
              <w:t>Net current-period other comprehensive income (loss)</w:t>
            </w:r>
          </w:p>
        </w:tc>
        <w:tc>
          <w:tcPr>
            <w:tcW w:w="30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5,383</w:t>
            </w:r>
          </w:p>
        </w:tc>
        <w:tc>
          <w:tcPr>
            <w:tcW w:w="32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2,558</w:t>
            </w:r>
          </w:p>
        </w:tc>
        <w:tc>
          <w:tcPr>
            <w:tcW w:w="100" w:type="dxa"/>
            <w:vAlign w:val="bottom"/>
            <w:tcBorders>
              <w:bottom w:val="single" w:sz="8" w:color="EBFBFF"/>
              <w:right w:val="single" w:sz="8" w:color="EBFBFF"/>
            </w:tcBorders>
            <w:shd w:val="clear" w:color="auto" w:fill="EBFBFF"/>
          </w:tcPr>
          <w:p>
            <w:pPr>
              <w:spacing w:after="0"/>
              <w:rPr>
                <w:sz w:val="22"/>
                <w:szCs w:val="22"/>
                <w:color w:val="auto"/>
              </w:rPr>
            </w:pPr>
          </w:p>
        </w:tc>
        <w:tc>
          <w:tcPr>
            <w:tcW w:w="30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(5,309)</w:t>
            </w:r>
          </w:p>
        </w:tc>
        <w:tc>
          <w:tcPr>
            <w:tcW w:w="320" w:type="dxa"/>
            <w:vAlign w:val="bottom"/>
            <w:tcBorders>
              <w:bottom w:val="single" w:sz="8" w:color="EBFBFF"/>
            </w:tcBorders>
            <w:shd w:val="clear" w:color="auto" w:fill="EBFBFF"/>
          </w:tcPr>
          <w:p>
            <w:pPr>
              <w:spacing w:after="0"/>
              <w:rPr>
                <w:sz w:val="22"/>
                <w:szCs w:val="22"/>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13,463</w:t>
            </w:r>
          </w:p>
        </w:tc>
      </w:tr>
      <w:tr>
        <w:trPr>
          <w:trHeight w:val="220"/>
        </w:trPr>
        <w:tc>
          <w:tcPr>
            <w:tcW w:w="20" w:type="dxa"/>
            <w:vAlign w:val="bottom"/>
          </w:tcPr>
          <w:p>
            <w:pPr>
              <w:spacing w:after="0"/>
              <w:rPr>
                <w:sz w:val="19"/>
                <w:szCs w:val="19"/>
                <w:color w:val="auto"/>
              </w:rPr>
            </w:pPr>
          </w:p>
        </w:tc>
        <w:tc>
          <w:tcPr>
            <w:tcW w:w="6540" w:type="dxa"/>
            <w:vAlign w:val="bottom"/>
            <w:tcBorders>
              <w:top w:val="single" w:sz="8" w:color="EBFBFF"/>
            </w:tcBorders>
          </w:tcPr>
          <w:p>
            <w:pPr>
              <w:ind w:left="220"/>
              <w:spacing w:after="0"/>
              <w:rPr>
                <w:sz w:val="20"/>
                <w:szCs w:val="20"/>
                <w:color w:val="auto"/>
              </w:rPr>
            </w:pPr>
            <w:r>
              <w:rPr>
                <w:rFonts w:ascii="Arial" w:cs="Arial" w:eastAsia="Arial" w:hAnsi="Arial"/>
                <w:sz w:val="18"/>
                <w:szCs w:val="18"/>
                <w:color w:val="51555C"/>
              </w:rPr>
              <w:t>Accumulated other comprehensive income balance, end of period</w:t>
            </w:r>
          </w:p>
        </w:tc>
        <w:tc>
          <w:tcPr>
            <w:tcW w:w="300" w:type="dxa"/>
            <w:vAlign w:val="bottom"/>
            <w:tcBorders>
              <w:top w:val="single" w:sz="8" w:color="51555C"/>
            </w:tcBorders>
          </w:tcPr>
          <w:p>
            <w:pPr>
              <w:jc w:val="right"/>
              <w:ind w:right="110"/>
              <w:spacing w:after="0"/>
              <w:rPr>
                <w:sz w:val="20"/>
                <w:szCs w:val="20"/>
                <w:color w:val="auto"/>
              </w:rPr>
            </w:pPr>
            <w:r>
              <w:rPr>
                <w:rFonts w:ascii="Arial" w:cs="Arial" w:eastAsia="Arial" w:hAnsi="Arial"/>
                <w:sz w:val="18"/>
                <w:szCs w:val="18"/>
                <w:color w:val="51555C"/>
                <w:w w:val="79"/>
              </w:rPr>
              <w:t>$</w:t>
            </w:r>
          </w:p>
        </w:tc>
        <w:tc>
          <w:tcPr>
            <w:tcW w:w="8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18,524</w:t>
            </w:r>
          </w:p>
        </w:tc>
        <w:tc>
          <w:tcPr>
            <w:tcW w:w="320" w:type="dxa"/>
            <w:vAlign w:val="bottom"/>
            <w:tcBorders>
              <w:top w:val="single" w:sz="8" w:color="51555C"/>
            </w:tcBorders>
          </w:tcPr>
          <w:p>
            <w:pPr>
              <w:jc w:val="right"/>
              <w:ind w:right="110"/>
              <w:spacing w:after="0"/>
              <w:rPr>
                <w:sz w:val="20"/>
                <w:szCs w:val="20"/>
                <w:color w:val="auto"/>
              </w:rPr>
            </w:pPr>
            <w:r>
              <w:rPr>
                <w:rFonts w:ascii="Arial" w:cs="Arial" w:eastAsia="Arial" w:hAnsi="Arial"/>
                <w:sz w:val="18"/>
                <w:szCs w:val="18"/>
                <w:color w:val="51555C"/>
                <w:w w:val="99"/>
              </w:rPr>
              <w:t>$</w:t>
            </w: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18,720</w:t>
            </w:r>
          </w:p>
        </w:tc>
        <w:tc>
          <w:tcPr>
            <w:tcW w:w="100" w:type="dxa"/>
            <w:vAlign w:val="bottom"/>
            <w:tcBorders>
              <w:top w:val="single" w:sz="8" w:color="EBFBFF"/>
            </w:tcBorders>
          </w:tcPr>
          <w:p>
            <w:pPr>
              <w:spacing w:after="0"/>
              <w:rPr>
                <w:sz w:val="19"/>
                <w:szCs w:val="19"/>
                <w:color w:val="auto"/>
              </w:rPr>
            </w:pPr>
          </w:p>
        </w:tc>
        <w:tc>
          <w:tcPr>
            <w:tcW w:w="300" w:type="dxa"/>
            <w:vAlign w:val="bottom"/>
            <w:tcBorders>
              <w:top w:val="single" w:sz="8" w:color="51555C"/>
            </w:tcBorders>
          </w:tcPr>
          <w:p>
            <w:pPr>
              <w:jc w:val="right"/>
              <w:ind w:right="110"/>
              <w:spacing w:after="0"/>
              <w:rPr>
                <w:sz w:val="20"/>
                <w:szCs w:val="20"/>
                <w:color w:val="auto"/>
              </w:rPr>
            </w:pPr>
            <w:r>
              <w:rPr>
                <w:rFonts w:ascii="Arial" w:cs="Arial" w:eastAsia="Arial" w:hAnsi="Arial"/>
                <w:sz w:val="18"/>
                <w:szCs w:val="18"/>
                <w:color w:val="51555C"/>
                <w:w w:val="79"/>
              </w:rPr>
              <w:t>$</w:t>
            </w:r>
          </w:p>
        </w:tc>
        <w:tc>
          <w:tcPr>
            <w:tcW w:w="8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18,524</w:t>
            </w:r>
          </w:p>
        </w:tc>
        <w:tc>
          <w:tcPr>
            <w:tcW w:w="320" w:type="dxa"/>
            <w:vAlign w:val="bottom"/>
            <w:tcBorders>
              <w:top w:val="single" w:sz="8" w:color="51555C"/>
            </w:tcBorders>
          </w:tcPr>
          <w:p>
            <w:pPr>
              <w:jc w:val="right"/>
              <w:ind w:right="113"/>
              <w:spacing w:after="0"/>
              <w:rPr>
                <w:sz w:val="20"/>
                <w:szCs w:val="20"/>
                <w:color w:val="auto"/>
              </w:rPr>
            </w:pPr>
            <w:r>
              <w:rPr>
                <w:rFonts w:ascii="Arial" w:cs="Arial" w:eastAsia="Arial" w:hAnsi="Arial"/>
                <w:sz w:val="18"/>
                <w:szCs w:val="18"/>
                <w:color w:val="51555C"/>
                <w:w w:val="99"/>
              </w:rPr>
              <w:t>$</w:t>
            </w:r>
          </w:p>
        </w:tc>
        <w:tc>
          <w:tcPr>
            <w:tcW w:w="8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18,720</w:t>
            </w:r>
          </w:p>
        </w:tc>
      </w:tr>
      <w:tr>
        <w:trPr>
          <w:trHeight w:val="43"/>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Foreign currency translaton adjustment:</w:t>
            </w: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right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6540" w:type="dxa"/>
            <w:vAlign w:val="bottom"/>
          </w:tcPr>
          <w:p>
            <w:pPr>
              <w:ind w:left="220"/>
              <w:spacing w:after="0"/>
              <w:rPr>
                <w:sz w:val="20"/>
                <w:szCs w:val="20"/>
                <w:color w:val="auto"/>
              </w:rPr>
            </w:pPr>
            <w:r>
              <w:rPr>
                <w:rFonts w:ascii="Arial" w:cs="Arial" w:eastAsia="Arial" w:hAnsi="Arial"/>
                <w:sz w:val="18"/>
                <w:szCs w:val="18"/>
                <w:color w:val="51555C"/>
              </w:rPr>
              <w:t>Accumulated other comprehensive (loss) income 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51555C"/>
                <w:w w:val="79"/>
              </w:rPr>
              <w:t>$</w:t>
            </w:r>
          </w:p>
        </w:tc>
        <w:tc>
          <w:tcPr>
            <w:tcW w:w="820" w:type="dxa"/>
            <w:vAlign w:val="bottom"/>
          </w:tcPr>
          <w:p>
            <w:pPr>
              <w:jc w:val="right"/>
              <w:spacing w:after="0"/>
              <w:rPr>
                <w:sz w:val="20"/>
                <w:szCs w:val="20"/>
                <w:color w:val="auto"/>
              </w:rPr>
            </w:pPr>
            <w:r>
              <w:rPr>
                <w:rFonts w:ascii="Arial" w:cs="Arial" w:eastAsia="Arial" w:hAnsi="Arial"/>
                <w:sz w:val="18"/>
                <w:szCs w:val="18"/>
                <w:color w:val="51555C"/>
              </w:rPr>
              <w:t>(12,737)</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(867)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51555C"/>
              </w:rPr>
              <w:t>$</w:t>
            </w:r>
          </w:p>
        </w:tc>
        <w:tc>
          <w:tcPr>
            <w:tcW w:w="820" w:type="dxa"/>
            <w:vAlign w:val="bottom"/>
          </w:tcPr>
          <w:p>
            <w:pPr>
              <w:jc w:val="right"/>
              <w:spacing w:after="0"/>
              <w:rPr>
                <w:sz w:val="20"/>
                <w:szCs w:val="20"/>
                <w:color w:val="auto"/>
              </w:rPr>
            </w:pPr>
            <w:r>
              <w:rPr>
                <w:rFonts w:ascii="Arial" w:cs="Arial" w:eastAsia="Arial" w:hAnsi="Arial"/>
                <w:sz w:val="18"/>
                <w:szCs w:val="18"/>
                <w:color w:val="51555C"/>
              </w:rPr>
              <w:t>(14,895)</w:t>
            </w:r>
          </w:p>
        </w:tc>
        <w:tc>
          <w:tcPr>
            <w:tcW w:w="320" w:type="dxa"/>
            <w:vAlign w:val="bottom"/>
          </w:tcPr>
          <w:p>
            <w:pPr>
              <w:jc w:val="right"/>
              <w:ind w:right="113"/>
              <w:spacing w:after="0"/>
              <w:rPr>
                <w:sz w:val="20"/>
                <w:szCs w:val="20"/>
                <w:color w:val="auto"/>
              </w:rPr>
            </w:pPr>
            <w:r>
              <w:rPr>
                <w:rFonts w:ascii="Arial" w:cs="Arial" w:eastAsia="Arial" w:hAnsi="Arial"/>
                <w:sz w:val="18"/>
                <w:szCs w:val="18"/>
                <w:color w:val="51555C"/>
                <w:w w:val="99"/>
              </w:rPr>
              <w:t>$</w:t>
            </w:r>
          </w:p>
        </w:tc>
        <w:tc>
          <w:tcPr>
            <w:tcW w:w="840" w:type="dxa"/>
            <w:vAlign w:val="bottom"/>
          </w:tcPr>
          <w:p>
            <w:pPr>
              <w:jc w:val="right"/>
              <w:spacing w:after="0"/>
              <w:rPr>
                <w:sz w:val="20"/>
                <w:szCs w:val="20"/>
                <w:color w:val="auto"/>
              </w:rPr>
            </w:pPr>
            <w:r>
              <w:rPr>
                <w:rFonts w:ascii="Arial" w:cs="Arial" w:eastAsia="Arial" w:hAnsi="Arial"/>
                <w:sz w:val="18"/>
                <w:szCs w:val="18"/>
                <w:color w:val="51555C"/>
              </w:rPr>
              <w:t>1,265</w:t>
            </w:r>
          </w:p>
        </w:tc>
      </w:tr>
      <w:tr>
        <w:trPr>
          <w:trHeight w:val="43"/>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654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8"/>
                <w:szCs w:val="18"/>
                <w:color w:val="51555C"/>
              </w:rPr>
              <w:t>Translaton adjustment</w:t>
            </w: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3,055</w:t>
            </w:r>
          </w:p>
        </w:tc>
        <w:tc>
          <w:tcPr>
            <w:tcW w:w="32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(10,398)</w:t>
            </w:r>
          </w:p>
        </w:tc>
        <w:tc>
          <w:tcPr>
            <w:tcW w:w="100" w:type="dxa"/>
            <w:vAlign w:val="bottom"/>
            <w:tcBorders>
              <w:bottom w:val="single" w:sz="8" w:color="EBFBFF"/>
              <w:right w:val="single" w:sz="8" w:color="EBFBFF"/>
            </w:tcBorders>
            <w:shd w:val="clear" w:color="auto" w:fill="EBFBFF"/>
          </w:tcPr>
          <w:p>
            <w:pPr>
              <w:spacing w:after="0"/>
              <w:rPr>
                <w:sz w:val="23"/>
                <w:szCs w:val="23"/>
                <w:color w:val="auto"/>
              </w:rPr>
            </w:pPr>
          </w:p>
        </w:tc>
        <w:tc>
          <w:tcPr>
            <w:tcW w:w="30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5,213</w:t>
            </w:r>
          </w:p>
        </w:tc>
        <w:tc>
          <w:tcPr>
            <w:tcW w:w="320" w:type="dxa"/>
            <w:vAlign w:val="bottom"/>
            <w:tcBorders>
              <w:bottom w:val="single" w:sz="8" w:color="EBFBFF"/>
            </w:tcBorders>
            <w:shd w:val="clear" w:color="auto" w:fill="EBFBFF"/>
          </w:tcPr>
          <w:p>
            <w:pPr>
              <w:spacing w:after="0"/>
              <w:rPr>
                <w:sz w:val="23"/>
                <w:szCs w:val="23"/>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(12,530)</w:t>
            </w:r>
          </w:p>
        </w:tc>
      </w:tr>
      <w:tr>
        <w:trPr>
          <w:trHeight w:val="228"/>
        </w:trPr>
        <w:tc>
          <w:tcPr>
            <w:tcW w:w="20" w:type="dxa"/>
            <w:vAlign w:val="bottom"/>
          </w:tcPr>
          <w:p>
            <w:pPr>
              <w:spacing w:after="0"/>
              <w:rPr>
                <w:sz w:val="19"/>
                <w:szCs w:val="19"/>
                <w:color w:val="auto"/>
              </w:rPr>
            </w:pPr>
          </w:p>
        </w:tc>
        <w:tc>
          <w:tcPr>
            <w:tcW w:w="6540" w:type="dxa"/>
            <w:vAlign w:val="bottom"/>
            <w:tcBorders>
              <w:top w:val="single" w:sz="8" w:color="EBFBFF"/>
            </w:tcBorders>
          </w:tcPr>
          <w:p>
            <w:pPr>
              <w:ind w:left="220"/>
              <w:spacing w:after="0"/>
              <w:rPr>
                <w:sz w:val="20"/>
                <w:szCs w:val="20"/>
                <w:color w:val="auto"/>
              </w:rPr>
            </w:pPr>
            <w:r>
              <w:rPr>
                <w:rFonts w:ascii="Arial" w:cs="Arial" w:eastAsia="Arial" w:hAnsi="Arial"/>
                <w:sz w:val="18"/>
                <w:szCs w:val="18"/>
                <w:color w:val="51555C"/>
              </w:rPr>
              <w:t>Accumulated other comprehensive loss balance, end of period</w:t>
            </w:r>
          </w:p>
        </w:tc>
        <w:tc>
          <w:tcPr>
            <w:tcW w:w="300" w:type="dxa"/>
            <w:vAlign w:val="bottom"/>
            <w:tcBorders>
              <w:top w:val="single" w:sz="8" w:color="51555C"/>
            </w:tcBorders>
          </w:tcPr>
          <w:p>
            <w:pPr>
              <w:spacing w:after="0"/>
              <w:rPr>
                <w:sz w:val="19"/>
                <w:szCs w:val="19"/>
                <w:color w:val="auto"/>
              </w:rPr>
            </w:pPr>
          </w:p>
        </w:tc>
        <w:tc>
          <w:tcPr>
            <w:tcW w:w="8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(9,682)</w:t>
            </w:r>
          </w:p>
        </w:tc>
        <w:tc>
          <w:tcPr>
            <w:tcW w:w="320" w:type="dxa"/>
            <w:vAlign w:val="bottom"/>
            <w:tcBorders>
              <w:top w:val="single" w:sz="8" w:color="51555C"/>
            </w:tcBorders>
          </w:tcPr>
          <w:p>
            <w:pPr>
              <w:spacing w:after="0"/>
              <w:rPr>
                <w:sz w:val="19"/>
                <w:szCs w:val="19"/>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(11,265)</w:t>
            </w:r>
          </w:p>
        </w:tc>
        <w:tc>
          <w:tcPr>
            <w:tcW w:w="100" w:type="dxa"/>
            <w:vAlign w:val="bottom"/>
            <w:tcBorders>
              <w:top w:val="single" w:sz="8" w:color="EBFBFF"/>
            </w:tcBorders>
          </w:tcPr>
          <w:p>
            <w:pPr>
              <w:spacing w:after="0"/>
              <w:rPr>
                <w:sz w:val="19"/>
                <w:szCs w:val="19"/>
                <w:color w:val="auto"/>
              </w:rPr>
            </w:pPr>
          </w:p>
        </w:tc>
        <w:tc>
          <w:tcPr>
            <w:tcW w:w="300" w:type="dxa"/>
            <w:vAlign w:val="bottom"/>
            <w:tcBorders>
              <w:top w:val="single" w:sz="8" w:color="51555C"/>
            </w:tcBorders>
          </w:tcPr>
          <w:p>
            <w:pPr>
              <w:spacing w:after="0"/>
              <w:rPr>
                <w:sz w:val="19"/>
                <w:szCs w:val="19"/>
                <w:color w:val="auto"/>
              </w:rPr>
            </w:pPr>
          </w:p>
        </w:tc>
        <w:tc>
          <w:tcPr>
            <w:tcW w:w="8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(9,682)</w:t>
            </w:r>
          </w:p>
        </w:tc>
        <w:tc>
          <w:tcPr>
            <w:tcW w:w="320" w:type="dxa"/>
            <w:vAlign w:val="bottom"/>
            <w:tcBorders>
              <w:top w:val="single" w:sz="8" w:color="51555C"/>
            </w:tcBorders>
          </w:tcPr>
          <w:p>
            <w:pPr>
              <w:spacing w:after="0"/>
              <w:rPr>
                <w:sz w:val="19"/>
                <w:szCs w:val="19"/>
                <w:color w:val="auto"/>
              </w:rPr>
            </w:pPr>
          </w:p>
        </w:tc>
        <w:tc>
          <w:tcPr>
            <w:tcW w:w="8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(11,265)</w:t>
            </w:r>
          </w:p>
        </w:tc>
      </w:tr>
      <w:tr>
        <w:trPr>
          <w:trHeight w:val="35"/>
        </w:trPr>
        <w:tc>
          <w:tcPr>
            <w:tcW w:w="20" w:type="dxa"/>
            <w:vAlign w:val="bottom"/>
          </w:tcPr>
          <w:p>
            <w:pPr>
              <w:spacing w:after="0"/>
              <w:rPr>
                <w:sz w:val="3"/>
                <w:szCs w:val="3"/>
                <w:color w:val="auto"/>
              </w:rPr>
            </w:pPr>
          </w:p>
        </w:tc>
        <w:tc>
          <w:tcPr>
            <w:tcW w:w="6540" w:type="dxa"/>
            <w:vAlign w:val="bottom"/>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269"/>
        </w:trPr>
        <w:tc>
          <w:tcPr>
            <w:tcW w:w="20" w:type="dxa"/>
            <w:vAlign w:val="bottom"/>
          </w:tcPr>
          <w:p>
            <w:pPr>
              <w:spacing w:after="0"/>
              <w:rPr>
                <w:sz w:val="22"/>
                <w:szCs w:val="22"/>
                <w:color w:val="auto"/>
              </w:rPr>
            </w:pPr>
          </w:p>
        </w:tc>
        <w:tc>
          <w:tcPr>
            <w:tcW w:w="6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end of period</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7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8,842</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7,455</w:t>
            </w:r>
          </w:p>
        </w:tc>
        <w:tc>
          <w:tcPr>
            <w:tcW w:w="400" w:type="dxa"/>
            <w:vAlign w:val="bottom"/>
            <w:tcBorders>
              <w:bottom w:val="single" w:sz="8" w:color="EBFBFF"/>
            </w:tcBorders>
            <w:gridSpan w:val="2"/>
            <w:shd w:val="clear" w:color="auto" w:fill="EBFBFF"/>
          </w:tcPr>
          <w:p>
            <w:pPr>
              <w:jc w:val="right"/>
              <w:ind w:right="110"/>
              <w:spacing w:after="0"/>
              <w:rPr>
                <w:sz w:val="20"/>
                <w:szCs w:val="20"/>
                <w:color w:val="auto"/>
              </w:rPr>
            </w:pPr>
            <w:r>
              <w:rPr>
                <w:rFonts w:ascii="Arial" w:cs="Arial" w:eastAsia="Arial" w:hAnsi="Arial"/>
                <w:sz w:val="18"/>
                <w:szCs w:val="18"/>
                <w:color w:val="51555C"/>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8,842</w:t>
            </w:r>
          </w:p>
        </w:tc>
        <w:tc>
          <w:tcPr>
            <w:tcW w:w="320" w:type="dxa"/>
            <w:vAlign w:val="bottom"/>
            <w:tcBorders>
              <w:bottom w:val="single" w:sz="8" w:color="EBFBFF"/>
            </w:tcBorders>
            <w:shd w:val="clear" w:color="auto" w:fill="EBFBFF"/>
          </w:tcPr>
          <w:p>
            <w:pPr>
              <w:jc w:val="right"/>
              <w:ind w:right="113"/>
              <w:spacing w:after="0"/>
              <w:rPr>
                <w:sz w:val="20"/>
                <w:szCs w:val="20"/>
                <w:color w:val="auto"/>
              </w:rPr>
            </w:pPr>
            <w:r>
              <w:rPr>
                <w:rFonts w:ascii="Arial" w:cs="Arial" w:eastAsia="Arial" w:hAnsi="Arial"/>
                <w:sz w:val="18"/>
                <w:szCs w:val="18"/>
                <w:color w:val="51555C"/>
                <w:w w:val="99"/>
              </w:rPr>
              <w:t>$</w:t>
            </w: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7,455</w:t>
            </w:r>
          </w:p>
        </w:tc>
      </w:tr>
      <w:tr>
        <w:trPr>
          <w:trHeight w:val="664"/>
        </w:trPr>
        <w:tc>
          <w:tcPr>
            <w:tcW w:w="20" w:type="dxa"/>
            <w:vAlign w:val="bottom"/>
          </w:tcPr>
          <w:p>
            <w:pPr>
              <w:spacing w:after="0"/>
              <w:rPr>
                <w:sz w:val="24"/>
                <w:szCs w:val="24"/>
                <w:color w:val="auto"/>
              </w:rPr>
            </w:pPr>
          </w:p>
        </w:tc>
        <w:tc>
          <w:tcPr>
            <w:tcW w:w="6540" w:type="dxa"/>
            <w:vAlign w:val="bottom"/>
            <w:tcBorders>
              <w:top w:val="single" w:sz="8" w:color="0CD973"/>
            </w:tcBorders>
          </w:tcPr>
          <w:p>
            <w:pPr>
              <w:spacing w:after="0"/>
              <w:rPr>
                <w:sz w:val="24"/>
                <w:szCs w:val="24"/>
                <w:color w:val="auto"/>
              </w:rPr>
            </w:pPr>
          </w:p>
        </w:tc>
        <w:tc>
          <w:tcPr>
            <w:tcW w:w="300" w:type="dxa"/>
            <w:vAlign w:val="bottom"/>
            <w:tcBorders>
              <w:top w:val="single" w:sz="8" w:color="0CD973"/>
            </w:tcBorders>
          </w:tcPr>
          <w:p>
            <w:pPr>
              <w:spacing w:after="0"/>
              <w:rPr>
                <w:sz w:val="24"/>
                <w:szCs w:val="24"/>
                <w:color w:val="auto"/>
              </w:rPr>
            </w:pPr>
          </w:p>
        </w:tc>
        <w:tc>
          <w:tcPr>
            <w:tcW w:w="3220" w:type="dxa"/>
            <w:vAlign w:val="bottom"/>
            <w:tcBorders>
              <w:top w:val="single" w:sz="8" w:color="0CD973"/>
            </w:tcBorders>
            <w:gridSpan w:val="6"/>
          </w:tcPr>
          <w:p>
            <w:pPr>
              <w:jc w:val="right"/>
              <w:ind w:right="431"/>
              <w:spacing w:after="0"/>
              <w:rPr>
                <w:sz w:val="20"/>
                <w:szCs w:val="20"/>
                <w:color w:val="auto"/>
              </w:rPr>
            </w:pPr>
            <w:r>
              <w:rPr>
                <w:rFonts w:ascii="Arial" w:cs="Arial" w:eastAsia="Arial" w:hAnsi="Arial"/>
                <w:sz w:val="14"/>
                <w:szCs w:val="14"/>
                <w:color w:val="51555C"/>
              </w:rPr>
              <w:t>Second Quarter 2023 Form 10-Q</w:t>
            </w:r>
          </w:p>
        </w:tc>
        <w:tc>
          <w:tcPr>
            <w:tcW w:w="320" w:type="dxa"/>
            <w:vAlign w:val="bottom"/>
            <w:tcBorders>
              <w:top w:val="single" w:sz="8" w:color="0CD973"/>
            </w:tcBorders>
          </w:tcPr>
          <w:p>
            <w:pPr>
              <w:spacing w:after="0"/>
              <w:rPr>
                <w:sz w:val="24"/>
                <w:szCs w:val="24"/>
                <w:color w:val="auto"/>
              </w:rPr>
            </w:pPr>
          </w:p>
        </w:tc>
        <w:tc>
          <w:tcPr>
            <w:tcW w:w="840" w:type="dxa"/>
            <w:vAlign w:val="bottom"/>
            <w:tcBorders>
              <w:top w:val="single" w:sz="8" w:color="0CD973"/>
            </w:tcBorders>
          </w:tcPr>
          <w:p>
            <w:pPr>
              <w:jc w:val="right"/>
              <w:spacing w:after="0"/>
              <w:rPr>
                <w:sz w:val="20"/>
                <w:szCs w:val="20"/>
                <w:color w:val="auto"/>
              </w:rPr>
            </w:pPr>
            <w:r>
              <w:rPr>
                <w:rFonts w:ascii="Arial" w:cs="Arial" w:eastAsia="Arial" w:hAnsi="Arial"/>
                <w:sz w:val="14"/>
                <w:szCs w:val="14"/>
                <w:color w:val="51555C"/>
              </w:rPr>
              <w:t>21</w:t>
            </w:r>
          </w:p>
        </w:tc>
      </w:tr>
      <w:tr>
        <w:trPr>
          <w:trHeight w:val="349"/>
        </w:trPr>
        <w:tc>
          <w:tcPr>
            <w:tcW w:w="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-3616960</wp:posOffset>
            </wp:positionV>
            <wp:extent cx="2957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-367665</wp:posOffset>
            </wp:positionV>
            <wp:extent cx="66040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11. Revenue Recogniton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Transacton price allocated to the remaining performance obligatons</w:t>
      </w:r>
    </w:p>
    <w:p>
      <w:pPr>
        <w:spacing w:after="0" w:line="173"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51555C"/>
        </w:rPr>
        <w:t>As of June 30, 2023, approximately $1.2 billion of revenue is expected to be recognized from remaining performance obligatons. We expect to recognize revenue on approximately 50% of these remaining performance obligatons over the next 12 months, with the remainder recognized thereafer.</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applied the practcal expedient in ASC 606-10-50-14 and have excluded the value of unsatsfed performance obligatons for (i) contracts with an original expected length of one year or less (one-tme services); and (ii) contracts for which we recognize revenue at the amount to which we have the right to invoice for services performed (transactonal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Contract balances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51555C"/>
        </w:rPr>
        <w:t>Our contract assets as of June 30, 2023 and December 31, 2022 were insignifcant. Our closing balances of deferred revenue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7910" w:type="dxa"/>
            <w:vAlign w:val="bottom"/>
            <w:shd w:val="clear" w:color="auto" w:fill="004054"/>
          </w:tcPr>
          <w:p>
            <w:pPr>
              <w:spacing w:after="0"/>
              <w:rPr>
                <w:sz w:val="15"/>
                <w:szCs w:val="15"/>
                <w:color w:val="auto"/>
              </w:rPr>
            </w:pPr>
          </w:p>
        </w:tc>
        <w:tc>
          <w:tcPr>
            <w:tcW w:w="550" w:type="dxa"/>
            <w:vAlign w:val="bottom"/>
            <w:shd w:val="clear" w:color="auto" w:fill="004054"/>
          </w:tcPr>
          <w:p>
            <w:pPr>
              <w:spacing w:after="0"/>
              <w:rPr>
                <w:sz w:val="15"/>
                <w:szCs w:val="15"/>
                <w:color w:val="auto"/>
              </w:rPr>
            </w:pPr>
          </w:p>
        </w:tc>
        <w:tc>
          <w:tcPr>
            <w:tcW w:w="11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450" w:type="dxa"/>
            <w:vAlign w:val="bottom"/>
            <w:shd w:val="clear" w:color="auto" w:fill="004054"/>
          </w:tcPr>
          <w:p>
            <w:pPr>
              <w:spacing w:after="0"/>
              <w:rPr>
                <w:sz w:val="15"/>
                <w:szCs w:val="15"/>
                <w:color w:val="auto"/>
              </w:rPr>
            </w:pPr>
          </w:p>
        </w:tc>
        <w:tc>
          <w:tcPr>
            <w:tcW w:w="1200" w:type="dxa"/>
            <w:vAlign w:val="bottom"/>
            <w:gridSpan w:val="2"/>
            <w:shd w:val="clear" w:color="auto" w:fill="004054"/>
          </w:tcPr>
          <w:p>
            <w:pPr>
              <w:jc w:val="right"/>
              <w:ind w:right="40"/>
              <w:spacing w:after="0"/>
              <w:rPr>
                <w:sz w:val="20"/>
                <w:szCs w:val="20"/>
                <w:color w:val="auto"/>
              </w:rPr>
            </w:pPr>
            <w:r>
              <w:rPr>
                <w:rFonts w:ascii="Arial" w:cs="Arial" w:eastAsia="Arial" w:hAnsi="Arial"/>
                <w:sz w:val="14"/>
                <w:szCs w:val="14"/>
                <w:b w:val="1"/>
                <w:bCs w:val="1"/>
                <w:color w:val="FFFFFF"/>
              </w:rPr>
              <w:t>December 31,</w:t>
            </w:r>
          </w:p>
        </w:tc>
      </w:tr>
      <w:tr>
        <w:trPr>
          <w:trHeight w:val="240"/>
        </w:trPr>
        <w:tc>
          <w:tcPr>
            <w:tcW w:w="20" w:type="dxa"/>
            <w:vAlign w:val="bottom"/>
            <w:tcBorders>
              <w:bottom w:val="single" w:sz="8" w:color="004054"/>
            </w:tcBorders>
            <w:shd w:val="clear" w:color="auto" w:fill="004054"/>
          </w:tcPr>
          <w:p>
            <w:pPr>
              <w:spacing w:after="0"/>
              <w:rPr>
                <w:sz w:val="20"/>
                <w:szCs w:val="20"/>
                <w:color w:val="auto"/>
              </w:rPr>
            </w:pPr>
          </w:p>
        </w:tc>
        <w:tc>
          <w:tcPr>
            <w:tcW w:w="791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(in thousands)</w:t>
            </w:r>
          </w:p>
        </w:tc>
        <w:tc>
          <w:tcPr>
            <w:tcW w:w="550" w:type="dxa"/>
            <w:vAlign w:val="bottom"/>
            <w:tcBorders>
              <w:bottom w:val="single" w:sz="8" w:color="004054"/>
            </w:tcBorders>
            <w:shd w:val="clear" w:color="auto" w:fill="004054"/>
          </w:tcPr>
          <w:p>
            <w:pPr>
              <w:spacing w:after="0"/>
              <w:rPr>
                <w:sz w:val="20"/>
                <w:szCs w:val="20"/>
                <w:color w:val="auto"/>
              </w:rPr>
            </w:pPr>
          </w:p>
        </w:tc>
        <w:tc>
          <w:tcPr>
            <w:tcW w:w="111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50" w:type="dxa"/>
            <w:vAlign w:val="bottom"/>
            <w:tcBorders>
              <w:bottom w:val="single" w:sz="8" w:color="004054"/>
            </w:tcBorders>
            <w:shd w:val="clear" w:color="auto" w:fill="004054"/>
          </w:tcPr>
          <w:p>
            <w:pPr>
              <w:spacing w:after="0"/>
              <w:rPr>
                <w:sz w:val="20"/>
                <w:szCs w:val="20"/>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910" w:type="dxa"/>
            <w:vAlign w:val="bottom"/>
            <w:tcBorders>
              <w:top w:val="single" w:sz="8" w:color="004054"/>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Total deferred revenue</w:t>
            </w:r>
          </w:p>
        </w:tc>
        <w:tc>
          <w:tcPr>
            <w:tcW w:w="550" w:type="dxa"/>
            <w:vAlign w:val="bottom"/>
            <w:tcBorders>
              <w:top w:val="single" w:sz="8" w:color="004054"/>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79"/>
              </w:rPr>
              <w:t>$</w:t>
            </w:r>
          </w:p>
        </w:tc>
        <w:tc>
          <w:tcPr>
            <w:tcW w:w="111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438,151</w:t>
            </w:r>
          </w:p>
        </w:tc>
        <w:tc>
          <w:tcPr>
            <w:tcW w:w="450" w:type="dxa"/>
            <w:vAlign w:val="bottom"/>
            <w:tcBorders>
              <w:top w:val="single" w:sz="8" w:color="004054"/>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79"/>
              </w:rPr>
              <w:t>$</w:t>
            </w:r>
          </w:p>
        </w:tc>
        <w:tc>
          <w:tcPr>
            <w:tcW w:w="118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385,236</w:t>
            </w:r>
          </w:p>
        </w:tc>
        <w:tc>
          <w:tcPr>
            <w:tcW w:w="20" w:type="dxa"/>
            <w:vAlign w:val="bottom"/>
            <w:tcBorders>
              <w:top w:val="single" w:sz="8" w:color="EBFBFF"/>
              <w:bottom w:val="single" w:sz="8" w:color="EBFBFF"/>
            </w:tcBorders>
            <w:shd w:val="clear" w:color="auto" w:fill="EBFB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910" w:type="dxa"/>
            <w:vAlign w:val="bottom"/>
            <w:shd w:val="clear" w:color="auto" w:fill="0CD973"/>
          </w:tcPr>
          <w:p>
            <w:pPr>
              <w:spacing w:after="0" w:line="20" w:lineRule="exact"/>
              <w:rPr>
                <w:sz w:val="1"/>
                <w:szCs w:val="1"/>
                <w:color w:val="auto"/>
              </w:rPr>
            </w:pPr>
          </w:p>
        </w:tc>
        <w:tc>
          <w:tcPr>
            <w:tcW w:w="550" w:type="dxa"/>
            <w:vAlign w:val="bottom"/>
            <w:shd w:val="clear" w:color="auto" w:fill="0CD973"/>
          </w:tcPr>
          <w:p>
            <w:pPr>
              <w:spacing w:after="0" w:line="20" w:lineRule="exact"/>
              <w:rPr>
                <w:sz w:val="1"/>
                <w:szCs w:val="1"/>
                <w:color w:val="auto"/>
              </w:rPr>
            </w:pPr>
          </w:p>
        </w:tc>
        <w:tc>
          <w:tcPr>
            <w:tcW w:w="1110" w:type="dxa"/>
            <w:vAlign w:val="bottom"/>
            <w:shd w:val="clear" w:color="auto" w:fill="0CD973"/>
          </w:tcPr>
          <w:p>
            <w:pPr>
              <w:spacing w:after="0" w:line="20" w:lineRule="exact"/>
              <w:rPr>
                <w:sz w:val="1"/>
                <w:szCs w:val="1"/>
                <w:color w:val="auto"/>
              </w:rPr>
            </w:pPr>
          </w:p>
        </w:tc>
        <w:tc>
          <w:tcPr>
            <w:tcW w:w="45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r>
    </w:tbl>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51555C"/>
        </w:rPr>
        <w:t>The increase in deferred revenue during the six months ended June 30, 2023 was primarily due to a seasonal increase in customer contract renewals. Historically, due to the tming of customer budget cycles, we have an increase in customer contract renewals at or near the beginning of our third quarter. Generally, our lowest balance of deferred revenue during the year is at the end of our frst quarter. The amount of revenue recognized during the six months ended June 30, 2023 that was included in the deferred revenue balance at the beginning of the period was approximately $252 million. The amount of revenue recognized during the six months ended June 30, 2023 from performance obligatons satsfed in prior periods was insignifcant.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Disaggregaton of revenue</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sell our cloud solutons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520" w:type="dxa"/>
            <w:vAlign w:val="bottom"/>
            <w:shd w:val="clear" w:color="auto" w:fill="004054"/>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7"/>
              </w:rPr>
              <w:t>Three months ended</w:t>
            </w:r>
          </w:p>
        </w:tc>
        <w:tc>
          <w:tcPr>
            <w:tcW w:w="10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84"/>
        </w:trPr>
        <w:tc>
          <w:tcPr>
            <w:tcW w:w="20" w:type="dxa"/>
            <w:vAlign w:val="bottom"/>
            <w:shd w:val="clear" w:color="auto" w:fill="004054"/>
          </w:tcPr>
          <w:p>
            <w:pPr>
              <w:spacing w:after="0"/>
              <w:rPr>
                <w:sz w:val="15"/>
                <w:szCs w:val="15"/>
                <w:color w:val="auto"/>
              </w:rPr>
            </w:pPr>
          </w:p>
        </w:tc>
        <w:tc>
          <w:tcPr>
            <w:tcW w:w="4520" w:type="dxa"/>
            <w:vAlign w:val="bottom"/>
            <w:shd w:val="clear" w:color="auto" w:fill="004054"/>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80"/>
        </w:trPr>
        <w:tc>
          <w:tcPr>
            <w:tcW w:w="20" w:type="dxa"/>
            <w:vAlign w:val="bottom"/>
            <w:tcBorders>
              <w:bottom w:val="single" w:sz="8" w:color="004054"/>
            </w:tcBorders>
            <w:shd w:val="clear" w:color="auto" w:fill="004054"/>
          </w:tcPr>
          <w:p>
            <w:pPr>
              <w:spacing w:after="0"/>
              <w:rPr>
                <w:sz w:val="24"/>
                <w:szCs w:val="24"/>
                <w:color w:val="auto"/>
              </w:rPr>
            </w:pPr>
          </w:p>
        </w:tc>
        <w:tc>
          <w:tcPr>
            <w:tcW w:w="452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40" w:type="dxa"/>
            <w:vAlign w:val="bottom"/>
            <w:tcBorders>
              <w:bottom w:val="single" w:sz="8" w:color="004054"/>
            </w:tcBorders>
            <w:shd w:val="clear" w:color="auto" w:fill="004054"/>
          </w:tcPr>
          <w:p>
            <w:pPr>
              <w:spacing w:after="0"/>
              <w:rPr>
                <w:sz w:val="24"/>
                <w:szCs w:val="24"/>
                <w:color w:val="auto"/>
              </w:rPr>
            </w:pP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Pr>
          <w:p>
            <w:pPr>
              <w:spacing w:after="0"/>
              <w:rPr>
                <w:sz w:val="24"/>
                <w:szCs w:val="24"/>
                <w:color w:val="auto"/>
              </w:rPr>
            </w:pPr>
          </w:p>
        </w:tc>
        <w:tc>
          <w:tcPr>
            <w:tcW w:w="560" w:type="dxa"/>
            <w:vAlign w:val="bottom"/>
            <w:tcBorders>
              <w:bottom w:val="single" w:sz="8" w:color="004054"/>
            </w:tcBorders>
            <w:shd w:val="clear" w:color="auto" w:fill="004054"/>
          </w:tcPr>
          <w:p>
            <w:pPr>
              <w:spacing w:after="0"/>
              <w:rPr>
                <w:sz w:val="24"/>
                <w:szCs w:val="24"/>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40" w:type="dxa"/>
            <w:vAlign w:val="bottom"/>
            <w:tcBorders>
              <w:bottom w:val="single" w:sz="8" w:color="004054"/>
            </w:tcBorders>
            <w:shd w:val="clear" w:color="auto" w:fill="004054"/>
          </w:tcPr>
          <w:p>
            <w:pPr>
              <w:spacing w:after="0"/>
              <w:rPr>
                <w:sz w:val="24"/>
                <w:szCs w:val="24"/>
                <w:color w:val="auto"/>
              </w:rPr>
            </w:pP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250"/>
        </w:trPr>
        <w:tc>
          <w:tcPr>
            <w:tcW w:w="20" w:type="dxa"/>
            <w:vAlign w:val="bottom"/>
          </w:tcPr>
          <w:p>
            <w:pPr>
              <w:spacing w:after="0"/>
              <w:rPr>
                <w:sz w:val="21"/>
                <w:szCs w:val="21"/>
                <w:color w:val="auto"/>
              </w:rPr>
            </w:pPr>
          </w:p>
        </w:tc>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United States</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228,744</w:t>
            </w: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79"/>
              </w:rPr>
              <w:t>$</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223,128</w:t>
            </w:r>
          </w:p>
        </w:tc>
        <w:tc>
          <w:tcPr>
            <w:tcW w:w="100" w:type="dxa"/>
            <w:vAlign w:val="bottom"/>
            <w:tcBorders>
              <w:bottom w:val="single" w:sz="8" w:color="EBFBFF"/>
            </w:tcBorders>
            <w:shd w:val="clear" w:color="auto" w:fill="EBFBFF"/>
          </w:tcPr>
          <w:p>
            <w:pPr>
              <w:spacing w:after="0"/>
              <w:rPr>
                <w:sz w:val="21"/>
                <w:szCs w:val="21"/>
                <w:color w:val="auto"/>
              </w:rPr>
            </w:pP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450,413</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437,522</w:t>
            </w:r>
          </w:p>
        </w:tc>
      </w:tr>
      <w:tr>
        <w:trPr>
          <w:trHeight w:val="227"/>
        </w:trPr>
        <w:tc>
          <w:tcPr>
            <w:tcW w:w="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51555C"/>
              </w:rPr>
              <w:t>United Kingdom</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28,234</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51555C"/>
              </w:rPr>
              <w:t>26,831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54,282</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51555C"/>
              </w:rPr>
              <w:t>54,491</w:t>
            </w:r>
          </w:p>
        </w:tc>
      </w:tr>
      <w:tr>
        <w:trPr>
          <w:trHeight w:val="43"/>
        </w:trPr>
        <w:tc>
          <w:tcPr>
            <w:tcW w:w="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countries</w:t>
            </w:r>
          </w:p>
        </w:tc>
        <w:tc>
          <w:tcPr>
            <w:tcW w:w="56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14,064</w:t>
            </w:r>
          </w:p>
        </w:tc>
        <w:tc>
          <w:tcPr>
            <w:tcW w:w="240" w:type="dxa"/>
            <w:vAlign w:val="bottom"/>
            <w:tcBorders>
              <w:bottom w:val="single" w:sz="8" w:color="EBFBFF"/>
            </w:tcBorders>
            <w:shd w:val="clear" w:color="auto" w:fill="EBFBFF"/>
          </w:tcPr>
          <w:p>
            <w:pPr>
              <w:spacing w:after="0"/>
              <w:rPr>
                <w:sz w:val="23"/>
                <w:szCs w:val="23"/>
                <w:color w:val="auto"/>
              </w:rPr>
            </w:pPr>
          </w:p>
        </w:tc>
        <w:tc>
          <w:tcPr>
            <w:tcW w:w="14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14,968</w:t>
            </w:r>
          </w:p>
        </w:tc>
        <w:tc>
          <w:tcPr>
            <w:tcW w:w="100" w:type="dxa"/>
            <w:vAlign w:val="bottom"/>
            <w:tcBorders>
              <w:bottom w:val="single" w:sz="8" w:color="EBFBFF"/>
            </w:tcBorders>
            <w:shd w:val="clear" w:color="auto" w:fill="EBFBFF"/>
          </w:tcPr>
          <w:p>
            <w:pPr>
              <w:spacing w:after="0"/>
              <w:rPr>
                <w:sz w:val="23"/>
                <w:szCs w:val="23"/>
                <w:color w:val="auto"/>
              </w:rPr>
            </w:pPr>
          </w:p>
        </w:tc>
        <w:tc>
          <w:tcPr>
            <w:tcW w:w="5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28,100</w:t>
            </w:r>
          </w:p>
        </w:tc>
        <w:tc>
          <w:tcPr>
            <w:tcW w:w="340" w:type="dxa"/>
            <w:vAlign w:val="bottom"/>
            <w:tcBorders>
              <w:bottom w:val="single" w:sz="8" w:color="EBFBFF"/>
            </w:tcBorders>
            <w:shd w:val="clear" w:color="auto" w:fill="EBFBFF"/>
          </w:tcPr>
          <w:p>
            <w:pPr>
              <w:spacing w:after="0"/>
              <w:rPr>
                <w:sz w:val="23"/>
                <w:szCs w:val="23"/>
                <w:color w:val="auto"/>
              </w:rPr>
            </w:pP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30,038</w:t>
            </w:r>
          </w:p>
        </w:tc>
      </w:tr>
      <w:tr>
        <w:trPr>
          <w:trHeight w:val="220"/>
        </w:trPr>
        <w:tc>
          <w:tcPr>
            <w:tcW w:w="20" w:type="dxa"/>
            <w:vAlign w:val="bottom"/>
          </w:tcPr>
          <w:p>
            <w:pPr>
              <w:spacing w:after="0"/>
              <w:rPr>
                <w:sz w:val="19"/>
                <w:szCs w:val="19"/>
                <w:color w:val="auto"/>
              </w:rPr>
            </w:pPr>
          </w:p>
        </w:tc>
        <w:tc>
          <w:tcPr>
            <w:tcW w:w="4520" w:type="dxa"/>
            <w:vAlign w:val="bottom"/>
            <w:tcBorders>
              <w:top w:val="single" w:sz="8" w:color="EBFBFF"/>
            </w:tcBorders>
          </w:tcPr>
          <w:p>
            <w:pPr>
              <w:ind w:left="120"/>
              <w:spacing w:after="0"/>
              <w:rPr>
                <w:sz w:val="20"/>
                <w:szCs w:val="20"/>
                <w:color w:val="auto"/>
              </w:rPr>
            </w:pPr>
            <w:r>
              <w:rPr>
                <w:rFonts w:ascii="Arial" w:cs="Arial" w:eastAsia="Arial" w:hAnsi="Arial"/>
                <w:sz w:val="18"/>
                <w:szCs w:val="18"/>
                <w:color w:val="51555C"/>
              </w:rPr>
              <w:t>Total revenue</w:t>
            </w:r>
          </w:p>
        </w:tc>
        <w:tc>
          <w:tcPr>
            <w:tcW w:w="560" w:type="dxa"/>
            <w:vAlign w:val="bottom"/>
            <w:tcBorders>
              <w:top w:val="single" w:sz="8" w:color="51555C"/>
            </w:tcBorders>
          </w:tcPr>
          <w:p>
            <w:pPr>
              <w:jc w:val="right"/>
              <w:ind w:right="350"/>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271,042</w:t>
            </w:r>
          </w:p>
        </w:tc>
        <w:tc>
          <w:tcPr>
            <w:tcW w:w="240" w:type="dxa"/>
            <w:vAlign w:val="bottom"/>
            <w:tcBorders>
              <w:top w:val="single" w:sz="8" w:color="51555C"/>
            </w:tcBorders>
          </w:tcPr>
          <w:p>
            <w:pPr>
              <w:jc w:val="right"/>
              <w:ind w:right="50"/>
              <w:spacing w:after="0"/>
              <w:rPr>
                <w:sz w:val="20"/>
                <w:szCs w:val="20"/>
                <w:color w:val="auto"/>
              </w:rPr>
            </w:pPr>
            <w:r>
              <w:rPr>
                <w:rFonts w:ascii="Arial" w:cs="Arial" w:eastAsia="Arial" w:hAnsi="Arial"/>
                <w:sz w:val="18"/>
                <w:szCs w:val="18"/>
                <w:color w:val="51555C"/>
                <w:w w:val="79"/>
              </w:rPr>
              <w:t>$</w:t>
            </w:r>
          </w:p>
        </w:tc>
        <w:tc>
          <w:tcPr>
            <w:tcW w:w="14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264,927</w:t>
            </w:r>
          </w:p>
        </w:tc>
        <w:tc>
          <w:tcPr>
            <w:tcW w:w="100" w:type="dxa"/>
            <w:vAlign w:val="bottom"/>
            <w:tcBorders>
              <w:top w:val="single" w:sz="8" w:color="EBFBFF"/>
            </w:tcBorders>
          </w:tcPr>
          <w:p>
            <w:pPr>
              <w:spacing w:after="0"/>
              <w:rPr>
                <w:sz w:val="19"/>
                <w:szCs w:val="19"/>
                <w:color w:val="auto"/>
              </w:rPr>
            </w:pPr>
          </w:p>
        </w:tc>
        <w:tc>
          <w:tcPr>
            <w:tcW w:w="560" w:type="dxa"/>
            <w:vAlign w:val="bottom"/>
            <w:tcBorders>
              <w:top w:val="single" w:sz="8" w:color="51555C"/>
            </w:tcBorders>
          </w:tcPr>
          <w:p>
            <w:pPr>
              <w:jc w:val="right"/>
              <w:ind w:right="350"/>
              <w:spacing w:after="0"/>
              <w:rPr>
                <w:sz w:val="20"/>
                <w:szCs w:val="20"/>
                <w:color w:val="auto"/>
              </w:rPr>
            </w:pPr>
            <w:r>
              <w:rPr>
                <w:rFonts w:ascii="Arial" w:cs="Arial" w:eastAsia="Arial" w:hAnsi="Arial"/>
                <w:sz w:val="18"/>
                <w:szCs w:val="18"/>
                <w:color w:val="51555C"/>
                <w:w w:val="99"/>
              </w:rPr>
              <w:t>$</w:t>
            </w: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532,795</w:t>
            </w:r>
          </w:p>
        </w:tc>
        <w:tc>
          <w:tcPr>
            <w:tcW w:w="340" w:type="dxa"/>
            <w:vAlign w:val="bottom"/>
            <w:tcBorders>
              <w:top w:val="single" w:sz="8" w:color="51555C"/>
            </w:tcBorders>
          </w:tcPr>
          <w:p>
            <w:pPr>
              <w:jc w:val="right"/>
              <w:ind w:right="130"/>
              <w:spacing w:after="0"/>
              <w:rPr>
                <w:sz w:val="20"/>
                <w:szCs w:val="20"/>
                <w:color w:val="auto"/>
              </w:rPr>
            </w:pPr>
            <w:r>
              <w:rPr>
                <w:rFonts w:ascii="Arial" w:cs="Arial" w:eastAsia="Arial" w:hAnsi="Arial"/>
                <w:sz w:val="18"/>
                <w:szCs w:val="18"/>
                <w:color w:val="51555C"/>
                <w:w w:val="99"/>
              </w:rPr>
              <w:t>$</w:t>
            </w:r>
          </w:p>
        </w:tc>
        <w:tc>
          <w:tcPr>
            <w:tcW w:w="13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522,051</w:t>
            </w:r>
          </w:p>
        </w:tc>
      </w:tr>
      <w:tr>
        <w:trPr>
          <w:trHeight w:val="43"/>
        </w:trPr>
        <w:tc>
          <w:tcPr>
            <w:tcW w:w="20" w:type="dxa"/>
            <w:vAlign w:val="bottom"/>
          </w:tcPr>
          <w:p>
            <w:pPr>
              <w:spacing w:after="0"/>
              <w:rPr>
                <w:sz w:val="3"/>
                <w:szCs w:val="3"/>
                <w:color w:val="auto"/>
              </w:rPr>
            </w:pPr>
          </w:p>
        </w:tc>
        <w:tc>
          <w:tcPr>
            <w:tcW w:w="4520" w:type="dxa"/>
            <w:vAlign w:val="bottom"/>
            <w:tcBorders>
              <w:bottom w:val="single" w:sz="8" w:color="0CD973"/>
            </w:tcBorders>
          </w:tcPr>
          <w:p>
            <w:pPr>
              <w:spacing w:after="0"/>
              <w:rPr>
                <w:sz w:val="3"/>
                <w:szCs w:val="3"/>
                <w:color w:val="auto"/>
              </w:rPr>
            </w:pPr>
          </w:p>
        </w:tc>
        <w:tc>
          <w:tcPr>
            <w:tcW w:w="560" w:type="dxa"/>
            <w:vAlign w:val="bottom"/>
            <w:tcBorders>
              <w:bottom w:val="single" w:sz="8" w:color="0CD973"/>
            </w:tcBorders>
          </w:tcPr>
          <w:p>
            <w:pPr>
              <w:spacing w:after="0"/>
              <w:rPr>
                <w:sz w:val="3"/>
                <w:szCs w:val="3"/>
                <w:color w:val="auto"/>
              </w:rPr>
            </w:pPr>
          </w:p>
        </w:tc>
        <w:tc>
          <w:tcPr>
            <w:tcW w:w="1100" w:type="dxa"/>
            <w:vAlign w:val="bottom"/>
            <w:tcBorders>
              <w:bottom w:val="single" w:sz="8" w:color="0CD973"/>
            </w:tcBorders>
          </w:tcPr>
          <w:p>
            <w:pPr>
              <w:spacing w:after="0"/>
              <w:rPr>
                <w:sz w:val="3"/>
                <w:szCs w:val="3"/>
                <w:color w:val="auto"/>
              </w:rPr>
            </w:pPr>
          </w:p>
        </w:tc>
        <w:tc>
          <w:tcPr>
            <w:tcW w:w="240" w:type="dxa"/>
            <w:vAlign w:val="bottom"/>
            <w:tcBorders>
              <w:bottom w:val="single" w:sz="8" w:color="0CD973"/>
            </w:tcBorders>
          </w:tcPr>
          <w:p>
            <w:pPr>
              <w:spacing w:after="0"/>
              <w:rPr>
                <w:sz w:val="3"/>
                <w:szCs w:val="3"/>
                <w:color w:val="auto"/>
              </w:rPr>
            </w:pPr>
          </w:p>
        </w:tc>
        <w:tc>
          <w:tcPr>
            <w:tcW w:w="1400" w:type="dxa"/>
            <w:vAlign w:val="bottom"/>
            <w:tcBorders>
              <w:bottom w:val="single" w:sz="8" w:color="0CD973"/>
            </w:tcBorders>
          </w:tcPr>
          <w:p>
            <w:pPr>
              <w:spacing w:after="0"/>
              <w:rPr>
                <w:sz w:val="3"/>
                <w:szCs w:val="3"/>
                <w:color w:val="auto"/>
              </w:rPr>
            </w:pPr>
          </w:p>
        </w:tc>
        <w:tc>
          <w:tcPr>
            <w:tcW w:w="100" w:type="dxa"/>
            <w:vAlign w:val="bottom"/>
            <w:tcBorders>
              <w:bottom w:val="single" w:sz="8" w:color="0CD973"/>
            </w:tcBorders>
          </w:tcPr>
          <w:p>
            <w:pPr>
              <w:spacing w:after="0"/>
              <w:rPr>
                <w:sz w:val="3"/>
                <w:szCs w:val="3"/>
                <w:color w:val="auto"/>
              </w:rPr>
            </w:pPr>
          </w:p>
        </w:tc>
        <w:tc>
          <w:tcPr>
            <w:tcW w:w="560" w:type="dxa"/>
            <w:vAlign w:val="bottom"/>
            <w:tcBorders>
              <w:bottom w:val="single" w:sz="8" w:color="0CD973"/>
            </w:tcBorders>
          </w:tcPr>
          <w:p>
            <w:pPr>
              <w:spacing w:after="0"/>
              <w:rPr>
                <w:sz w:val="3"/>
                <w:szCs w:val="3"/>
                <w:color w:val="auto"/>
              </w:rPr>
            </w:pPr>
          </w:p>
        </w:tc>
        <w:tc>
          <w:tcPr>
            <w:tcW w:w="1080" w:type="dxa"/>
            <w:vAlign w:val="bottom"/>
            <w:tcBorders>
              <w:bottom w:val="single" w:sz="8" w:color="0CD973"/>
            </w:tcBorders>
          </w:tcPr>
          <w:p>
            <w:pPr>
              <w:spacing w:after="0"/>
              <w:rPr>
                <w:sz w:val="3"/>
                <w:szCs w:val="3"/>
                <w:color w:val="auto"/>
              </w:rPr>
            </w:pPr>
          </w:p>
        </w:tc>
        <w:tc>
          <w:tcPr>
            <w:tcW w:w="340" w:type="dxa"/>
            <w:vAlign w:val="bottom"/>
            <w:tcBorders>
              <w:bottom w:val="single" w:sz="8" w:color="0CD973"/>
            </w:tcBorders>
          </w:tcPr>
          <w:p>
            <w:pPr>
              <w:spacing w:after="0"/>
              <w:rPr>
                <w:sz w:val="3"/>
                <w:szCs w:val="3"/>
                <w:color w:val="auto"/>
              </w:rPr>
            </w:pPr>
          </w:p>
        </w:tc>
        <w:tc>
          <w:tcPr>
            <w:tcW w:w="1320" w:type="dxa"/>
            <w:vAlign w:val="bottom"/>
            <w:tcBorders>
              <w:bottom w:val="single" w:sz="8" w:color="0CD97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-856615</wp:posOffset>
            </wp:positionV>
            <wp:extent cx="42348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22</w:t>
      </w:r>
      <w:r>
        <w:rPr>
          <w:sz w:val="20"/>
          <w:szCs w:val="20"/>
          <w:color w:val="auto"/>
        </w:rPr>
        <w:tab/>
      </w:r>
      <w:r>
        <w:rPr>
          <w:sz w:val="1"/>
          <w:szCs w:val="1"/>
          <w:color w:val="auto"/>
        </w:rPr>
        <w:drawing>
          <wp:inline distT="0" distB="0" distL="0" distR="0">
            <wp:extent cx="651510" cy="1714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During the third quarter of 2022, we reorganized our market groups. The Social Sector and Corporate Sector market groups comprised our go-to-market organizatons as of June 30, 2023. The following is a descripton of each market group as of that date:</w:t>
      </w:r>
    </w:p>
    <w:p>
      <w:pPr>
        <w:spacing w:after="0" w:line="69" w:lineRule="exact"/>
        <w:rPr>
          <w:sz w:val="20"/>
          <w:szCs w:val="20"/>
          <w:color w:val="auto"/>
        </w:rPr>
      </w:pPr>
    </w:p>
    <w:p>
      <w:pPr>
        <w:ind w:left="660" w:hanging="328"/>
        <w:spacing w:after="0" w:line="273" w:lineRule="auto"/>
        <w:tabs>
          <w:tab w:leader="none" w:pos="66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The Social Sector market group focuses on sales to customers and prospects in the social sector, such as nonprofts, foundatons, educaton insttutons, healthcare organizatons and other not-for-proft enttes globally, and includes JustGiving; and</w:t>
      </w:r>
    </w:p>
    <w:p>
      <w:pPr>
        <w:spacing w:after="0" w:line="69" w:lineRule="exact"/>
        <w:rPr>
          <w:rFonts w:ascii="Arial" w:cs="Arial" w:eastAsia="Arial" w:hAnsi="Arial"/>
          <w:sz w:val="18"/>
          <w:szCs w:val="18"/>
          <w:color w:val="51555C"/>
        </w:rPr>
      </w:pPr>
    </w:p>
    <w:p>
      <w:pPr>
        <w:ind w:left="660" w:hanging="328"/>
        <w:spacing w:after="0" w:line="273" w:lineRule="auto"/>
        <w:tabs>
          <w:tab w:leader="none" w:pos="66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The Corporate Sector market group focuses on sales to customers and prospects in the corporate sector globally, and includes EVERFI and YourCause.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revenue by market group:</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52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7"/>
              </w:rPr>
              <w:t>Three months ended</w:t>
            </w:r>
          </w:p>
        </w:tc>
        <w:tc>
          <w:tcPr>
            <w:tcW w:w="10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84"/>
        </w:trPr>
        <w:tc>
          <w:tcPr>
            <w:tcW w:w="20" w:type="dxa"/>
            <w:vAlign w:val="bottom"/>
            <w:shd w:val="clear" w:color="auto" w:fill="004054"/>
          </w:tcPr>
          <w:p>
            <w:pPr>
              <w:spacing w:after="0"/>
              <w:rPr>
                <w:sz w:val="15"/>
                <w:szCs w:val="15"/>
                <w:color w:val="auto"/>
              </w:rPr>
            </w:pPr>
          </w:p>
        </w:tc>
        <w:tc>
          <w:tcPr>
            <w:tcW w:w="452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99"/>
        </w:trPr>
        <w:tc>
          <w:tcPr>
            <w:tcW w:w="20" w:type="dxa"/>
            <w:vAlign w:val="bottom"/>
            <w:shd w:val="clear" w:color="auto" w:fill="004054"/>
          </w:tcPr>
          <w:p>
            <w:pPr>
              <w:spacing w:after="0"/>
              <w:rPr>
                <w:sz w:val="24"/>
                <w:szCs w:val="24"/>
                <w:color w:val="auto"/>
              </w:rPr>
            </w:pPr>
          </w:p>
        </w:tc>
        <w:tc>
          <w:tcPr>
            <w:tcW w:w="4520" w:type="dxa"/>
            <w:vAlign w:val="bottom"/>
            <w:tcBorders>
              <w:bottom w:val="single" w:sz="8" w:color="EBFBFF"/>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20" w:type="dxa"/>
            <w:vAlign w:val="bottom"/>
            <w:tcBorders>
              <w:bottom w:val="single" w:sz="8" w:color="EBFBFF"/>
            </w:tcBorders>
            <w:shd w:val="clear" w:color="auto" w:fill="004054"/>
          </w:tcPr>
          <w:p>
            <w:pPr>
              <w:spacing w:after="0"/>
              <w:rPr>
                <w:sz w:val="24"/>
                <w:szCs w:val="24"/>
                <w:color w:val="auto"/>
              </w:rPr>
            </w:pPr>
          </w:p>
        </w:tc>
        <w:tc>
          <w:tcPr>
            <w:tcW w:w="540" w:type="dxa"/>
            <w:vAlign w:val="bottom"/>
            <w:tcBorders>
              <w:bottom w:val="single" w:sz="8" w:color="004054"/>
            </w:tcBorders>
            <w:shd w:val="clear" w:color="auto" w:fill="004054"/>
          </w:tcPr>
          <w:p>
            <w:pPr>
              <w:spacing w:after="0"/>
              <w:rPr>
                <w:sz w:val="24"/>
                <w:szCs w:val="24"/>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40" w:type="dxa"/>
            <w:vAlign w:val="bottom"/>
            <w:tcBorders>
              <w:bottom w:val="single" w:sz="8" w:color="004054"/>
            </w:tcBorders>
            <w:shd w:val="clear" w:color="auto" w:fill="004054"/>
          </w:tcPr>
          <w:p>
            <w:pPr>
              <w:spacing w:after="0"/>
              <w:rPr>
                <w:sz w:val="24"/>
                <w:szCs w:val="24"/>
                <w:color w:val="auto"/>
              </w:rPr>
            </w:pP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r>
              <w:rPr>
                <w:rFonts w:ascii="Arial" w:cs="Arial" w:eastAsia="Arial" w:hAnsi="Arial"/>
                <w:sz w:val="18"/>
                <w:szCs w:val="18"/>
                <w:b w:val="1"/>
                <w:bCs w:val="1"/>
                <w:color w:val="FFFFFF"/>
                <w:vertAlign w:val="superscript"/>
              </w:rPr>
              <w:t>(1)</w:t>
            </w:r>
          </w:p>
        </w:tc>
        <w:tc>
          <w:tcPr>
            <w:tcW w:w="100" w:type="dxa"/>
            <w:vAlign w:val="bottom"/>
            <w:tcBorders>
              <w:bottom w:val="single" w:sz="8" w:color="EBFBFF"/>
            </w:tcBorders>
          </w:tcPr>
          <w:p>
            <w:pPr>
              <w:spacing w:after="0"/>
              <w:rPr>
                <w:sz w:val="24"/>
                <w:szCs w:val="24"/>
                <w:color w:val="auto"/>
              </w:rPr>
            </w:pPr>
          </w:p>
        </w:tc>
        <w:tc>
          <w:tcPr>
            <w:tcW w:w="560" w:type="dxa"/>
            <w:vAlign w:val="bottom"/>
            <w:tcBorders>
              <w:bottom w:val="single" w:sz="8" w:color="004054"/>
            </w:tcBorders>
            <w:shd w:val="clear" w:color="auto" w:fill="004054"/>
          </w:tcPr>
          <w:p>
            <w:pPr>
              <w:spacing w:after="0"/>
              <w:rPr>
                <w:sz w:val="24"/>
                <w:szCs w:val="24"/>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40" w:type="dxa"/>
            <w:vAlign w:val="bottom"/>
            <w:tcBorders>
              <w:bottom w:val="single" w:sz="8" w:color="004054"/>
            </w:tcBorders>
            <w:shd w:val="clear" w:color="auto" w:fill="004054"/>
          </w:tcPr>
          <w:p>
            <w:pPr>
              <w:spacing w:after="0"/>
              <w:rPr>
                <w:sz w:val="24"/>
                <w:szCs w:val="24"/>
                <w:color w:val="auto"/>
              </w:rPr>
            </w:pP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r>
              <w:rPr>
                <w:rFonts w:ascii="Arial" w:cs="Arial" w:eastAsia="Arial" w:hAnsi="Arial"/>
                <w:sz w:val="18"/>
                <w:szCs w:val="18"/>
                <w:b w:val="1"/>
                <w:bCs w:val="1"/>
                <w:color w:val="FFFFFF"/>
                <w:vertAlign w:val="superscript"/>
              </w:rPr>
              <w:t>(1)</w:t>
            </w:r>
          </w:p>
        </w:tc>
      </w:tr>
      <w:tr>
        <w:trPr>
          <w:trHeight w:val="230"/>
        </w:trPr>
        <w:tc>
          <w:tcPr>
            <w:tcW w:w="20" w:type="dxa"/>
            <w:vAlign w:val="bottom"/>
          </w:tcPr>
          <w:p>
            <w:pPr>
              <w:spacing w:after="0"/>
              <w:rPr>
                <w:sz w:val="20"/>
                <w:szCs w:val="20"/>
                <w:color w:val="auto"/>
              </w:rPr>
            </w:pPr>
          </w:p>
        </w:tc>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Social Sector</w:t>
            </w:r>
          </w:p>
        </w:tc>
        <w:tc>
          <w:tcPr>
            <w:tcW w:w="20" w:type="dxa"/>
            <w:vAlign w:val="bottom"/>
            <w:tcBorders>
              <w:bottom w:val="single" w:sz="8" w:color="EBFBFF"/>
            </w:tcBorders>
            <w:shd w:val="clear" w:color="auto" w:fill="EBFBFF"/>
          </w:tcPr>
          <w:p>
            <w:pPr>
              <w:spacing w:after="0"/>
              <w:rPr>
                <w:sz w:val="20"/>
                <w:szCs w:val="20"/>
                <w:color w:val="auto"/>
              </w:rPr>
            </w:pP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232,381</w:t>
            </w: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79"/>
              </w:rPr>
              <w:t>$</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227,756</w:t>
            </w:r>
          </w:p>
        </w:tc>
        <w:tc>
          <w:tcPr>
            <w:tcW w:w="100" w:type="dxa"/>
            <w:vAlign w:val="bottom"/>
            <w:tcBorders>
              <w:bottom w:val="single" w:sz="8" w:color="EBFBFF"/>
            </w:tcBorders>
            <w:shd w:val="clear" w:color="auto" w:fill="EBFBFF"/>
          </w:tcPr>
          <w:p>
            <w:pPr>
              <w:spacing w:after="0"/>
              <w:rPr>
                <w:sz w:val="20"/>
                <w:szCs w:val="20"/>
                <w:color w:val="auto"/>
              </w:rPr>
            </w:pP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457,278</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447,751</w:t>
            </w:r>
          </w:p>
        </w:tc>
      </w:tr>
      <w:tr>
        <w:trPr>
          <w:trHeight w:val="275"/>
        </w:trPr>
        <w:tc>
          <w:tcPr>
            <w:tcW w:w="20" w:type="dxa"/>
            <w:vAlign w:val="bottom"/>
          </w:tcPr>
          <w:p>
            <w:pPr>
              <w:spacing w:after="0"/>
              <w:rPr>
                <w:sz w:val="23"/>
                <w:szCs w:val="23"/>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51555C"/>
              </w:rPr>
              <w:t>Corporate Sector</w:t>
            </w: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38,661</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51555C"/>
              </w:rPr>
              <w:t>37,171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75,517</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51555C"/>
              </w:rPr>
              <w:t>74,300</w:t>
            </w:r>
          </w:p>
        </w:tc>
      </w:tr>
      <w:tr>
        <w:trPr>
          <w:trHeight w:val="49"/>
        </w:trPr>
        <w:tc>
          <w:tcPr>
            <w:tcW w:w="20" w:type="dxa"/>
            <w:vAlign w:val="bottom"/>
          </w:tcPr>
          <w:p>
            <w:pPr>
              <w:spacing w:after="0"/>
              <w:rPr>
                <w:sz w:val="4"/>
                <w:szCs w:val="4"/>
                <w:color w:val="auto"/>
              </w:rPr>
            </w:pPr>
          </w:p>
        </w:tc>
        <w:tc>
          <w:tcPr>
            <w:tcW w:w="4520" w:type="dxa"/>
            <w:vAlign w:val="bottom"/>
            <w:tcBorders>
              <w:bottom w:val="single" w:sz="8" w:color="EBFBFF"/>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c>
          <w:tcPr>
            <w:tcW w:w="540" w:type="dxa"/>
            <w:vAlign w:val="bottom"/>
            <w:tcBorders>
              <w:bottom w:val="single" w:sz="8" w:color="51555C"/>
            </w:tcBorders>
          </w:tcPr>
          <w:p>
            <w:pPr>
              <w:spacing w:after="0"/>
              <w:rPr>
                <w:sz w:val="4"/>
                <w:szCs w:val="4"/>
                <w:color w:val="auto"/>
              </w:rPr>
            </w:pPr>
          </w:p>
        </w:tc>
        <w:tc>
          <w:tcPr>
            <w:tcW w:w="1100" w:type="dxa"/>
            <w:vAlign w:val="bottom"/>
            <w:tcBorders>
              <w:bottom w:val="single" w:sz="8" w:color="51555C"/>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40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1080" w:type="dxa"/>
            <w:vAlign w:val="bottom"/>
            <w:tcBorders>
              <w:bottom w:val="single" w:sz="8" w:color="51555C"/>
            </w:tcBorders>
          </w:tcPr>
          <w:p>
            <w:pPr>
              <w:spacing w:after="0"/>
              <w:rPr>
                <w:sz w:val="4"/>
                <w:szCs w:val="4"/>
                <w:color w:val="auto"/>
              </w:rPr>
            </w:pPr>
          </w:p>
        </w:tc>
        <w:tc>
          <w:tcPr>
            <w:tcW w:w="34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52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Total revenue</w:t>
            </w:r>
          </w:p>
        </w:tc>
        <w:tc>
          <w:tcPr>
            <w:tcW w:w="560" w:type="dxa"/>
            <w:vAlign w:val="bottom"/>
            <w:tcBorders>
              <w:bottom w:val="single" w:sz="8" w:color="EBFBFF"/>
            </w:tcBorders>
            <w:gridSpan w:val="2"/>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271,042</w:t>
            </w: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79"/>
              </w:rPr>
              <w:t>$</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264,927</w:t>
            </w:r>
          </w:p>
        </w:tc>
        <w:tc>
          <w:tcPr>
            <w:tcW w:w="100" w:type="dxa"/>
            <w:vAlign w:val="bottom"/>
            <w:tcBorders>
              <w:bottom w:val="single" w:sz="8" w:color="EBFBFF"/>
            </w:tcBorders>
            <w:shd w:val="clear" w:color="auto" w:fill="EBFBFF"/>
          </w:tcPr>
          <w:p>
            <w:pPr>
              <w:spacing w:after="0"/>
              <w:rPr>
                <w:sz w:val="21"/>
                <w:szCs w:val="21"/>
                <w:color w:val="auto"/>
              </w:rPr>
            </w:pP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532,795</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522,051</w:t>
            </w: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-719455</wp:posOffset>
            </wp:positionV>
            <wp:extent cx="42348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7" w:lineRule="exact"/>
        <w:rPr>
          <w:sz w:val="20"/>
          <w:szCs w:val="20"/>
          <w:color w:val="auto"/>
        </w:rPr>
      </w:pPr>
    </w:p>
    <w:p>
      <w:pPr>
        <w:ind w:left="340" w:hanging="332"/>
        <w:spacing w:after="0" w:line="272" w:lineRule="auto"/>
        <w:tabs>
          <w:tab w:leader="none" w:pos="340" w:val="left"/>
        </w:tabs>
        <w:numPr>
          <w:ilvl w:val="0"/>
          <w:numId w:val="12"/>
        </w:numPr>
        <w:rPr>
          <w:rFonts w:ascii="Arial" w:cs="Arial" w:eastAsia="Arial" w:hAnsi="Arial"/>
          <w:sz w:val="14"/>
          <w:szCs w:val="14"/>
          <w:color w:val="51555C"/>
        </w:rPr>
      </w:pPr>
      <w:r>
        <w:rPr>
          <w:rFonts w:ascii="Arial" w:cs="Arial" w:eastAsia="Arial" w:hAnsi="Arial"/>
          <w:sz w:val="14"/>
          <w:szCs w:val="14"/>
          <w:color w:val="51555C"/>
        </w:rPr>
        <w:t>Due to the market group change discussed above, we have recast our revenue by market group for the three and six months ended June 30, 2022 to present them on a consistent basis with the current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recurring revenue by type: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54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8"/>
              </w:rPr>
              <w:t>Three months ended</w:t>
            </w:r>
          </w:p>
        </w:tc>
        <w:tc>
          <w:tcPr>
            <w:tcW w:w="10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84"/>
        </w:trPr>
        <w:tc>
          <w:tcPr>
            <w:tcW w:w="20" w:type="dxa"/>
            <w:vAlign w:val="bottom"/>
            <w:shd w:val="clear" w:color="auto" w:fill="004054"/>
          </w:tcPr>
          <w:p>
            <w:pPr>
              <w:spacing w:after="0"/>
              <w:rPr>
                <w:sz w:val="15"/>
                <w:szCs w:val="15"/>
                <w:color w:val="auto"/>
              </w:rPr>
            </w:pPr>
          </w:p>
        </w:tc>
        <w:tc>
          <w:tcPr>
            <w:tcW w:w="454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5"/>
                <w:szCs w:val="15"/>
                <w:color w:val="auto"/>
              </w:rPr>
            </w:pPr>
          </w:p>
        </w:tc>
        <w:tc>
          <w:tcPr>
            <w:tcW w:w="56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34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43"/>
        </w:trPr>
        <w:tc>
          <w:tcPr>
            <w:tcW w:w="20" w:type="dxa"/>
            <w:vAlign w:val="bottom"/>
            <w:shd w:val="clear" w:color="auto" w:fill="004054"/>
          </w:tcPr>
          <w:p>
            <w:pPr>
              <w:spacing w:after="0"/>
              <w:rPr>
                <w:sz w:val="21"/>
                <w:szCs w:val="21"/>
                <w:color w:val="auto"/>
              </w:rPr>
            </w:pPr>
          </w:p>
        </w:tc>
        <w:tc>
          <w:tcPr>
            <w:tcW w:w="454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shd w:val="clear" w:color="auto" w:fill="004054"/>
          </w:tcPr>
          <w:p>
            <w:pPr>
              <w:spacing w:after="0"/>
              <w:rPr>
                <w:sz w:val="21"/>
                <w:szCs w:val="21"/>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40" w:type="dxa"/>
            <w:vAlign w:val="bottom"/>
            <w:shd w:val="clear" w:color="auto" w:fill="004054"/>
          </w:tcPr>
          <w:p>
            <w:pPr>
              <w:spacing w:after="0"/>
              <w:rPr>
                <w:sz w:val="21"/>
                <w:szCs w:val="21"/>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Pr>
          <w:p>
            <w:pPr>
              <w:spacing w:after="0"/>
              <w:rPr>
                <w:sz w:val="21"/>
                <w:szCs w:val="21"/>
                <w:color w:val="auto"/>
              </w:rPr>
            </w:pPr>
          </w:p>
        </w:tc>
        <w:tc>
          <w:tcPr>
            <w:tcW w:w="560" w:type="dxa"/>
            <w:vAlign w:val="bottom"/>
            <w:shd w:val="clear" w:color="auto" w:fill="004054"/>
          </w:tcPr>
          <w:p>
            <w:pPr>
              <w:spacing w:after="0"/>
              <w:rPr>
                <w:sz w:val="21"/>
                <w:szCs w:val="21"/>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40" w:type="dxa"/>
            <w:vAlign w:val="bottom"/>
            <w:shd w:val="clear" w:color="auto" w:fill="004054"/>
          </w:tcPr>
          <w:p>
            <w:pPr>
              <w:spacing w:after="0"/>
              <w:rPr>
                <w:sz w:val="21"/>
                <w:szCs w:val="21"/>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57"/>
        </w:trPr>
        <w:tc>
          <w:tcPr>
            <w:tcW w:w="20" w:type="dxa"/>
            <w:vAlign w:val="bottom"/>
            <w:tcBorders>
              <w:bottom w:val="single" w:sz="8" w:color="004054"/>
            </w:tcBorders>
            <w:shd w:val="clear" w:color="auto" w:fill="004054"/>
          </w:tcPr>
          <w:p>
            <w:pPr>
              <w:spacing w:after="0"/>
              <w:rPr>
                <w:sz w:val="4"/>
                <w:szCs w:val="4"/>
                <w:color w:val="auto"/>
              </w:rPr>
            </w:pPr>
          </w:p>
        </w:tc>
        <w:tc>
          <w:tcPr>
            <w:tcW w:w="4540" w:type="dxa"/>
            <w:vAlign w:val="bottom"/>
            <w:tcBorders>
              <w:bottom w:val="single" w:sz="8" w:color="004054"/>
            </w:tcBorders>
            <w:shd w:val="clear" w:color="auto" w:fill="004054"/>
          </w:tcPr>
          <w:p>
            <w:pPr>
              <w:spacing w:after="0"/>
              <w:rPr>
                <w:sz w:val="4"/>
                <w:szCs w:val="4"/>
                <w:color w:val="auto"/>
              </w:rPr>
            </w:pPr>
          </w:p>
        </w:tc>
        <w:tc>
          <w:tcPr>
            <w:tcW w:w="54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tcBorders>
            <w:shd w:val="clear" w:color="auto" w:fill="004054"/>
          </w:tcPr>
          <w:p>
            <w:pPr>
              <w:spacing w:after="0"/>
              <w:rPr>
                <w:sz w:val="4"/>
                <w:szCs w:val="4"/>
                <w:color w:val="auto"/>
              </w:rPr>
            </w:pPr>
          </w:p>
        </w:tc>
        <w:tc>
          <w:tcPr>
            <w:tcW w:w="240" w:type="dxa"/>
            <w:vAlign w:val="bottom"/>
            <w:tcBorders>
              <w:bottom w:val="single" w:sz="8" w:color="004054"/>
            </w:tcBorders>
            <w:shd w:val="clear" w:color="auto" w:fill="004054"/>
          </w:tcPr>
          <w:p>
            <w:pPr>
              <w:spacing w:after="0"/>
              <w:rPr>
                <w:sz w:val="4"/>
                <w:szCs w:val="4"/>
                <w:color w:val="auto"/>
              </w:rPr>
            </w:pPr>
          </w:p>
        </w:tc>
        <w:tc>
          <w:tcPr>
            <w:tcW w:w="1400" w:type="dxa"/>
            <w:vAlign w:val="bottom"/>
            <w:tcBorders>
              <w:bottom w:val="single" w:sz="8" w:color="004054"/>
            </w:tcBorders>
            <w:shd w:val="clear" w:color="auto" w:fill="004054"/>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60" w:type="dxa"/>
            <w:vAlign w:val="bottom"/>
            <w:tcBorders>
              <w:bottom w:val="single" w:sz="8" w:color="004054"/>
            </w:tcBorders>
            <w:shd w:val="clear" w:color="auto" w:fill="004054"/>
          </w:tcPr>
          <w:p>
            <w:pPr>
              <w:spacing w:after="0"/>
              <w:rPr>
                <w:sz w:val="4"/>
                <w:szCs w:val="4"/>
                <w:color w:val="auto"/>
              </w:rPr>
            </w:pPr>
          </w:p>
        </w:tc>
        <w:tc>
          <w:tcPr>
            <w:tcW w:w="1080" w:type="dxa"/>
            <w:vAlign w:val="bottom"/>
            <w:tcBorders>
              <w:bottom w:val="single" w:sz="8" w:color="004054"/>
            </w:tcBorders>
            <w:shd w:val="clear" w:color="auto" w:fill="004054"/>
          </w:tcPr>
          <w:p>
            <w:pPr>
              <w:spacing w:after="0"/>
              <w:rPr>
                <w:sz w:val="4"/>
                <w:szCs w:val="4"/>
                <w:color w:val="auto"/>
              </w:rPr>
            </w:pPr>
          </w:p>
        </w:tc>
        <w:tc>
          <w:tcPr>
            <w:tcW w:w="340" w:type="dxa"/>
            <w:vAlign w:val="bottom"/>
            <w:tcBorders>
              <w:bottom w:val="single" w:sz="8" w:color="004054"/>
            </w:tcBorders>
            <w:shd w:val="clear" w:color="auto" w:fill="004054"/>
          </w:tcPr>
          <w:p>
            <w:pPr>
              <w:spacing w:after="0"/>
              <w:rPr>
                <w:sz w:val="4"/>
                <w:szCs w:val="4"/>
                <w:color w:val="auto"/>
              </w:rPr>
            </w:pPr>
          </w:p>
        </w:tc>
        <w:tc>
          <w:tcPr>
            <w:tcW w:w="1320" w:type="dxa"/>
            <w:vAlign w:val="bottom"/>
            <w:tcBorders>
              <w:bottom w:val="single" w:sz="8" w:color="004054"/>
            </w:tcBorders>
            <w:shd w:val="clear" w:color="auto" w:fill="004054"/>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Contractual recurring</w:t>
            </w: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181,235</w:t>
            </w: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79"/>
              </w:rPr>
              <w:t>$</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177,350</w:t>
            </w:r>
          </w:p>
        </w:tc>
        <w:tc>
          <w:tcPr>
            <w:tcW w:w="100" w:type="dxa"/>
            <w:vAlign w:val="bottom"/>
            <w:tcBorders>
              <w:bottom w:val="single" w:sz="8" w:color="EBFBFF"/>
            </w:tcBorders>
            <w:shd w:val="clear" w:color="auto" w:fill="EBFBFF"/>
          </w:tcPr>
          <w:p>
            <w:pPr>
              <w:spacing w:after="0"/>
              <w:rPr>
                <w:sz w:val="21"/>
                <w:szCs w:val="21"/>
                <w:color w:val="auto"/>
              </w:rPr>
            </w:pP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358,838</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351,882</w:t>
            </w:r>
          </w:p>
        </w:tc>
      </w:tr>
      <w:tr>
        <w:trPr>
          <w:trHeight w:val="227"/>
        </w:trPr>
        <w:tc>
          <w:tcPr>
            <w:tcW w:w="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51555C"/>
              </w:rPr>
              <w:t>Transactonal recurring</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81,155</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51555C"/>
              </w:rPr>
              <w:t>75,157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156,300</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51555C"/>
              </w:rPr>
              <w:t>145,291</w:t>
            </w:r>
          </w:p>
        </w:tc>
      </w:tr>
      <w:tr>
        <w:trPr>
          <w:trHeight w:val="43"/>
        </w:trPr>
        <w:tc>
          <w:tcPr>
            <w:tcW w:w="20" w:type="dxa"/>
            <w:vAlign w:val="bottom"/>
          </w:tcPr>
          <w:p>
            <w:pPr>
              <w:spacing w:after="0"/>
              <w:rPr>
                <w:sz w:val="3"/>
                <w:szCs w:val="3"/>
                <w:color w:val="auto"/>
              </w:rPr>
            </w:pPr>
          </w:p>
        </w:tc>
        <w:tc>
          <w:tcPr>
            <w:tcW w:w="4540" w:type="dxa"/>
            <w:vAlign w:val="bottom"/>
            <w:tcBorders>
              <w:bottom w:val="single" w:sz="8" w:color="EBFBFF"/>
            </w:tcBorders>
          </w:tcPr>
          <w:p>
            <w:pPr>
              <w:spacing w:after="0"/>
              <w:rPr>
                <w:sz w:val="3"/>
                <w:szCs w:val="3"/>
                <w:color w:val="auto"/>
              </w:rPr>
            </w:pPr>
          </w:p>
        </w:tc>
        <w:tc>
          <w:tcPr>
            <w:tcW w:w="540" w:type="dxa"/>
            <w:vAlign w:val="bottom"/>
            <w:tcBorders>
              <w:bottom w:val="single" w:sz="8" w:color="51555C"/>
            </w:tcBorders>
          </w:tcPr>
          <w:p>
            <w:pPr>
              <w:spacing w:after="0"/>
              <w:rPr>
                <w:sz w:val="3"/>
                <w:szCs w:val="3"/>
                <w:color w:val="auto"/>
              </w:rPr>
            </w:pPr>
          </w:p>
        </w:tc>
        <w:tc>
          <w:tcPr>
            <w:tcW w:w="1100" w:type="dxa"/>
            <w:vAlign w:val="bottom"/>
            <w:tcBorders>
              <w:bottom w:val="single" w:sz="8" w:color="51555C"/>
            </w:tcBorders>
          </w:tcPr>
          <w:p>
            <w:pPr>
              <w:spacing w:after="0"/>
              <w:rPr>
                <w:sz w:val="3"/>
                <w:szCs w:val="3"/>
                <w:color w:val="auto"/>
              </w:rPr>
            </w:pPr>
          </w:p>
        </w:tc>
        <w:tc>
          <w:tcPr>
            <w:tcW w:w="240" w:type="dxa"/>
            <w:vAlign w:val="bottom"/>
            <w:tcBorders>
              <w:bottom w:val="single" w:sz="8" w:color="51555C"/>
            </w:tcBorders>
          </w:tcPr>
          <w:p>
            <w:pPr>
              <w:spacing w:after="0"/>
              <w:rPr>
                <w:sz w:val="3"/>
                <w:szCs w:val="3"/>
                <w:color w:val="auto"/>
              </w:rPr>
            </w:pPr>
          </w:p>
        </w:tc>
        <w:tc>
          <w:tcPr>
            <w:tcW w:w="140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560" w:type="dxa"/>
            <w:vAlign w:val="bottom"/>
            <w:tcBorders>
              <w:bottom w:val="single" w:sz="8" w:color="51555C"/>
            </w:tcBorders>
          </w:tcPr>
          <w:p>
            <w:pPr>
              <w:spacing w:after="0"/>
              <w:rPr>
                <w:sz w:val="3"/>
                <w:szCs w:val="3"/>
                <w:color w:val="auto"/>
              </w:rPr>
            </w:pPr>
          </w:p>
        </w:tc>
        <w:tc>
          <w:tcPr>
            <w:tcW w:w="1080" w:type="dxa"/>
            <w:vAlign w:val="bottom"/>
            <w:tcBorders>
              <w:bottom w:val="single" w:sz="8" w:color="51555C"/>
            </w:tcBorders>
          </w:tcPr>
          <w:p>
            <w:pPr>
              <w:spacing w:after="0"/>
              <w:rPr>
                <w:sz w:val="3"/>
                <w:szCs w:val="3"/>
                <w:color w:val="auto"/>
              </w:rPr>
            </w:pPr>
          </w:p>
        </w:tc>
        <w:tc>
          <w:tcPr>
            <w:tcW w:w="340" w:type="dxa"/>
            <w:vAlign w:val="bottom"/>
            <w:tcBorders>
              <w:bottom w:val="single" w:sz="8" w:color="51555C"/>
            </w:tcBorders>
          </w:tcPr>
          <w:p>
            <w:pPr>
              <w:spacing w:after="0"/>
              <w:rPr>
                <w:sz w:val="3"/>
                <w:szCs w:val="3"/>
                <w:color w:val="auto"/>
              </w:rPr>
            </w:pPr>
          </w:p>
        </w:tc>
        <w:tc>
          <w:tcPr>
            <w:tcW w:w="1320" w:type="dxa"/>
            <w:vAlign w:val="bottom"/>
            <w:tcBorders>
              <w:bottom w:val="single" w:sz="8" w:color="51555C"/>
            </w:tcBorders>
          </w:tcPr>
          <w:p>
            <w:pPr>
              <w:spacing w:after="0"/>
              <w:rPr>
                <w:sz w:val="3"/>
                <w:szCs w:val="3"/>
                <w:color w:val="auto"/>
              </w:rPr>
            </w:pPr>
          </w:p>
        </w:tc>
      </w:tr>
      <w:tr>
        <w:trPr>
          <w:trHeight w:val="244"/>
        </w:trPr>
        <w:tc>
          <w:tcPr>
            <w:tcW w:w="20" w:type="dxa"/>
            <w:vAlign w:val="bottom"/>
          </w:tcPr>
          <w:p>
            <w:pPr>
              <w:spacing w:after="0"/>
              <w:rPr>
                <w:sz w:val="21"/>
                <w:szCs w:val="21"/>
                <w:color w:val="auto"/>
              </w:rPr>
            </w:pPr>
          </w:p>
        </w:tc>
        <w:tc>
          <w:tcPr>
            <w:tcW w:w="45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Total recurring revenue</w:t>
            </w: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7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262,390</w:t>
            </w: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79"/>
              </w:rPr>
              <w:t>$</w:t>
            </w:r>
          </w:p>
        </w:tc>
        <w:tc>
          <w:tcPr>
            <w:tcW w:w="14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252,507</w:t>
            </w:r>
          </w:p>
        </w:tc>
        <w:tc>
          <w:tcPr>
            <w:tcW w:w="100" w:type="dxa"/>
            <w:vAlign w:val="bottom"/>
            <w:tcBorders>
              <w:bottom w:val="single" w:sz="8" w:color="EBFBFF"/>
            </w:tcBorders>
            <w:shd w:val="clear" w:color="auto" w:fill="EBFBFF"/>
          </w:tcPr>
          <w:p>
            <w:pPr>
              <w:spacing w:after="0"/>
              <w:rPr>
                <w:sz w:val="21"/>
                <w:szCs w:val="21"/>
                <w:color w:val="auto"/>
              </w:rPr>
            </w:pP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515,138</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497,173</w:t>
            </w: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-693420</wp:posOffset>
            </wp:positionV>
            <wp:extent cx="42348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880"/>
        </w:rPr>
        <w:t>12.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151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Fixed Asset Impairment</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On July 31, 2023, we entered into a sublease for a porton of our Washington, DC ofce locaton, which we previously closed in February 2023 to align with our remote-frst workforce strategy. We considered our entry into the sublease an impairment indicator. As a result, we currently expect to incur pre-tax costs between $6.0 million and $8.0 million in the third quarter of 2023, consistng of noncash impairment charges against certain operatng lease right-of-use assets and property and equipment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226695</wp:posOffset>
            </wp:positionV>
            <wp:extent cx="66040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23</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8" w:lineRule="auto"/>
        <w:rPr>
          <w:sz w:val="20"/>
          <w:szCs w:val="20"/>
          <w:color w:val="auto"/>
        </w:rPr>
      </w:pPr>
      <w:r>
        <w:rPr>
          <w:rFonts w:ascii="Arial" w:cs="Arial" w:eastAsia="Arial" w:hAnsi="Arial"/>
          <w:sz w:val="29"/>
          <w:szCs w:val="29"/>
          <w:b w:val="1"/>
          <w:bCs w:val="1"/>
          <w:color w:val="004054"/>
        </w:rPr>
        <w:t>ITEM 2. MANAGEMENT'S DISCUSSION AND ANALYSIS OF FINANCIAL CONDITION AND RESULTS OF OPERATIONS</w:t>
      </w:r>
    </w:p>
    <w:p>
      <w:pPr>
        <w:spacing w:after="0" w:line="9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i w:val="1"/>
          <w:iCs w:val="1"/>
          <w:color w:val="51555C"/>
        </w:rPr>
        <w:t>The following discussion and analysis of our fnancial conditon and results of operatons should be read in conjuncton with our unaudited, condensed consolidated fnancial statements and related notes included elsewhere in this Quarterly Report on Form 10-Q. The following discussion and analysis presents fnancial informaton denominated in millions of dollars which can lead to diferences from rounding when compared to similar informaton contained in the unaudited, condensed consolidated fnancial statements and related notes which are primarily denominated in thousands of dollars.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and the United Kingdom, supportng users in 100+ countries.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51555C"/>
        </w:rPr>
        <w:t>Our revenue is primarily generated from the following sources: (i) charging for the use of our sofware solutons in cloud and hosted environments;</w:t>
      </w:r>
    </w:p>
    <w:p>
      <w:pPr>
        <w:spacing w:after="0" w:line="31" w:lineRule="exact"/>
        <w:rPr>
          <w:sz w:val="20"/>
          <w:szCs w:val="20"/>
          <w:color w:val="auto"/>
        </w:rPr>
      </w:pPr>
    </w:p>
    <w:p>
      <w:pPr>
        <w:ind w:firstLine="8"/>
        <w:spacing w:after="0" w:line="290" w:lineRule="auto"/>
        <w:tabs>
          <w:tab w:leader="none" w:pos="234" w:val="left"/>
        </w:tabs>
        <w:numPr>
          <w:ilvl w:val="0"/>
          <w:numId w:val="13"/>
        </w:numPr>
        <w:rPr>
          <w:rFonts w:ascii="Arial" w:cs="Arial" w:eastAsia="Arial" w:hAnsi="Arial"/>
          <w:sz w:val="17"/>
          <w:szCs w:val="17"/>
          <w:color w:val="51555C"/>
        </w:rPr>
      </w:pPr>
      <w:r>
        <w:rPr>
          <w:rFonts w:ascii="Arial" w:cs="Arial" w:eastAsia="Arial" w:hAnsi="Arial"/>
          <w:sz w:val="17"/>
          <w:szCs w:val="17"/>
          <w:color w:val="51555C"/>
        </w:rPr>
        <w:t>providing payment and transactonal services; (iii) providing Impact-as-a-Service</w:t>
      </w:r>
      <w:r>
        <w:rPr>
          <w:rFonts w:ascii="Arial" w:cs="Arial" w:eastAsia="Arial" w:hAnsi="Arial"/>
          <w:sz w:val="17"/>
          <w:szCs w:val="17"/>
          <w:i w:val="1"/>
          <w:iCs w:val="1"/>
          <w:color w:val="51555C"/>
        </w:rPr>
        <w:t>™</w:t>
      </w:r>
      <w:r>
        <w:rPr>
          <w:rFonts w:ascii="Arial" w:cs="Arial" w:eastAsia="Arial" w:hAnsi="Arial"/>
          <w:sz w:val="17"/>
          <w:szCs w:val="17"/>
          <w:color w:val="51555C"/>
        </w:rPr>
        <w:t xml:space="preserve"> digital educatonal content; (iv) providing sofware maintenance and support services; and (v) providing professional services, including implementaton, consultng, training, analytc and other services.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Update on Five Key Operatonal Initatves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147320</wp:posOffset>
            </wp:positionV>
            <wp:extent cx="266065" cy="197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6065" cy="197485"/>
                    </a:xfrm>
                    <a:prstGeom prst="rect">
                      <a:avLst/>
                    </a:prstGeom>
                    <a:noFill/>
                  </pic:spPr>
                </pic:pic>
              </a:graphicData>
            </a:graphic>
          </wp:anchor>
        </w:drawing>
      </w:r>
    </w:p>
    <w:p>
      <w:pPr>
        <w:spacing w:after="0" w:line="219" w:lineRule="exact"/>
        <w:rPr>
          <w:sz w:val="20"/>
          <w:szCs w:val="20"/>
          <w:color w:val="auto"/>
        </w:rPr>
      </w:pPr>
    </w:p>
    <w:p>
      <w:pPr>
        <w:ind w:left="1340" w:hanging="479"/>
        <w:spacing w:after="0"/>
        <w:tabs>
          <w:tab w:leader="none" w:pos="1340" w:val="left"/>
        </w:tabs>
        <w:numPr>
          <w:ilvl w:val="2"/>
          <w:numId w:val="14"/>
        </w:numPr>
        <w:rPr>
          <w:rFonts w:ascii="Arial" w:cs="Arial" w:eastAsia="Arial" w:hAnsi="Arial"/>
          <w:sz w:val="18"/>
          <w:szCs w:val="18"/>
          <w:b w:val="1"/>
          <w:bCs w:val="1"/>
          <w:color w:val="FFFFFF"/>
        </w:rPr>
      </w:pPr>
      <w:r>
        <w:rPr>
          <w:rFonts w:ascii="Arial" w:cs="Arial" w:eastAsia="Arial" w:hAnsi="Arial"/>
          <w:sz w:val="18"/>
          <w:szCs w:val="18"/>
          <w:b w:val="1"/>
          <w:bCs w:val="1"/>
          <w:color w:val="51555C"/>
        </w:rPr>
        <w:t>Product Innovaton and Delivery</w:t>
      </w:r>
    </w:p>
    <w:p>
      <w:pPr>
        <w:spacing w:after="0" w:line="211" w:lineRule="exact"/>
        <w:rPr>
          <w:rFonts w:ascii="Arial" w:cs="Arial" w:eastAsia="Arial" w:hAnsi="Arial"/>
          <w:sz w:val="18"/>
          <w:szCs w:val="18"/>
          <w:b w:val="1"/>
          <w:bCs w:val="1"/>
          <w:color w:val="FFFFFF"/>
        </w:rPr>
      </w:pPr>
    </w:p>
    <w:p>
      <w:pPr>
        <w:ind w:left="8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2</w:t>
      </w:r>
      <w:r>
        <w:rPr>
          <w:rFonts w:ascii="Arial" w:cs="Arial" w:eastAsia="Arial" w:hAnsi="Arial"/>
          <w:sz w:val="15"/>
          <w:szCs w:val="15"/>
          <w:b w:val="1"/>
          <w:bCs w:val="1"/>
          <w:color w:val="51555C"/>
        </w:rPr>
        <w:t>Bookings Growth and Acceleraton</w:t>
      </w:r>
    </w:p>
    <w:p>
      <w:pPr>
        <w:spacing w:after="0" w:line="211" w:lineRule="exact"/>
        <w:rPr>
          <w:rFonts w:ascii="Arial" w:cs="Arial" w:eastAsia="Arial" w:hAnsi="Arial"/>
          <w:sz w:val="18"/>
          <w:szCs w:val="18"/>
          <w:b w:val="1"/>
          <w:bCs w:val="1"/>
          <w:color w:val="FFFFFF"/>
        </w:rPr>
      </w:pPr>
    </w:p>
    <w:p>
      <w:pPr>
        <w:ind w:left="8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3</w:t>
      </w:r>
      <w:r>
        <w:rPr>
          <w:rFonts w:ascii="Arial" w:cs="Arial" w:eastAsia="Arial" w:hAnsi="Arial"/>
          <w:sz w:val="15"/>
          <w:szCs w:val="15"/>
          <w:b w:val="1"/>
          <w:bCs w:val="1"/>
          <w:color w:val="51555C"/>
        </w:rPr>
        <w:t>Transactonal Revenue Optmizaton and Expansion</w:t>
      </w:r>
    </w:p>
    <w:p>
      <w:pPr>
        <w:spacing w:after="0" w:line="198" w:lineRule="exact"/>
        <w:rPr>
          <w:rFonts w:ascii="Arial" w:cs="Arial" w:eastAsia="Arial" w:hAnsi="Arial"/>
          <w:sz w:val="18"/>
          <w:szCs w:val="18"/>
          <w:b w:val="1"/>
          <w:bCs w:val="1"/>
          <w:color w:val="FFFFFF"/>
        </w:rPr>
      </w:pPr>
    </w:p>
    <w:p>
      <w:pPr>
        <w:ind w:left="8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5"/>
          <w:szCs w:val="15"/>
          <w:b w:val="1"/>
          <w:bCs w:val="1"/>
          <w:color w:val="51555C"/>
        </w:rPr>
        <w:t>Modernized Approach to Pricing and Mult-Year Customer Contracts</w:t>
      </w:r>
    </w:p>
    <w:p>
      <w:pPr>
        <w:spacing w:after="0" w:line="211" w:lineRule="exact"/>
        <w:rPr>
          <w:rFonts w:ascii="Arial" w:cs="Arial" w:eastAsia="Arial" w:hAnsi="Arial"/>
          <w:sz w:val="18"/>
          <w:szCs w:val="18"/>
          <w:b w:val="1"/>
          <w:bCs w:val="1"/>
          <w:color w:val="FFFFFF"/>
        </w:rPr>
      </w:pPr>
    </w:p>
    <w:p>
      <w:pPr>
        <w:ind w:left="8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5</w:t>
      </w:r>
      <w:r>
        <w:rPr>
          <w:rFonts w:ascii="Arial" w:cs="Arial" w:eastAsia="Arial" w:hAnsi="Arial"/>
          <w:sz w:val="16"/>
          <w:szCs w:val="16"/>
          <w:b w:val="1"/>
          <w:bCs w:val="1"/>
          <w:color w:val="51555C"/>
        </w:rPr>
        <w:t>Keen Atenton to Cost Management</w:t>
      </w:r>
    </w:p>
    <w:p>
      <w:pPr>
        <w:spacing w:after="0" w:line="308" w:lineRule="exact"/>
        <w:rPr>
          <w:rFonts w:ascii="Arial" w:cs="Arial" w:eastAsia="Arial" w:hAnsi="Arial"/>
          <w:sz w:val="18"/>
          <w:szCs w:val="18"/>
          <w:b w:val="1"/>
          <w:bCs w:val="1"/>
          <w:color w:val="FFFFFF"/>
        </w:rPr>
      </w:pPr>
    </w:p>
    <w:p>
      <w:pPr>
        <w:ind w:left="340" w:hanging="332"/>
        <w:spacing w:after="0"/>
        <w:tabs>
          <w:tab w:leader="none" w:pos="340" w:val="left"/>
        </w:tabs>
        <w:numPr>
          <w:ilvl w:val="0"/>
          <w:numId w:val="14"/>
        </w:numPr>
        <w:rPr>
          <w:rFonts w:ascii="Arial" w:cs="Arial" w:eastAsia="Arial" w:hAnsi="Arial"/>
          <w:sz w:val="18"/>
          <w:szCs w:val="18"/>
          <w:i w:val="1"/>
          <w:iCs w:val="1"/>
          <w:color w:val="51555C"/>
        </w:rPr>
      </w:pPr>
      <w:r>
        <w:rPr>
          <w:rFonts w:ascii="Arial" w:cs="Arial" w:eastAsia="Arial" w:hAnsi="Arial"/>
          <w:sz w:val="18"/>
          <w:szCs w:val="18"/>
          <w:i w:val="1"/>
          <w:iCs w:val="1"/>
          <w:color w:val="51555C"/>
        </w:rPr>
        <w:t>Product Innovaton and Delivery</w:t>
      </w:r>
    </w:p>
    <w:p>
      <w:pPr>
        <w:spacing w:after="0" w:line="171" w:lineRule="exact"/>
        <w:rPr>
          <w:rFonts w:ascii="Arial" w:cs="Arial" w:eastAsia="Arial" w:hAnsi="Arial"/>
          <w:sz w:val="18"/>
          <w:szCs w:val="18"/>
          <w:i w:val="1"/>
          <w:iCs w:val="1"/>
          <w:color w:val="51555C"/>
        </w:rPr>
      </w:pPr>
    </w:p>
    <w:p>
      <w:pPr>
        <w:jc w:val="both"/>
        <w:ind w:left="340"/>
        <w:spacing w:after="0" w:line="258" w:lineRule="auto"/>
        <w:rPr>
          <w:rFonts w:ascii="Arial" w:cs="Arial" w:eastAsia="Arial" w:hAnsi="Arial"/>
          <w:sz w:val="18"/>
          <w:szCs w:val="18"/>
          <w:i w:val="1"/>
          <w:iCs w:val="1"/>
          <w:color w:val="51555C"/>
        </w:rPr>
      </w:pPr>
      <w:r>
        <w:rPr>
          <w:rFonts w:ascii="Arial" w:cs="Arial" w:eastAsia="Arial" w:hAnsi="Arial"/>
          <w:sz w:val="18"/>
          <w:szCs w:val="18"/>
          <w:color w:val="51555C"/>
        </w:rPr>
        <w:t>Product is core at Blackbaud, and we strive to bring increased value to our customers through their sofware subscriptons with improved and innovatve capabilites. For example, we recently released a new, next generaton donaton form in Raiser’s Edge NXT with the goal of increasing the conversion rate and donatons our customers raise. We match the new donaton form with Prospect Insights, which utlizes artfcial intelligence ("AI") to identfy and qualify candidates for major gifs.</w:t>
      </w:r>
    </w:p>
    <w:p>
      <w:pPr>
        <w:spacing w:after="0" w:line="135" w:lineRule="exact"/>
        <w:rPr>
          <w:rFonts w:ascii="Arial" w:cs="Arial" w:eastAsia="Arial" w:hAnsi="Arial"/>
          <w:sz w:val="18"/>
          <w:szCs w:val="18"/>
          <w:i w:val="1"/>
          <w:iCs w:val="1"/>
          <w:color w:val="51555C"/>
        </w:rPr>
      </w:pPr>
    </w:p>
    <w:p>
      <w:pPr>
        <w:jc w:val="both"/>
        <w:ind w:left="340"/>
        <w:spacing w:after="0" w:line="262" w:lineRule="auto"/>
        <w:rPr>
          <w:rFonts w:ascii="Arial" w:cs="Arial" w:eastAsia="Arial" w:hAnsi="Arial"/>
          <w:sz w:val="18"/>
          <w:szCs w:val="18"/>
          <w:i w:val="1"/>
          <w:iCs w:val="1"/>
          <w:color w:val="51555C"/>
        </w:rPr>
      </w:pPr>
      <w:r>
        <w:rPr>
          <w:rFonts w:ascii="Arial" w:cs="Arial" w:eastAsia="Arial" w:hAnsi="Arial"/>
          <w:sz w:val="18"/>
          <w:szCs w:val="18"/>
          <w:color w:val="51555C"/>
        </w:rPr>
        <w:t>For years, we have been using AI-enabled capabilites in our analytcs oferings. We are expanding our strategy into next-generaton and generatve AI technology that addresses specifc challenges of our customers. As recently announced, we will be rolling out an extensive new set of capabilites across our product portolio over upcoming quarters, including:</w:t>
      </w:r>
    </w:p>
    <w:p>
      <w:pPr>
        <w:spacing w:after="0" w:line="130" w:lineRule="exact"/>
        <w:rPr>
          <w:rFonts w:ascii="Arial" w:cs="Arial" w:eastAsia="Arial" w:hAnsi="Arial"/>
          <w:sz w:val="18"/>
          <w:szCs w:val="18"/>
          <w:i w:val="1"/>
          <w:iCs w:val="1"/>
          <w:color w:val="51555C"/>
        </w:rPr>
      </w:pPr>
    </w:p>
    <w:p>
      <w:pPr>
        <w:ind w:left="660" w:hanging="328"/>
        <w:spacing w:after="0" w:line="275" w:lineRule="auto"/>
        <w:tabs>
          <w:tab w:leader="none" w:pos="660" w:val="left"/>
        </w:tabs>
        <w:numPr>
          <w:ilvl w:val="1"/>
          <w:numId w:val="14"/>
        </w:numPr>
        <w:rPr>
          <w:rFonts w:ascii="Arial" w:cs="Arial" w:eastAsia="Arial" w:hAnsi="Arial"/>
          <w:sz w:val="18"/>
          <w:szCs w:val="18"/>
          <w:color w:val="51555C"/>
        </w:rPr>
      </w:pPr>
      <w:r>
        <w:rPr>
          <w:rFonts w:ascii="Arial" w:cs="Arial" w:eastAsia="Arial" w:hAnsi="Arial"/>
          <w:sz w:val="18"/>
          <w:szCs w:val="18"/>
          <w:b w:val="1"/>
          <w:bCs w:val="1"/>
          <w:color w:val="51555C"/>
        </w:rPr>
        <w:t xml:space="preserve">AI for Peer-to-Peer (P2P) Fundraisers: </w:t>
      </w:r>
      <w:r>
        <w:rPr>
          <w:rFonts w:ascii="Arial" w:cs="Arial" w:eastAsia="Arial" w:hAnsi="Arial"/>
          <w:sz w:val="18"/>
          <w:szCs w:val="18"/>
          <w:color w:val="51555C"/>
        </w:rPr>
        <w:t>Enabling P2P partcipants to use Generatve AI-based features to make sharing their own story easier and</w:t>
      </w:r>
      <w:r>
        <w:rPr>
          <w:rFonts w:ascii="Arial" w:cs="Arial" w:eastAsia="Arial" w:hAnsi="Arial"/>
          <w:sz w:val="18"/>
          <w:szCs w:val="18"/>
          <w:b w:val="1"/>
          <w:bCs w:val="1"/>
          <w:color w:val="51555C"/>
        </w:rPr>
        <w:t xml:space="preserve"> </w:t>
      </w:r>
      <w:r>
        <w:rPr>
          <w:rFonts w:ascii="Arial" w:cs="Arial" w:eastAsia="Arial" w:hAnsi="Arial"/>
          <w:sz w:val="18"/>
          <w:szCs w:val="18"/>
          <w:color w:val="51555C"/>
        </w:rPr>
        <w:t>more efectve for their fundraiser.</w:t>
      </w:r>
    </w:p>
    <w:p>
      <w:pPr>
        <w:spacing w:after="0" w:line="119" w:lineRule="exact"/>
        <w:rPr>
          <w:rFonts w:ascii="Arial" w:cs="Arial" w:eastAsia="Arial" w:hAnsi="Arial"/>
          <w:sz w:val="18"/>
          <w:szCs w:val="18"/>
          <w:color w:val="51555C"/>
        </w:rPr>
      </w:pPr>
    </w:p>
    <w:p>
      <w:pPr>
        <w:ind w:left="660" w:hanging="328"/>
        <w:spacing w:after="0"/>
        <w:tabs>
          <w:tab w:leader="none" w:pos="660" w:val="left"/>
        </w:tabs>
        <w:numPr>
          <w:ilvl w:val="1"/>
          <w:numId w:val="14"/>
        </w:numPr>
        <w:rPr>
          <w:rFonts w:ascii="Arial" w:cs="Arial" w:eastAsia="Arial" w:hAnsi="Arial"/>
          <w:sz w:val="18"/>
          <w:szCs w:val="18"/>
          <w:color w:val="51555C"/>
        </w:rPr>
      </w:pPr>
      <w:r>
        <w:rPr>
          <w:rFonts w:ascii="Arial" w:cs="Arial" w:eastAsia="Arial" w:hAnsi="Arial"/>
          <w:sz w:val="18"/>
          <w:szCs w:val="18"/>
          <w:b w:val="1"/>
          <w:bCs w:val="1"/>
          <w:color w:val="51555C"/>
        </w:rPr>
        <w:t xml:space="preserve">AI for Online Giving: </w:t>
      </w:r>
      <w:r>
        <w:rPr>
          <w:rFonts w:ascii="Arial" w:cs="Arial" w:eastAsia="Arial" w:hAnsi="Arial"/>
          <w:sz w:val="18"/>
          <w:szCs w:val="18"/>
          <w:color w:val="51555C"/>
        </w:rPr>
        <w:t>Providing a personalized experience to online donors through predictve AI capabilites.</w:t>
      </w:r>
    </w:p>
    <w:p>
      <w:pPr>
        <w:spacing w:after="0" w:line="171" w:lineRule="exact"/>
        <w:rPr>
          <w:rFonts w:ascii="Arial" w:cs="Arial" w:eastAsia="Arial" w:hAnsi="Arial"/>
          <w:sz w:val="18"/>
          <w:szCs w:val="18"/>
          <w:color w:val="51555C"/>
        </w:rPr>
      </w:pPr>
    </w:p>
    <w:p>
      <w:pPr>
        <w:ind w:left="660" w:hanging="328"/>
        <w:spacing w:after="0"/>
        <w:tabs>
          <w:tab w:leader="none" w:pos="660" w:val="left"/>
        </w:tabs>
        <w:numPr>
          <w:ilvl w:val="1"/>
          <w:numId w:val="14"/>
        </w:numPr>
        <w:rPr>
          <w:rFonts w:ascii="Arial" w:cs="Arial" w:eastAsia="Arial" w:hAnsi="Arial"/>
          <w:sz w:val="17"/>
          <w:szCs w:val="17"/>
          <w:color w:val="51555C"/>
        </w:rPr>
      </w:pPr>
      <w:r>
        <w:rPr>
          <w:rFonts w:ascii="Arial" w:cs="Arial" w:eastAsia="Arial" w:hAnsi="Arial"/>
          <w:sz w:val="17"/>
          <w:szCs w:val="17"/>
          <w:b w:val="1"/>
          <w:bCs w:val="1"/>
          <w:color w:val="51555C"/>
        </w:rPr>
        <w:t xml:space="preserve">AI for Major Giving Ofcers: </w:t>
      </w:r>
      <w:r>
        <w:rPr>
          <w:rFonts w:ascii="Arial" w:cs="Arial" w:eastAsia="Arial" w:hAnsi="Arial"/>
          <w:sz w:val="17"/>
          <w:szCs w:val="17"/>
          <w:color w:val="51555C"/>
        </w:rPr>
        <w:t>Expanding Prospect Insights to include AI-driven insights into planned and major giving vehicles and likelihood.</w:t>
      </w:r>
    </w:p>
    <w:p>
      <w:pPr>
        <w:spacing w:after="0" w:line="182" w:lineRule="exact"/>
        <w:rPr>
          <w:rFonts w:ascii="Arial" w:cs="Arial" w:eastAsia="Arial" w:hAnsi="Arial"/>
          <w:sz w:val="17"/>
          <w:szCs w:val="17"/>
          <w:color w:val="51555C"/>
        </w:rPr>
      </w:pPr>
    </w:p>
    <w:p>
      <w:pPr>
        <w:ind w:left="660" w:hanging="328"/>
        <w:spacing w:after="0" w:line="275" w:lineRule="auto"/>
        <w:tabs>
          <w:tab w:leader="none" w:pos="660" w:val="left"/>
        </w:tabs>
        <w:numPr>
          <w:ilvl w:val="1"/>
          <w:numId w:val="14"/>
        </w:numPr>
        <w:rPr>
          <w:rFonts w:ascii="Arial" w:cs="Arial" w:eastAsia="Arial" w:hAnsi="Arial"/>
          <w:sz w:val="18"/>
          <w:szCs w:val="18"/>
          <w:color w:val="51555C"/>
        </w:rPr>
      </w:pPr>
      <w:r>
        <w:rPr>
          <w:rFonts w:ascii="Arial" w:cs="Arial" w:eastAsia="Arial" w:hAnsi="Arial"/>
          <w:sz w:val="18"/>
          <w:szCs w:val="18"/>
          <w:b w:val="1"/>
          <w:bCs w:val="1"/>
          <w:color w:val="51555C"/>
        </w:rPr>
        <w:t xml:space="preserve">AI for Donor Stewardship: </w:t>
      </w:r>
      <w:r>
        <w:rPr>
          <w:rFonts w:ascii="Arial" w:cs="Arial" w:eastAsia="Arial" w:hAnsi="Arial"/>
          <w:sz w:val="18"/>
          <w:szCs w:val="18"/>
          <w:color w:val="51555C"/>
        </w:rPr>
        <w:t>Enabling organizatons to automate the creaton of key donor stewardship documents such as thank you notes</w:t>
      </w:r>
      <w:r>
        <w:rPr>
          <w:rFonts w:ascii="Arial" w:cs="Arial" w:eastAsia="Arial" w:hAnsi="Arial"/>
          <w:sz w:val="18"/>
          <w:szCs w:val="18"/>
          <w:b w:val="1"/>
          <w:bCs w:val="1"/>
          <w:color w:val="51555C"/>
        </w:rPr>
        <w:t xml:space="preserve"> </w:t>
      </w:r>
      <w:r>
        <w:rPr>
          <w:rFonts w:ascii="Arial" w:cs="Arial" w:eastAsia="Arial" w:hAnsi="Arial"/>
          <w:sz w:val="18"/>
          <w:szCs w:val="18"/>
          <w:color w:val="51555C"/>
        </w:rPr>
        <w:t>through a built-in Generatve AI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-3681730</wp:posOffset>
            </wp:positionV>
            <wp:extent cx="26606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6065"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-3424555</wp:posOffset>
            </wp:positionV>
            <wp:extent cx="266065" cy="196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6065" cy="19685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-3159125</wp:posOffset>
            </wp:positionV>
            <wp:extent cx="266065" cy="1974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6065" cy="19748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-2893060</wp:posOffset>
            </wp:positionV>
            <wp:extent cx="26606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6065" cy="188595"/>
                    </a:xfrm>
                    <a:prstGeom prst="rect">
                      <a:avLst/>
                    </a:prstGeom>
                    <a:noFill/>
                  </pic:spPr>
                </pic:pic>
              </a:graphicData>
            </a:graphic>
          </wp:anchor>
        </w:drawing>
      </w:r>
    </w:p>
    <w:p>
      <w:pPr>
        <w:spacing w:after="0" w:line="307"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24</w:t>
      </w:r>
      <w:r>
        <w:rPr>
          <w:sz w:val="20"/>
          <w:szCs w:val="20"/>
          <w:color w:val="auto"/>
        </w:rPr>
        <w:tab/>
      </w:r>
      <w:r>
        <w:rPr>
          <w:sz w:val="1"/>
          <w:szCs w:val="1"/>
          <w:color w:val="auto"/>
        </w:rPr>
        <w:drawing>
          <wp:inline distT="0" distB="0" distL="0" distR="0">
            <wp:extent cx="651510" cy="1714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1"/>
          <w:numId w:val="15"/>
        </w:numPr>
        <w:rPr>
          <w:rFonts w:ascii="Arial" w:cs="Arial" w:eastAsia="Arial" w:hAnsi="Arial"/>
          <w:sz w:val="16"/>
          <w:szCs w:val="16"/>
          <w:color w:val="51555C"/>
        </w:rPr>
      </w:pPr>
      <w:r>
        <w:rPr>
          <w:rFonts w:ascii="Arial" w:cs="Arial" w:eastAsia="Arial" w:hAnsi="Arial"/>
          <w:sz w:val="16"/>
          <w:szCs w:val="16"/>
          <w:b w:val="1"/>
          <w:bCs w:val="1"/>
          <w:color w:val="51555C"/>
        </w:rPr>
        <w:t xml:space="preserve">AI for Educators: </w:t>
      </w:r>
      <w:r>
        <w:rPr>
          <w:rFonts w:ascii="Arial" w:cs="Arial" w:eastAsia="Arial" w:hAnsi="Arial"/>
          <w:sz w:val="16"/>
          <w:szCs w:val="16"/>
          <w:color w:val="51555C"/>
        </w:rPr>
        <w:t>Assistng teachers with personalized, AI-driven content that has appropriate guardrails to drive more classroom engagement.</w:t>
      </w:r>
    </w:p>
    <w:p>
      <w:pPr>
        <w:spacing w:after="0" w:line="194" w:lineRule="exact"/>
        <w:rPr>
          <w:rFonts w:ascii="Arial" w:cs="Arial" w:eastAsia="Arial" w:hAnsi="Arial"/>
          <w:sz w:val="16"/>
          <w:szCs w:val="16"/>
          <w:color w:val="51555C"/>
        </w:rPr>
      </w:pPr>
    </w:p>
    <w:p>
      <w:pPr>
        <w:ind w:left="660" w:hanging="328"/>
        <w:spacing w:after="0"/>
        <w:tabs>
          <w:tab w:leader="none" w:pos="660" w:val="left"/>
        </w:tabs>
        <w:numPr>
          <w:ilvl w:val="1"/>
          <w:numId w:val="15"/>
        </w:numPr>
        <w:rPr>
          <w:rFonts w:ascii="Arial" w:cs="Arial" w:eastAsia="Arial" w:hAnsi="Arial"/>
          <w:sz w:val="18"/>
          <w:szCs w:val="18"/>
          <w:color w:val="51555C"/>
        </w:rPr>
      </w:pPr>
      <w:r>
        <w:rPr>
          <w:rFonts w:ascii="Arial" w:cs="Arial" w:eastAsia="Arial" w:hAnsi="Arial"/>
          <w:sz w:val="18"/>
          <w:szCs w:val="18"/>
          <w:b w:val="1"/>
          <w:bCs w:val="1"/>
          <w:color w:val="51555C"/>
        </w:rPr>
        <w:t xml:space="preserve">AI for School Administrators: </w:t>
      </w:r>
      <w:r>
        <w:rPr>
          <w:rFonts w:ascii="Arial" w:cs="Arial" w:eastAsia="Arial" w:hAnsi="Arial"/>
          <w:sz w:val="18"/>
          <w:szCs w:val="18"/>
          <w:color w:val="51555C"/>
        </w:rPr>
        <w:t>Leveraging AI to automate review and recommendatons for fnancial aid submissions.</w:t>
      </w:r>
    </w:p>
    <w:p>
      <w:pPr>
        <w:spacing w:after="0" w:line="171" w:lineRule="exact"/>
        <w:rPr>
          <w:rFonts w:ascii="Arial" w:cs="Arial" w:eastAsia="Arial" w:hAnsi="Arial"/>
          <w:sz w:val="18"/>
          <w:szCs w:val="18"/>
          <w:color w:val="51555C"/>
        </w:rPr>
      </w:pPr>
    </w:p>
    <w:p>
      <w:pPr>
        <w:ind w:left="660" w:hanging="328"/>
        <w:spacing w:after="0" w:line="275" w:lineRule="auto"/>
        <w:tabs>
          <w:tab w:leader="none" w:pos="660" w:val="left"/>
        </w:tabs>
        <w:numPr>
          <w:ilvl w:val="1"/>
          <w:numId w:val="15"/>
        </w:numPr>
        <w:rPr>
          <w:rFonts w:ascii="Arial" w:cs="Arial" w:eastAsia="Arial" w:hAnsi="Arial"/>
          <w:sz w:val="18"/>
          <w:szCs w:val="18"/>
          <w:color w:val="51555C"/>
        </w:rPr>
      </w:pPr>
      <w:r>
        <w:rPr>
          <w:rFonts w:ascii="Arial" w:cs="Arial" w:eastAsia="Arial" w:hAnsi="Arial"/>
          <w:sz w:val="18"/>
          <w:szCs w:val="18"/>
          <w:b w:val="1"/>
          <w:bCs w:val="1"/>
          <w:color w:val="51555C"/>
        </w:rPr>
        <w:t xml:space="preserve">AI for Corporate Impact: </w:t>
      </w:r>
      <w:r>
        <w:rPr>
          <w:rFonts w:ascii="Arial" w:cs="Arial" w:eastAsia="Arial" w:hAnsi="Arial"/>
          <w:sz w:val="18"/>
          <w:szCs w:val="18"/>
          <w:color w:val="51555C"/>
        </w:rPr>
        <w:t>Empowering Corporate Social Responsibility teams to capture, visualize and tell the story of their corporate social</w:t>
      </w:r>
      <w:r>
        <w:rPr>
          <w:rFonts w:ascii="Arial" w:cs="Arial" w:eastAsia="Arial" w:hAnsi="Arial"/>
          <w:sz w:val="18"/>
          <w:szCs w:val="18"/>
          <w:b w:val="1"/>
          <w:bCs w:val="1"/>
          <w:color w:val="51555C"/>
        </w:rPr>
        <w:t xml:space="preserve"> </w:t>
      </w:r>
      <w:r>
        <w:rPr>
          <w:rFonts w:ascii="Arial" w:cs="Arial" w:eastAsia="Arial" w:hAnsi="Arial"/>
          <w:sz w:val="18"/>
          <w:szCs w:val="18"/>
          <w:color w:val="51555C"/>
        </w:rPr>
        <w:t>impact missions through inclusion of modern AI services.</w:t>
      </w:r>
    </w:p>
    <w:p>
      <w:pPr>
        <w:spacing w:after="0" w:line="121" w:lineRule="exact"/>
        <w:rPr>
          <w:rFonts w:ascii="Arial" w:cs="Arial" w:eastAsia="Arial" w:hAnsi="Arial"/>
          <w:sz w:val="18"/>
          <w:szCs w:val="18"/>
          <w:color w:val="51555C"/>
        </w:rPr>
      </w:pPr>
    </w:p>
    <w:p>
      <w:pPr>
        <w:ind w:left="340" w:hanging="332"/>
        <w:spacing w:after="0"/>
        <w:tabs>
          <w:tab w:leader="none" w:pos="340" w:val="left"/>
        </w:tabs>
        <w:numPr>
          <w:ilvl w:val="0"/>
          <w:numId w:val="15"/>
        </w:numPr>
        <w:rPr>
          <w:rFonts w:ascii="Arial" w:cs="Arial" w:eastAsia="Arial" w:hAnsi="Arial"/>
          <w:sz w:val="18"/>
          <w:szCs w:val="18"/>
          <w:i w:val="1"/>
          <w:iCs w:val="1"/>
          <w:color w:val="51555C"/>
        </w:rPr>
      </w:pPr>
      <w:r>
        <w:rPr>
          <w:rFonts w:ascii="Arial" w:cs="Arial" w:eastAsia="Arial" w:hAnsi="Arial"/>
          <w:sz w:val="18"/>
          <w:szCs w:val="18"/>
          <w:i w:val="1"/>
          <w:iCs w:val="1"/>
          <w:color w:val="51555C"/>
        </w:rPr>
        <w:t>Bookings Growth and Acceleraton</w:t>
      </w:r>
    </w:p>
    <w:p>
      <w:pPr>
        <w:spacing w:after="0" w:line="171" w:lineRule="exact"/>
        <w:rPr>
          <w:rFonts w:ascii="Arial" w:cs="Arial" w:eastAsia="Arial" w:hAnsi="Arial"/>
          <w:sz w:val="18"/>
          <w:szCs w:val="18"/>
          <w:i w:val="1"/>
          <w:iCs w:val="1"/>
          <w:color w:val="51555C"/>
        </w:rPr>
      </w:pPr>
    </w:p>
    <w:p>
      <w:pPr>
        <w:jc w:val="both"/>
        <w:ind w:left="340"/>
        <w:spacing w:after="0" w:line="262" w:lineRule="auto"/>
        <w:rPr>
          <w:rFonts w:ascii="Arial" w:cs="Arial" w:eastAsia="Arial" w:hAnsi="Arial"/>
          <w:sz w:val="18"/>
          <w:szCs w:val="18"/>
          <w:i w:val="1"/>
          <w:iCs w:val="1"/>
          <w:color w:val="51555C"/>
        </w:rPr>
      </w:pPr>
      <w:r>
        <w:rPr>
          <w:rFonts w:ascii="Arial" w:cs="Arial" w:eastAsia="Arial" w:hAnsi="Arial"/>
          <w:sz w:val="18"/>
          <w:szCs w:val="18"/>
          <w:color w:val="51555C"/>
        </w:rPr>
        <w:t>We drove strong bookings performance in the frst quarter, up signifcantly versus last year, led by our corporate sector (YourCause and EVERFI solutons) which more than doubled its bookings over the frst quarter of 2022. We signed several notable large contracts during the second quarter. As previously disclosed, there can be volatlity quarter-to-quarter on bookings.</w:t>
      </w:r>
    </w:p>
    <w:p>
      <w:pPr>
        <w:spacing w:after="0" w:line="132" w:lineRule="exact"/>
        <w:rPr>
          <w:rFonts w:ascii="Arial" w:cs="Arial" w:eastAsia="Arial" w:hAnsi="Arial"/>
          <w:sz w:val="18"/>
          <w:szCs w:val="18"/>
          <w:i w:val="1"/>
          <w:iCs w:val="1"/>
          <w:color w:val="51555C"/>
        </w:rPr>
      </w:pPr>
    </w:p>
    <w:p>
      <w:pPr>
        <w:ind w:left="340" w:hanging="332"/>
        <w:spacing w:after="0"/>
        <w:tabs>
          <w:tab w:leader="none" w:pos="340" w:val="left"/>
        </w:tabs>
        <w:numPr>
          <w:ilvl w:val="0"/>
          <w:numId w:val="15"/>
        </w:numPr>
        <w:rPr>
          <w:rFonts w:ascii="Arial" w:cs="Arial" w:eastAsia="Arial" w:hAnsi="Arial"/>
          <w:sz w:val="18"/>
          <w:szCs w:val="18"/>
          <w:i w:val="1"/>
          <w:iCs w:val="1"/>
          <w:color w:val="51555C"/>
        </w:rPr>
      </w:pPr>
      <w:r>
        <w:rPr>
          <w:rFonts w:ascii="Arial" w:cs="Arial" w:eastAsia="Arial" w:hAnsi="Arial"/>
          <w:sz w:val="18"/>
          <w:szCs w:val="18"/>
          <w:i w:val="1"/>
          <w:iCs w:val="1"/>
          <w:color w:val="51555C"/>
        </w:rPr>
        <w:t>Transactonal Revenue Optmizaton and Expansion</w:t>
      </w:r>
    </w:p>
    <w:p>
      <w:pPr>
        <w:spacing w:after="0" w:line="171" w:lineRule="exact"/>
        <w:rPr>
          <w:rFonts w:ascii="Arial" w:cs="Arial" w:eastAsia="Arial" w:hAnsi="Arial"/>
          <w:sz w:val="18"/>
          <w:szCs w:val="18"/>
          <w:i w:val="1"/>
          <w:iCs w:val="1"/>
          <w:color w:val="51555C"/>
        </w:rPr>
      </w:pPr>
    </w:p>
    <w:p>
      <w:pPr>
        <w:jc w:val="both"/>
        <w:ind w:left="340"/>
        <w:spacing w:after="0" w:line="255" w:lineRule="auto"/>
        <w:rPr>
          <w:rFonts w:ascii="Arial" w:cs="Arial" w:eastAsia="Arial" w:hAnsi="Arial"/>
          <w:sz w:val="18"/>
          <w:szCs w:val="18"/>
          <w:i w:val="1"/>
          <w:iCs w:val="1"/>
          <w:color w:val="51555C"/>
        </w:rPr>
      </w:pPr>
      <w:r>
        <w:rPr>
          <w:rFonts w:ascii="Arial" w:cs="Arial" w:eastAsia="Arial" w:hAnsi="Arial"/>
          <w:sz w:val="18"/>
          <w:szCs w:val="18"/>
          <w:color w:val="51555C"/>
        </w:rPr>
        <w:t>Transactonal revenue, which is about one-third of total revenue, has proven to be resilient so far in 2023 following the lower average donaton sizes we experienced during the fourth quarter of 2022. A rate increase on Blackbaud Merchant Services in the U.S. took efect on August 1, 2023, which is incremental to the January 2023 rate change previously disclosed. Our Blackbaud Tuiton Management and JustGiving platorms contnue to perform well against plan. And as we look ahead, our teams are hard at work to drive innovaton across our payments solutons that are a win-win for both our customers and Blackbaud. We have already introduced our two fee cover models, and we are also looking at ways to optmize our payments solutons to drive a beter donor experience.</w:t>
      </w:r>
    </w:p>
    <w:p>
      <w:pPr>
        <w:spacing w:after="0" w:line="138" w:lineRule="exact"/>
        <w:rPr>
          <w:rFonts w:ascii="Arial" w:cs="Arial" w:eastAsia="Arial" w:hAnsi="Arial"/>
          <w:sz w:val="18"/>
          <w:szCs w:val="18"/>
          <w:i w:val="1"/>
          <w:iCs w:val="1"/>
          <w:color w:val="51555C"/>
        </w:rPr>
      </w:pPr>
    </w:p>
    <w:p>
      <w:pPr>
        <w:ind w:left="340" w:hanging="332"/>
        <w:spacing w:after="0"/>
        <w:tabs>
          <w:tab w:leader="none" w:pos="340" w:val="left"/>
        </w:tabs>
        <w:numPr>
          <w:ilvl w:val="0"/>
          <w:numId w:val="15"/>
        </w:numPr>
        <w:rPr>
          <w:rFonts w:ascii="Arial" w:cs="Arial" w:eastAsia="Arial" w:hAnsi="Arial"/>
          <w:sz w:val="18"/>
          <w:szCs w:val="18"/>
          <w:i w:val="1"/>
          <w:iCs w:val="1"/>
          <w:color w:val="51555C"/>
        </w:rPr>
      </w:pPr>
      <w:r>
        <w:rPr>
          <w:rFonts w:ascii="Arial" w:cs="Arial" w:eastAsia="Arial" w:hAnsi="Arial"/>
          <w:sz w:val="18"/>
          <w:szCs w:val="18"/>
          <w:i w:val="1"/>
          <w:iCs w:val="1"/>
          <w:color w:val="51555C"/>
        </w:rPr>
        <w:t>Modernized Approach to Pricing and Mult-Year Contracts</w:t>
      </w:r>
    </w:p>
    <w:p>
      <w:pPr>
        <w:spacing w:after="0" w:line="171" w:lineRule="exact"/>
        <w:rPr>
          <w:rFonts w:ascii="Arial" w:cs="Arial" w:eastAsia="Arial" w:hAnsi="Arial"/>
          <w:sz w:val="18"/>
          <w:szCs w:val="18"/>
          <w:i w:val="1"/>
          <w:iCs w:val="1"/>
          <w:color w:val="51555C"/>
        </w:rPr>
      </w:pPr>
    </w:p>
    <w:p>
      <w:pPr>
        <w:jc w:val="both"/>
        <w:ind w:left="340"/>
        <w:spacing w:after="0" w:line="272" w:lineRule="auto"/>
        <w:rPr>
          <w:rFonts w:ascii="Arial" w:cs="Arial" w:eastAsia="Arial" w:hAnsi="Arial"/>
          <w:sz w:val="18"/>
          <w:szCs w:val="18"/>
          <w:i w:val="1"/>
          <w:iCs w:val="1"/>
          <w:color w:val="51555C"/>
        </w:rPr>
      </w:pPr>
      <w:r>
        <w:rPr>
          <w:rFonts w:ascii="Arial" w:cs="Arial" w:eastAsia="Arial" w:hAnsi="Arial"/>
          <w:sz w:val="17"/>
          <w:szCs w:val="17"/>
          <w:color w:val="51555C"/>
        </w:rPr>
        <w:t>Last summer, we put in place an updated pricing policy primarily for our social sector customers that directly refects the value we provide to them, is in-line with the broader market and refects the infatonary pressures that all businesses are facing. In November 2022, we started notfying customers with a March 2023 contract renewal that we would be making important contract changes. First, we are ofering 3-year contract renewal terms as our standard, replacing one-year renewal terms. This process was already being implemented outside of the pricing changes. Second, we are implementng a more signifcant rate increase on the 1-year renewal opton versus the 3-year renewal opton. And third, the 3-year renewal opton includes annual rate increases. Our 3-year renewal optons did not historically include annual rate increases.</w:t>
      </w:r>
    </w:p>
    <w:p>
      <w:pPr>
        <w:spacing w:after="0" w:line="128" w:lineRule="exact"/>
        <w:rPr>
          <w:rFonts w:ascii="Arial" w:cs="Arial" w:eastAsia="Arial" w:hAnsi="Arial"/>
          <w:sz w:val="18"/>
          <w:szCs w:val="18"/>
          <w:i w:val="1"/>
          <w:iCs w:val="1"/>
          <w:color w:val="51555C"/>
        </w:rPr>
      </w:pPr>
    </w:p>
    <w:p>
      <w:pPr>
        <w:jc w:val="both"/>
        <w:ind w:left="340"/>
        <w:spacing w:after="0" w:line="269" w:lineRule="auto"/>
        <w:rPr>
          <w:rFonts w:ascii="Arial" w:cs="Arial" w:eastAsia="Arial" w:hAnsi="Arial"/>
          <w:sz w:val="18"/>
          <w:szCs w:val="18"/>
          <w:i w:val="1"/>
          <w:iCs w:val="1"/>
          <w:color w:val="51555C"/>
        </w:rPr>
      </w:pPr>
      <w:r>
        <w:rPr>
          <w:rFonts w:ascii="Arial" w:cs="Arial" w:eastAsia="Arial" w:hAnsi="Arial"/>
          <w:sz w:val="17"/>
          <w:szCs w:val="17"/>
          <w:color w:val="51555C"/>
        </w:rPr>
        <w:t>These eforts are well on their way. We have already notfed customers with December 2023 contract renewals of the new terms. Through July 2023, nearly 70% of our 2023 contracts eligible for renewal rate increases have already renewed. The close day-to-day management of renewals, the mix of 3-year and 1-year contracts, and the impact of pricing are progressing well, and we expect more impact from the compounding efect of these rate increases over tme as we layer in future year contract renewals and annual rate increases. For example, over 50% of our planned 2023 revenue will renew in a litle over 3 years and approximately 35% of that renewable base is expected to renew this year. These contracts are renewing every day and create revenue growth that we expect to accelerate with each successive quarter this year. We expect that to lead to an even greater impact in 2024, 2025 and beyond as we begin to see the full-year impact of the rate increases. Approximately 30% of the renewable base is up for renewal in 2024 and more than 20% in 2025. The adopton of 3-year renewals as a standard, with more customers optng for this opton than we originally expected, are expected to have an added beneft of higher retenton which provides greater revenue assurance and predictability. Looking even further ahead, the cycle starts fresh in 2026 as the 2023 signed contracts will begin to renew. We expect that this will be a sustainable and meaningful revenue growth stream for us.</w:t>
      </w:r>
    </w:p>
    <w:p>
      <w:pPr>
        <w:spacing w:after="0" w:line="127" w:lineRule="exact"/>
        <w:rPr>
          <w:rFonts w:ascii="Arial" w:cs="Arial" w:eastAsia="Arial" w:hAnsi="Arial"/>
          <w:sz w:val="18"/>
          <w:szCs w:val="18"/>
          <w:i w:val="1"/>
          <w:iCs w:val="1"/>
          <w:color w:val="51555C"/>
        </w:rPr>
      </w:pPr>
    </w:p>
    <w:p>
      <w:pPr>
        <w:ind w:left="340" w:hanging="332"/>
        <w:spacing w:after="0"/>
        <w:tabs>
          <w:tab w:leader="none" w:pos="340" w:val="left"/>
        </w:tabs>
        <w:numPr>
          <w:ilvl w:val="0"/>
          <w:numId w:val="15"/>
        </w:numPr>
        <w:rPr>
          <w:rFonts w:ascii="Arial" w:cs="Arial" w:eastAsia="Arial" w:hAnsi="Arial"/>
          <w:sz w:val="18"/>
          <w:szCs w:val="18"/>
          <w:i w:val="1"/>
          <w:iCs w:val="1"/>
          <w:color w:val="51555C"/>
        </w:rPr>
      </w:pPr>
      <w:r>
        <w:rPr>
          <w:rFonts w:ascii="Arial" w:cs="Arial" w:eastAsia="Arial" w:hAnsi="Arial"/>
          <w:sz w:val="18"/>
          <w:szCs w:val="18"/>
          <w:i w:val="1"/>
          <w:iCs w:val="1"/>
          <w:color w:val="51555C"/>
        </w:rPr>
        <w:t>Keen Atenton to Cost Management</w:t>
      </w:r>
    </w:p>
    <w:p>
      <w:pPr>
        <w:spacing w:after="0" w:line="171" w:lineRule="exact"/>
        <w:rPr>
          <w:rFonts w:ascii="Arial" w:cs="Arial" w:eastAsia="Arial" w:hAnsi="Arial"/>
          <w:sz w:val="18"/>
          <w:szCs w:val="18"/>
          <w:i w:val="1"/>
          <w:iCs w:val="1"/>
          <w:color w:val="51555C"/>
        </w:rPr>
      </w:pPr>
    </w:p>
    <w:p>
      <w:pPr>
        <w:jc w:val="both"/>
        <w:ind w:left="340"/>
        <w:spacing w:after="0" w:line="258" w:lineRule="auto"/>
        <w:rPr>
          <w:rFonts w:ascii="Arial" w:cs="Arial" w:eastAsia="Arial" w:hAnsi="Arial"/>
          <w:sz w:val="18"/>
          <w:szCs w:val="18"/>
          <w:i w:val="1"/>
          <w:iCs w:val="1"/>
          <w:color w:val="51555C"/>
        </w:rPr>
      </w:pPr>
      <w:r>
        <w:rPr>
          <w:rFonts w:ascii="Arial" w:cs="Arial" w:eastAsia="Arial" w:hAnsi="Arial"/>
          <w:sz w:val="18"/>
          <w:szCs w:val="18"/>
          <w:color w:val="51555C"/>
        </w:rPr>
        <w:t>We closed four legacy data centers during 2022, and we plan to close more this year. We renegotated key vendor contracts including Microsof Azure and AWS and made the difcult decision to further reduce our staf in the frst quarter. Because we have organized to achieve much beter scale efciencies, we have signifcantly reduced our headcount since the third quarter of 2022. Our goal is to run the business at about this headcount level for the foreseeable future, such that our revenue growth will beter drive margin acceleraton.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235585</wp:posOffset>
            </wp:positionV>
            <wp:extent cx="66040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25</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7A04DD"/>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Financial Summary</w:t>
      </w:r>
    </w:p>
    <w:p>
      <w:pPr>
        <w:spacing w:after="0" w:line="200" w:lineRule="exact"/>
        <w:rPr>
          <w:sz w:val="20"/>
          <w:szCs w:val="20"/>
          <w:color w:val="auto"/>
        </w:rPr>
      </w:pPr>
    </w:p>
    <w:p>
      <w:pPr>
        <w:spacing w:after="0" w:line="378" w:lineRule="exact"/>
        <w:rPr>
          <w:sz w:val="20"/>
          <w:szCs w:val="20"/>
          <w:color w:val="auto"/>
        </w:rPr>
      </w:pPr>
    </w:p>
    <w:p>
      <w:pPr>
        <w:jc w:val="right"/>
        <w:ind w:right="1500"/>
        <w:spacing w:after="0"/>
        <w:rPr>
          <w:sz w:val="20"/>
          <w:szCs w:val="20"/>
          <w:color w:val="auto"/>
        </w:rPr>
      </w:pPr>
      <w:r>
        <w:rPr>
          <w:rFonts w:ascii="Arial" w:cs="Arial" w:eastAsia="Arial" w:hAnsi="Arial"/>
          <w:sz w:val="18"/>
          <w:szCs w:val="18"/>
          <w:i w:val="1"/>
          <w:iCs w:val="1"/>
          <w:color w:val="51555C"/>
        </w:rPr>
        <w:t>Total revenue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7171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25" w:lineRule="exact"/>
        <w:rPr>
          <w:sz w:val="20"/>
          <w:szCs w:val="20"/>
          <w:color w:val="auto"/>
        </w:rPr>
      </w:pPr>
    </w:p>
    <w:p>
      <w:pPr>
        <w:ind w:left="1760"/>
        <w:spacing w:after="0"/>
        <w:rPr>
          <w:sz w:val="20"/>
          <w:szCs w:val="20"/>
          <w:color w:val="auto"/>
        </w:rPr>
      </w:pPr>
      <w:r>
        <w:rPr>
          <w:rFonts w:ascii="Arial" w:cs="Arial" w:eastAsia="Arial" w:hAnsi="Arial"/>
          <w:sz w:val="13"/>
          <w:szCs w:val="13"/>
          <w:i w:val="1"/>
          <w:iCs w:val="1"/>
          <w:color w:val="51555C"/>
        </w:rPr>
        <w:t>YoY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191135</wp:posOffset>
            </wp:positionV>
            <wp:extent cx="2280285" cy="3025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0285" cy="3025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5060"/>
        <w:spacing w:after="0"/>
        <w:rPr>
          <w:sz w:val="20"/>
          <w:szCs w:val="20"/>
          <w:color w:val="auto"/>
        </w:rPr>
      </w:pPr>
      <w:r>
        <w:rPr>
          <w:rFonts w:ascii="Arial" w:cs="Arial" w:eastAsia="Arial" w:hAnsi="Arial"/>
          <w:sz w:val="15"/>
          <w:szCs w:val="15"/>
          <w:b w:val="1"/>
          <w:bCs w:val="1"/>
          <w:color w:val="51555C"/>
        </w:rPr>
        <w:t>Blackbaud, Inc.</w:t>
      </w:r>
    </w:p>
    <w:p>
      <w:pPr>
        <w:spacing w:after="0" w:line="58" w:lineRule="exact"/>
        <w:rPr>
          <w:sz w:val="20"/>
          <w:szCs w:val="20"/>
          <w:color w:val="auto"/>
        </w:rPr>
      </w:pPr>
    </w:p>
    <w:p>
      <w:pPr>
        <w:jc w:val="center"/>
        <w:ind w:right="506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00"/>
        <w:spacing w:after="0"/>
        <w:rPr>
          <w:sz w:val="20"/>
          <w:szCs w:val="20"/>
          <w:color w:val="auto"/>
        </w:rPr>
      </w:pPr>
      <w:r>
        <w:rPr>
          <w:rFonts w:ascii="Arial" w:cs="Arial" w:eastAsia="Arial" w:hAnsi="Arial"/>
          <w:sz w:val="16"/>
          <w:szCs w:val="16"/>
          <w:i w:val="1"/>
          <w:iCs w:val="1"/>
          <w:color w:val="51555C"/>
        </w:rPr>
        <w:t>Income (Loss) from operatons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57785</wp:posOffset>
            </wp:positionV>
            <wp:extent cx="27260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48" w:lineRule="exact"/>
        <w:rPr>
          <w:sz w:val="20"/>
          <w:szCs w:val="20"/>
          <w:color w:val="auto"/>
        </w:rPr>
      </w:pPr>
    </w:p>
    <w:p>
      <w:pPr>
        <w:jc w:val="center"/>
        <w:ind w:right="2100"/>
        <w:spacing w:after="0"/>
        <w:rPr>
          <w:sz w:val="20"/>
          <w:szCs w:val="20"/>
          <w:color w:val="auto"/>
        </w:rPr>
      </w:pPr>
      <w:r>
        <w:rPr>
          <w:rFonts w:ascii="Arial" w:cs="Arial" w:eastAsia="Arial" w:hAnsi="Arial"/>
          <w:sz w:val="13"/>
          <w:szCs w:val="13"/>
          <w:i w:val="1"/>
          <w:iCs w:val="1"/>
          <w:color w:val="51555C"/>
        </w:rPr>
        <w:t>YoY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191135</wp:posOffset>
            </wp:positionV>
            <wp:extent cx="2280285" cy="3025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80285" cy="3025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720"/>
            <w:col w:w="618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Total revenue increased by $6.1 million and $10.7 million during the three and six months ended June 30, 2023, respectvely, when compared to the same periods in 2022, driven largely by the following:</w:t>
      </w:r>
    </w:p>
    <w:p>
      <w:pPr>
        <w:ind w:left="720" w:hanging="366"/>
        <w:spacing w:after="0" w:line="202" w:lineRule="auto"/>
        <w:tabs>
          <w:tab w:leader="none" w:pos="720" w:val="left"/>
        </w:tabs>
        <w:numPr>
          <w:ilvl w:val="0"/>
          <w:numId w:val="16"/>
        </w:numPr>
        <w:rPr>
          <w:rFonts w:ascii="Arial" w:cs="Arial" w:eastAsia="Arial" w:hAnsi="Arial"/>
          <w:sz w:val="36"/>
          <w:szCs w:val="36"/>
          <w:color w:val="51555C"/>
          <w:vertAlign w:val="superscript"/>
        </w:rPr>
      </w:pPr>
      <w:r>
        <w:rPr>
          <w:rFonts w:ascii="Arial" w:cs="Arial" w:eastAsia="Arial" w:hAnsi="Arial"/>
          <w:sz w:val="18"/>
          <w:szCs w:val="18"/>
          <w:color w:val="51555C"/>
        </w:rPr>
        <w:t>Growth in recurring revenue primarily related to:</w:t>
      </w:r>
    </w:p>
    <w:p>
      <w:pPr>
        <w:spacing w:after="0" w:line="90" w:lineRule="exact"/>
        <w:rPr>
          <w:rFonts w:ascii="Arial" w:cs="Arial" w:eastAsia="Arial" w:hAnsi="Arial"/>
          <w:sz w:val="36"/>
          <w:szCs w:val="36"/>
          <w:color w:val="51555C"/>
          <w:vertAlign w:val="superscript"/>
        </w:rPr>
      </w:pPr>
    </w:p>
    <w:p>
      <w:pPr>
        <w:jc w:val="both"/>
        <w:ind w:left="1380" w:right="20" w:hanging="330"/>
        <w:spacing w:after="0"/>
        <w:tabs>
          <w:tab w:leader="none" w:pos="1380" w:val="left"/>
        </w:tabs>
        <w:numPr>
          <w:ilvl w:val="1"/>
          <w:numId w:val="16"/>
        </w:numPr>
        <w:rPr>
          <w:rFonts w:ascii="Arial" w:cs="Arial" w:eastAsia="Arial" w:hAnsi="Arial"/>
          <w:sz w:val="18"/>
          <w:szCs w:val="18"/>
          <w:color w:val="51555C"/>
        </w:rPr>
      </w:pPr>
      <w:r>
        <w:rPr>
          <w:rFonts w:ascii="Arial" w:cs="Arial" w:eastAsia="Arial" w:hAnsi="Arial"/>
          <w:sz w:val="18"/>
          <w:szCs w:val="18"/>
          <w:color w:val="51555C"/>
        </w:rPr>
        <w:t>increases in transactonal recurring revenue of $6.0 million and $11.0 million, respectvely, primarily due to increases in volume for our Blackbaud Tuiton Management and JustGiving solutons and positve results related to a pricing initatve we implemented at the beginning of 2023; also ofsetng the increases in transactonal recurring revenue were decreases related to fuctuatons in foreign currency exchange rates of $0.6 million and $2.2 million, respectvely; and</w:t>
      </w:r>
    </w:p>
    <w:p>
      <w:pPr>
        <w:spacing w:after="0" w:line="44" w:lineRule="exact"/>
        <w:rPr>
          <w:rFonts w:ascii="Arial" w:cs="Arial" w:eastAsia="Arial" w:hAnsi="Arial"/>
          <w:sz w:val="18"/>
          <w:szCs w:val="18"/>
          <w:color w:val="51555C"/>
        </w:rPr>
      </w:pPr>
    </w:p>
    <w:p>
      <w:pPr>
        <w:jc w:val="both"/>
        <w:ind w:left="1380" w:right="20" w:hanging="330"/>
        <w:spacing w:after="0" w:line="258" w:lineRule="auto"/>
        <w:tabs>
          <w:tab w:leader="none" w:pos="1380" w:val="left"/>
        </w:tabs>
        <w:numPr>
          <w:ilvl w:val="1"/>
          <w:numId w:val="16"/>
        </w:numPr>
        <w:rPr>
          <w:rFonts w:ascii="Arial" w:cs="Arial" w:eastAsia="Arial" w:hAnsi="Arial"/>
          <w:sz w:val="18"/>
          <w:szCs w:val="18"/>
          <w:color w:val="51555C"/>
        </w:rPr>
      </w:pPr>
      <w:r>
        <w:rPr>
          <w:rFonts w:ascii="Arial" w:cs="Arial" w:eastAsia="Arial" w:hAnsi="Arial"/>
          <w:sz w:val="18"/>
          <w:szCs w:val="18"/>
          <w:color w:val="51555C"/>
        </w:rPr>
        <w:t>increases in contractual recurring revenue of $3.9 million and $7.0 million, respectvely, related to the performance of our cloud solutons and, to a lesser extent, the early impact of our pricing initatves; partally ofset by decreases in maintenance revenue as customers migrate to our cloud solutons; also ofsetng the increases in contractual recurring revenue were decreases related to fuctuatons in foreign currency exchange rates of $0.3 million and $1.1 million, respectvely</w:t>
      </w:r>
    </w:p>
    <w:p>
      <w:pPr>
        <w:ind w:left="720" w:hanging="349"/>
        <w:spacing w:after="0" w:line="184" w:lineRule="auto"/>
        <w:tabs>
          <w:tab w:leader="none" w:pos="720" w:val="left"/>
        </w:tabs>
        <w:numPr>
          <w:ilvl w:val="0"/>
          <w:numId w:val="17"/>
        </w:numPr>
        <w:rPr>
          <w:rFonts w:ascii="Arial" w:cs="Arial" w:eastAsia="Arial" w:hAnsi="Arial"/>
          <w:sz w:val="35"/>
          <w:szCs w:val="35"/>
          <w:color w:val="51555C"/>
          <w:vertAlign w:val="superscript"/>
        </w:rPr>
      </w:pPr>
      <w:r>
        <w:rPr>
          <w:rFonts w:ascii="Arial" w:cs="Arial" w:eastAsia="Arial" w:hAnsi="Arial"/>
          <w:sz w:val="18"/>
          <w:szCs w:val="18"/>
          <w:color w:val="51555C"/>
        </w:rPr>
        <w:t>Decreases in one-tme service and other revenue primarily related to:</w:t>
      </w:r>
    </w:p>
    <w:p>
      <w:pPr>
        <w:spacing w:after="0" w:line="89" w:lineRule="exact"/>
        <w:rPr>
          <w:rFonts w:ascii="Arial" w:cs="Arial" w:eastAsia="Arial" w:hAnsi="Arial"/>
          <w:sz w:val="35"/>
          <w:szCs w:val="35"/>
          <w:color w:val="51555C"/>
          <w:vertAlign w:val="superscript"/>
        </w:rPr>
      </w:pPr>
    </w:p>
    <w:p>
      <w:pPr>
        <w:jc w:val="both"/>
        <w:ind w:left="1380" w:right="20" w:hanging="330"/>
        <w:spacing w:after="0" w:line="236" w:lineRule="auto"/>
        <w:tabs>
          <w:tab w:leader="none" w:pos="1380" w:val="left"/>
        </w:tabs>
        <w:numPr>
          <w:ilvl w:val="1"/>
          <w:numId w:val="17"/>
        </w:numPr>
        <w:rPr>
          <w:rFonts w:ascii="Arial" w:cs="Arial" w:eastAsia="Arial" w:hAnsi="Arial"/>
          <w:sz w:val="18"/>
          <w:szCs w:val="18"/>
          <w:color w:val="51555C"/>
        </w:rPr>
      </w:pPr>
      <w:r>
        <w:rPr>
          <w:rFonts w:ascii="Arial" w:cs="Arial" w:eastAsia="Arial" w:hAnsi="Arial"/>
          <w:sz w:val="18"/>
          <w:szCs w:val="18"/>
          <w:color w:val="51555C"/>
        </w:rPr>
        <w:t>decreases in one-tme consultng revenue due primarily to less sales of creatve services and implementaton and customizaton services, in line with our mult-year strategic shif from a license-based and one-tme services business model to a cloud subscripton business model, which generally requires less implementaton and customizaton services; and</w:t>
      </w:r>
    </w:p>
    <w:p>
      <w:pPr>
        <w:spacing w:after="0" w:line="45" w:lineRule="exact"/>
        <w:rPr>
          <w:rFonts w:ascii="Arial" w:cs="Arial" w:eastAsia="Arial" w:hAnsi="Arial"/>
          <w:sz w:val="18"/>
          <w:szCs w:val="18"/>
          <w:color w:val="51555C"/>
        </w:rPr>
      </w:pPr>
    </w:p>
    <w:p>
      <w:pPr>
        <w:ind w:left="1380" w:hanging="330"/>
        <w:spacing w:after="0"/>
        <w:tabs>
          <w:tab w:leader="none" w:pos="1380" w:val="left"/>
        </w:tabs>
        <w:numPr>
          <w:ilvl w:val="1"/>
          <w:numId w:val="17"/>
        </w:numPr>
        <w:rPr>
          <w:rFonts w:ascii="Arial" w:cs="Arial" w:eastAsia="Arial" w:hAnsi="Arial"/>
          <w:sz w:val="18"/>
          <w:szCs w:val="18"/>
          <w:color w:val="51555C"/>
        </w:rPr>
      </w:pPr>
      <w:r>
        <w:rPr>
          <w:rFonts w:ascii="Arial" w:cs="Arial" w:eastAsia="Arial" w:hAnsi="Arial"/>
          <w:sz w:val="18"/>
          <w:szCs w:val="18"/>
          <w:color w:val="51555C"/>
        </w:rPr>
        <w:t>decreases in one-tme analytcs revenue as analytcs are generally integrated in our cloud solutons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51555C"/>
        </w:rPr>
        <w:t>For additonal informaton on the impact of foreign currency fuctuatons on our fnancial results, see Foreign Currency Exchange Rates below on page 47.</w:t>
      </w:r>
    </w:p>
    <w:p>
      <w:pPr>
        <w:spacing w:after="0" w:line="399"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26</w:t>
      </w:r>
      <w:r>
        <w:rPr>
          <w:sz w:val="20"/>
          <w:szCs w:val="20"/>
          <w:color w:val="auto"/>
        </w:rPr>
        <w:tab/>
      </w:r>
      <w:r>
        <w:rPr>
          <w:sz w:val="1"/>
          <w:szCs w:val="1"/>
          <w:color w:val="auto"/>
        </w:rPr>
        <w:drawing>
          <wp:inline distT="0" distB="0" distL="0" distR="0">
            <wp:extent cx="651510" cy="1714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have a number of mult-year pricing initatves underway, some to bring our pricing in line with the market while others are model changes that are expected to drive greater revenue for both us and our customers. As a result, we expect to see an acceleraton in growth in the second half of 2023 when compared to the frst half of the year as we begin to see the full-year efect of some of these pricing initatves.</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We expect that the one-tme services and other revenue will contnue to signifcantly decrease during 2023 compared to 2022 driven by our contnued migraton to the cloud in our core business.</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Income from operatons increased by $0.2 million during the three months ended June 30, 2023, when compared to the same period in 2022, driven largely by the following:</w:t>
      </w:r>
    </w:p>
    <w:p>
      <w:pPr>
        <w:spacing w:after="0" w:line="177" w:lineRule="exact"/>
        <w:rPr>
          <w:sz w:val="20"/>
          <w:szCs w:val="20"/>
          <w:color w:val="auto"/>
        </w:rPr>
      </w:pPr>
    </w:p>
    <w:p>
      <w:pPr>
        <w:ind w:left="720" w:right="20" w:hanging="451"/>
        <w:spacing w:after="0" w:line="273" w:lineRule="auto"/>
        <w:tabs>
          <w:tab w:leader="none" w:pos="720" w:val="left"/>
        </w:tabs>
        <w:numPr>
          <w:ilvl w:val="0"/>
          <w:numId w:val="18"/>
        </w:numPr>
        <w:rPr>
          <w:rFonts w:ascii="Arial" w:cs="Arial" w:eastAsia="Arial" w:hAnsi="Arial"/>
          <w:sz w:val="18"/>
          <w:szCs w:val="18"/>
          <w:color w:val="51555C"/>
        </w:rPr>
      </w:pPr>
      <w:r>
        <w:rPr>
          <w:rFonts w:ascii="Arial" w:cs="Arial" w:eastAsia="Arial" w:hAnsi="Arial"/>
          <w:sz w:val="18"/>
          <w:szCs w:val="18"/>
          <w:color w:val="51555C"/>
        </w:rPr>
        <w:t>Decreases in compensaton costs other than stock-based compensaton of $10.1 million and commission expense of $0.8 million due to our targeted workforce reductons discussed below</w:t>
      </w:r>
    </w:p>
    <w:p>
      <w:pPr>
        <w:ind w:left="720" w:hanging="451"/>
        <w:spacing w:after="0" w:line="187" w:lineRule="auto"/>
        <w:tabs>
          <w:tab w:leader="none" w:pos="720" w:val="left"/>
        </w:tabs>
        <w:numPr>
          <w:ilvl w:val="0"/>
          <w:numId w:val="18"/>
        </w:numPr>
        <w:rPr>
          <w:rFonts w:ascii="Arial" w:cs="Arial" w:eastAsia="Arial" w:hAnsi="Arial"/>
          <w:sz w:val="36"/>
          <w:szCs w:val="36"/>
          <w:color w:val="51555C"/>
          <w:vertAlign w:val="superscript"/>
        </w:rPr>
      </w:pPr>
      <w:r>
        <w:rPr>
          <w:rFonts w:ascii="Arial" w:cs="Arial" w:eastAsia="Arial" w:hAnsi="Arial"/>
          <w:sz w:val="18"/>
          <w:szCs w:val="18"/>
          <w:color w:val="51555C"/>
        </w:rPr>
        <w:t>Increase in total revenue, as described above</w:t>
      </w:r>
    </w:p>
    <w:p>
      <w:pPr>
        <w:spacing w:after="0" w:line="144" w:lineRule="exact"/>
        <w:rPr>
          <w:rFonts w:ascii="Arial" w:cs="Arial" w:eastAsia="Arial" w:hAnsi="Arial"/>
          <w:sz w:val="36"/>
          <w:szCs w:val="36"/>
          <w:color w:val="51555C"/>
          <w:vertAlign w:val="superscript"/>
        </w:rPr>
      </w:pPr>
    </w:p>
    <w:p>
      <w:pPr>
        <w:jc w:val="both"/>
        <w:ind w:left="720" w:right="20" w:hanging="451"/>
        <w:spacing w:after="0" w:line="192" w:lineRule="auto"/>
        <w:tabs>
          <w:tab w:leader="none" w:pos="720" w:val="left"/>
        </w:tabs>
        <w:numPr>
          <w:ilvl w:val="0"/>
          <w:numId w:val="18"/>
        </w:numPr>
        <w:rPr>
          <w:rFonts w:ascii="Arial" w:cs="Arial" w:eastAsia="Arial" w:hAnsi="Arial"/>
          <w:sz w:val="36"/>
          <w:szCs w:val="36"/>
          <w:color w:val="51555C"/>
          <w:vertAlign w:val="superscript"/>
        </w:rPr>
      </w:pPr>
      <w:r>
        <w:rPr>
          <w:rFonts w:ascii="Arial" w:cs="Arial" w:eastAsia="Arial" w:hAnsi="Arial"/>
          <w:sz w:val="18"/>
          <w:szCs w:val="18"/>
          <w:color w:val="51555C"/>
        </w:rPr>
        <w:t>Decrease in acquisiton and dispositon-related costs of $3.1 million primarily related to the release of $1.4 million in accrued contngent consideraton related to our Kilter acquisiton during the three months ended June 30, 2023 and a $2.0 million noncash impairment of certain insignifcant intangible assets that were held for sale during the three months ended June 30, 2022 which did not reoccur in the comparable 2023 period</w:t>
      </w:r>
    </w:p>
    <w:p>
      <w:pPr>
        <w:spacing w:after="0" w:line="98" w:lineRule="exact"/>
        <w:rPr>
          <w:rFonts w:ascii="Arial" w:cs="Arial" w:eastAsia="Arial" w:hAnsi="Arial"/>
          <w:sz w:val="36"/>
          <w:szCs w:val="36"/>
          <w:color w:val="51555C"/>
          <w:vertAlign w:val="superscript"/>
        </w:rPr>
      </w:pPr>
    </w:p>
    <w:p>
      <w:pPr>
        <w:jc w:val="both"/>
        <w:ind w:left="720" w:right="20" w:hanging="451"/>
        <w:spacing w:after="0" w:line="191" w:lineRule="auto"/>
        <w:tabs>
          <w:tab w:leader="none" w:pos="720" w:val="left"/>
        </w:tabs>
        <w:numPr>
          <w:ilvl w:val="0"/>
          <w:numId w:val="18"/>
        </w:numPr>
        <w:rPr>
          <w:rFonts w:ascii="Arial" w:cs="Arial" w:eastAsia="Arial" w:hAnsi="Arial"/>
          <w:sz w:val="36"/>
          <w:szCs w:val="36"/>
          <w:color w:val="51555C"/>
          <w:vertAlign w:val="superscript"/>
        </w:rPr>
      </w:pPr>
      <w:r>
        <w:rPr>
          <w:rFonts w:ascii="Arial" w:cs="Arial" w:eastAsia="Arial" w:hAnsi="Arial"/>
          <w:sz w:val="18"/>
          <w:szCs w:val="18"/>
          <w:color w:val="51555C"/>
        </w:rPr>
        <w:t>A $2.3 million noncash impairment charge during the three months ended June 30, 2022 against previously capitalized sofware development costs that reduced the carrying value of those assets to zero. The impairment charge resulted primarily from our decision to end customer support for certain solutons and did not reoccur in 2023</w:t>
      </w:r>
    </w:p>
    <w:p>
      <w:pPr>
        <w:ind w:left="720" w:hanging="451"/>
        <w:spacing w:after="0" w:line="187" w:lineRule="auto"/>
        <w:tabs>
          <w:tab w:leader="none" w:pos="720" w:val="left"/>
        </w:tabs>
        <w:numPr>
          <w:ilvl w:val="0"/>
          <w:numId w:val="18"/>
        </w:numPr>
        <w:rPr>
          <w:rFonts w:ascii="Arial" w:cs="Arial" w:eastAsia="Arial" w:hAnsi="Arial"/>
          <w:sz w:val="36"/>
          <w:szCs w:val="36"/>
          <w:color w:val="51555C"/>
          <w:vertAlign w:val="superscript"/>
        </w:rPr>
      </w:pPr>
      <w:r>
        <w:rPr>
          <w:rFonts w:ascii="Arial" w:cs="Arial" w:eastAsia="Arial" w:hAnsi="Arial"/>
          <w:sz w:val="18"/>
          <w:szCs w:val="18"/>
          <w:color w:val="51555C"/>
        </w:rPr>
        <w:t>Decrease in third-party contractor costs of $1.8 million primarily due to a decrease in our use of third-party sofware developers</w:t>
      </w:r>
    </w:p>
    <w:p>
      <w:pPr>
        <w:spacing w:after="0" w:line="144" w:lineRule="exact"/>
        <w:rPr>
          <w:rFonts w:ascii="Arial" w:cs="Arial" w:eastAsia="Arial" w:hAnsi="Arial"/>
          <w:sz w:val="36"/>
          <w:szCs w:val="36"/>
          <w:color w:val="51555C"/>
          <w:vertAlign w:val="superscript"/>
        </w:rPr>
      </w:pPr>
    </w:p>
    <w:p>
      <w:pPr>
        <w:jc w:val="both"/>
        <w:ind w:left="720" w:right="20" w:hanging="451"/>
        <w:spacing w:after="0" w:line="180" w:lineRule="auto"/>
        <w:tabs>
          <w:tab w:leader="none" w:pos="720" w:val="left"/>
        </w:tabs>
        <w:numPr>
          <w:ilvl w:val="0"/>
          <w:numId w:val="18"/>
        </w:numPr>
        <w:rPr>
          <w:rFonts w:ascii="Arial" w:cs="Arial" w:eastAsia="Arial" w:hAnsi="Arial"/>
          <w:sz w:val="35"/>
          <w:szCs w:val="35"/>
          <w:color w:val="51555C"/>
          <w:vertAlign w:val="superscript"/>
        </w:rPr>
      </w:pPr>
      <w:r>
        <w:rPr>
          <w:rFonts w:ascii="Arial" w:cs="Arial" w:eastAsia="Arial" w:hAnsi="Arial"/>
          <w:sz w:val="18"/>
          <w:szCs w:val="18"/>
          <w:color w:val="51555C"/>
        </w:rPr>
        <w:t>Decrease in hostng and data center costs of $1.5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97" w:lineRule="exact"/>
        <w:rPr>
          <w:rFonts w:ascii="Arial" w:cs="Arial" w:eastAsia="Arial" w:hAnsi="Arial"/>
          <w:sz w:val="35"/>
          <w:szCs w:val="35"/>
          <w:color w:val="51555C"/>
          <w:vertAlign w:val="superscript"/>
        </w:rPr>
      </w:pPr>
    </w:p>
    <w:p>
      <w:pPr>
        <w:ind w:left="720" w:right="20" w:hanging="451"/>
        <w:spacing w:after="0" w:line="181" w:lineRule="auto"/>
        <w:tabs>
          <w:tab w:leader="none" w:pos="720" w:val="left"/>
        </w:tabs>
        <w:numPr>
          <w:ilvl w:val="0"/>
          <w:numId w:val="18"/>
        </w:numPr>
        <w:rPr>
          <w:rFonts w:ascii="Arial" w:cs="Arial" w:eastAsia="Arial" w:hAnsi="Arial"/>
          <w:sz w:val="34"/>
          <w:szCs w:val="34"/>
          <w:color w:val="51555C"/>
          <w:vertAlign w:val="superscript"/>
        </w:rPr>
      </w:pPr>
      <w:r>
        <w:rPr>
          <w:rFonts w:ascii="Arial" w:cs="Arial" w:eastAsia="Arial" w:hAnsi="Arial"/>
          <w:sz w:val="17"/>
          <w:szCs w:val="17"/>
          <w:color w:val="51555C"/>
        </w:rPr>
        <w:t>Decrease in other corporate costs of $1.2 million primarily related to the release of certain accrued tax liabilites due to favorable sales tax rulings</w:t>
      </w:r>
    </w:p>
    <w:p>
      <w:pPr>
        <w:spacing w:after="0" w:line="97" w:lineRule="exact"/>
        <w:rPr>
          <w:rFonts w:ascii="Arial" w:cs="Arial" w:eastAsia="Arial" w:hAnsi="Arial"/>
          <w:sz w:val="34"/>
          <w:szCs w:val="34"/>
          <w:color w:val="51555C"/>
          <w:vertAlign w:val="superscript"/>
        </w:rPr>
      </w:pPr>
    </w:p>
    <w:p>
      <w:pPr>
        <w:ind w:left="720" w:right="20" w:hanging="451"/>
        <w:spacing w:after="0" w:line="181" w:lineRule="auto"/>
        <w:tabs>
          <w:tab w:leader="none" w:pos="720" w:val="left"/>
        </w:tabs>
        <w:numPr>
          <w:ilvl w:val="0"/>
          <w:numId w:val="18"/>
        </w:numPr>
        <w:rPr>
          <w:rFonts w:ascii="Arial" w:cs="Arial" w:eastAsia="Arial" w:hAnsi="Arial"/>
          <w:sz w:val="34"/>
          <w:szCs w:val="34"/>
          <w:color w:val="51555C"/>
          <w:vertAlign w:val="superscript"/>
        </w:rPr>
      </w:pPr>
      <w:r>
        <w:rPr>
          <w:rFonts w:ascii="Arial" w:cs="Arial" w:eastAsia="Arial" w:hAnsi="Arial"/>
          <w:sz w:val="17"/>
          <w:szCs w:val="17"/>
          <w:color w:val="51555C"/>
        </w:rPr>
        <w:t>Net decrease of $0.9 million primarily related to a decrease in rent and utlites, partally ofset by higher third-party sofware costs due to the number of licenses needed and also price increases for the sofware being used</w:t>
      </w:r>
    </w:p>
    <w:p>
      <w:pPr>
        <w:ind w:left="720" w:hanging="451"/>
        <w:spacing w:after="0" w:line="188" w:lineRule="auto"/>
        <w:tabs>
          <w:tab w:leader="none" w:pos="72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Increase in Security Incident-related expenses of $18.4 million. See "Security Incident update" below.</w:t>
      </w:r>
    </w:p>
    <w:p>
      <w:pPr>
        <w:spacing w:after="0" w:line="89" w:lineRule="exact"/>
        <w:rPr>
          <w:rFonts w:ascii="Arial" w:cs="Arial" w:eastAsia="Arial" w:hAnsi="Arial"/>
          <w:sz w:val="36"/>
          <w:szCs w:val="36"/>
          <w:color w:val="51555C"/>
          <w:vertAlign w:val="superscript"/>
        </w:rPr>
      </w:pPr>
    </w:p>
    <w:p>
      <w:pPr>
        <w:ind w:left="720" w:right="20" w:hanging="451"/>
        <w:spacing w:after="0" w:line="230" w:lineRule="auto"/>
        <w:tabs>
          <w:tab w:leader="none" w:pos="720" w:val="left"/>
        </w:tabs>
        <w:numPr>
          <w:ilvl w:val="0"/>
          <w:numId w:val="19"/>
        </w:numPr>
        <w:rPr>
          <w:rFonts w:ascii="Arial" w:cs="Arial" w:eastAsia="Arial" w:hAnsi="Arial"/>
          <w:sz w:val="18"/>
          <w:szCs w:val="18"/>
          <w:color w:val="51555C"/>
        </w:rPr>
      </w:pPr>
      <w:r>
        <w:rPr>
          <w:rFonts w:ascii="Arial" w:cs="Arial" w:eastAsia="Arial" w:hAnsi="Arial"/>
          <w:sz w:val="18"/>
          <w:szCs w:val="18"/>
          <w:color w:val="51555C"/>
        </w:rPr>
        <w:t>Increase in stock-based compensaton expense of $5.5 million primarily due to estmated overall Company performance against 2023 goals, partally ofset by the targeted workforce reductons during the fourth quarter of 2022 and frst quarter of 2023</w:t>
      </w:r>
    </w:p>
    <w:p>
      <w:pPr>
        <w:spacing w:after="0" w:line="97" w:lineRule="exact"/>
        <w:rPr>
          <w:rFonts w:ascii="Arial" w:cs="Arial" w:eastAsia="Arial" w:hAnsi="Arial"/>
          <w:sz w:val="18"/>
          <w:szCs w:val="18"/>
          <w:color w:val="51555C"/>
        </w:rPr>
      </w:pPr>
    </w:p>
    <w:p>
      <w:pPr>
        <w:ind w:left="720" w:right="20" w:hanging="451"/>
        <w:spacing w:after="0" w:line="181" w:lineRule="auto"/>
        <w:tabs>
          <w:tab w:leader="none" w:pos="720" w:val="left"/>
        </w:tabs>
        <w:numPr>
          <w:ilvl w:val="0"/>
          <w:numId w:val="19"/>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transacton-based costs of $1.2 million related to the increase in the volume of transactons for which we process payments and, to a lesser extent, increases in vendor rates</w:t>
      </w:r>
    </w:p>
    <w:p>
      <w:pPr>
        <w:ind w:left="720" w:hanging="451"/>
        <w:spacing w:after="0" w:line="187" w:lineRule="auto"/>
        <w:tabs>
          <w:tab w:leader="none" w:pos="72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Increase in advertsing costs of $1.1 million</w:t>
      </w:r>
    </w:p>
    <w:p>
      <w:pPr>
        <w:spacing w:after="0" w:line="144" w:lineRule="exact"/>
        <w:rPr>
          <w:rFonts w:ascii="Arial" w:cs="Arial" w:eastAsia="Arial" w:hAnsi="Arial"/>
          <w:sz w:val="36"/>
          <w:szCs w:val="36"/>
          <w:color w:val="51555C"/>
          <w:vertAlign w:val="superscript"/>
        </w:rPr>
      </w:pPr>
    </w:p>
    <w:p>
      <w:pPr>
        <w:ind w:left="720" w:right="20" w:hanging="451"/>
        <w:spacing w:after="0" w:line="180" w:lineRule="auto"/>
        <w:tabs>
          <w:tab w:leader="none" w:pos="720" w:val="left"/>
        </w:tabs>
        <w:numPr>
          <w:ilvl w:val="0"/>
          <w:numId w:val="19"/>
        </w:numPr>
        <w:rPr>
          <w:rFonts w:ascii="Arial" w:cs="Arial" w:eastAsia="Arial" w:hAnsi="Arial"/>
          <w:sz w:val="30"/>
          <w:szCs w:val="30"/>
          <w:color w:val="51555C"/>
          <w:vertAlign w:val="superscript"/>
        </w:rPr>
      </w:pPr>
      <w:r>
        <w:rPr>
          <w:rFonts w:ascii="Arial" w:cs="Arial" w:eastAsia="Arial" w:hAnsi="Arial"/>
          <w:sz w:val="16"/>
          <w:szCs w:val="16"/>
          <w:color w:val="51555C"/>
        </w:rPr>
        <w:t>Net decrease of $0.8 million due to an increase in amortzaton of capitalized sofware and content development costs, partally ofset by an increase in sofware and content development costs that were required to be capitalized under the internal-use sofware guidance</w:t>
      </w:r>
    </w:p>
    <w:p>
      <w:pPr>
        <w:ind w:left="720" w:hanging="451"/>
        <w:spacing w:after="0" w:line="187" w:lineRule="auto"/>
        <w:tabs>
          <w:tab w:leader="none" w:pos="72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Increase in amortzaton of intangible assets from business combinatons of $0.7 million due to our acquisiton of EVERFI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314325</wp:posOffset>
            </wp:positionV>
            <wp:extent cx="66040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27</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Income from operatons decreased by $3.7 million during the six months ended June 30, 2023, when compared to the same period in 2022, driven largely by the following:</w:t>
      </w:r>
    </w:p>
    <w:p>
      <w:pPr>
        <w:spacing w:after="0" w:line="44" w:lineRule="exact"/>
        <w:rPr>
          <w:sz w:val="20"/>
          <w:szCs w:val="20"/>
          <w:color w:val="auto"/>
        </w:rPr>
      </w:pPr>
    </w:p>
    <w:p>
      <w:pPr>
        <w:ind w:left="720" w:hanging="451"/>
        <w:spacing w:after="0"/>
        <w:tabs>
          <w:tab w:leader="none" w:pos="720" w:val="left"/>
        </w:tabs>
        <w:numPr>
          <w:ilvl w:val="0"/>
          <w:numId w:val="20"/>
        </w:numPr>
        <w:rPr>
          <w:rFonts w:ascii="Arial" w:cs="Arial" w:eastAsia="Arial" w:hAnsi="Arial"/>
          <w:sz w:val="36"/>
          <w:szCs w:val="36"/>
          <w:color w:val="51555C"/>
          <w:vertAlign w:val="superscript"/>
        </w:rPr>
      </w:pPr>
      <w:r>
        <w:rPr>
          <w:rFonts w:ascii="Arial" w:cs="Arial" w:eastAsia="Arial" w:hAnsi="Arial"/>
          <w:sz w:val="18"/>
          <w:szCs w:val="18"/>
          <w:color w:val="51555C"/>
        </w:rPr>
        <w:t>Increase in Security Incident-related expenses of $29.0 million. See "Security Incident update" below.</w:t>
      </w:r>
    </w:p>
    <w:p>
      <w:pPr>
        <w:spacing w:after="0" w:line="89" w:lineRule="exact"/>
        <w:rPr>
          <w:rFonts w:ascii="Arial" w:cs="Arial" w:eastAsia="Arial" w:hAnsi="Arial"/>
          <w:sz w:val="36"/>
          <w:szCs w:val="36"/>
          <w:color w:val="51555C"/>
          <w:vertAlign w:val="superscript"/>
        </w:rPr>
      </w:pPr>
    </w:p>
    <w:p>
      <w:pPr>
        <w:ind w:left="720" w:hanging="451"/>
        <w:spacing w:after="0" w:line="209" w:lineRule="auto"/>
        <w:tabs>
          <w:tab w:leader="none" w:pos="720" w:val="left"/>
        </w:tabs>
        <w:numPr>
          <w:ilvl w:val="0"/>
          <w:numId w:val="20"/>
        </w:numPr>
        <w:rPr>
          <w:rFonts w:ascii="Arial" w:cs="Arial" w:eastAsia="Arial" w:hAnsi="Arial"/>
          <w:sz w:val="18"/>
          <w:szCs w:val="18"/>
          <w:color w:val="51555C"/>
        </w:rPr>
      </w:pPr>
      <w:r>
        <w:rPr>
          <w:rFonts w:ascii="Arial" w:cs="Arial" w:eastAsia="Arial" w:hAnsi="Arial"/>
          <w:sz w:val="18"/>
          <w:szCs w:val="18"/>
          <w:color w:val="51555C"/>
        </w:rPr>
        <w:t>Increase in stock-based compensaton expense of $7.6 million primarily due to 2022 performance-based equity award</w:t>
      </w:r>
    </w:p>
    <w:p>
      <w:pPr>
        <w:ind w:left="720" w:right="20"/>
        <w:spacing w:after="0" w:line="260" w:lineRule="auto"/>
        <w:rPr>
          <w:rFonts w:ascii="Arial" w:cs="Arial" w:eastAsia="Arial" w:hAnsi="Arial"/>
          <w:sz w:val="18"/>
          <w:szCs w:val="18"/>
          <w:color w:val="51555C"/>
        </w:rPr>
      </w:pPr>
      <w:r>
        <w:rPr>
          <w:rFonts w:ascii="Arial" w:cs="Arial" w:eastAsia="Arial" w:hAnsi="Arial"/>
          <w:sz w:val="18"/>
          <w:szCs w:val="18"/>
          <w:color w:val="51555C"/>
        </w:rPr>
        <w:t>adjustments and estmated overall Company performance against 2023 goals, partally ofset by the targeted workforce reductons during the fourth quarter of 2022 and frst quarter of 2023</w:t>
      </w:r>
    </w:p>
    <w:p>
      <w:pPr>
        <w:spacing w:after="0" w:line="80" w:lineRule="exact"/>
        <w:rPr>
          <w:rFonts w:ascii="Arial" w:cs="Arial" w:eastAsia="Arial" w:hAnsi="Arial"/>
          <w:sz w:val="18"/>
          <w:szCs w:val="18"/>
          <w:color w:val="51555C"/>
        </w:rPr>
      </w:pPr>
    </w:p>
    <w:p>
      <w:pPr>
        <w:ind w:left="720" w:right="20" w:hanging="451"/>
        <w:spacing w:after="0" w:line="181" w:lineRule="auto"/>
        <w:tabs>
          <w:tab w:leader="none" w:pos="720" w:val="left"/>
        </w:tabs>
        <w:numPr>
          <w:ilvl w:val="0"/>
          <w:numId w:val="20"/>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transacton-based costs of $3.3 million related to the increase in the volume of transactons for which we process payments and, to a lesser extent, increases in vendor rates</w:t>
      </w:r>
    </w:p>
    <w:p>
      <w:pPr>
        <w:spacing w:after="0" w:line="97" w:lineRule="exact"/>
        <w:rPr>
          <w:rFonts w:ascii="Arial" w:cs="Arial" w:eastAsia="Arial" w:hAnsi="Arial"/>
          <w:sz w:val="34"/>
          <w:szCs w:val="34"/>
          <w:color w:val="51555C"/>
          <w:vertAlign w:val="superscript"/>
        </w:rPr>
      </w:pPr>
    </w:p>
    <w:p>
      <w:pPr>
        <w:ind w:left="720" w:right="20" w:hanging="451"/>
        <w:spacing w:after="0" w:line="181" w:lineRule="auto"/>
        <w:tabs>
          <w:tab w:leader="none" w:pos="720" w:val="left"/>
        </w:tabs>
        <w:numPr>
          <w:ilvl w:val="0"/>
          <w:numId w:val="20"/>
        </w:numPr>
        <w:rPr>
          <w:rFonts w:ascii="Arial" w:cs="Arial" w:eastAsia="Arial" w:hAnsi="Arial"/>
          <w:sz w:val="34"/>
          <w:szCs w:val="34"/>
          <w:color w:val="51555C"/>
          <w:vertAlign w:val="superscript"/>
        </w:rPr>
      </w:pPr>
      <w:r>
        <w:rPr>
          <w:rFonts w:ascii="Arial" w:cs="Arial" w:eastAsia="Arial" w:hAnsi="Arial"/>
          <w:sz w:val="17"/>
          <w:szCs w:val="17"/>
          <w:color w:val="51555C"/>
        </w:rPr>
        <w:t>Net decrease of $1.7 million due to an increase in amortzaton of capitalized sofware and content development costs, partally ofset by an increase in sofware and content development costs that were required to be capitalized under the internal-use sofware guidance</w:t>
      </w:r>
    </w:p>
    <w:p>
      <w:pPr>
        <w:ind w:left="720" w:hanging="451"/>
        <w:spacing w:after="0" w:line="187" w:lineRule="auto"/>
        <w:tabs>
          <w:tab w:leader="none" w:pos="720" w:val="left"/>
        </w:tabs>
        <w:numPr>
          <w:ilvl w:val="0"/>
          <w:numId w:val="20"/>
        </w:numPr>
        <w:rPr>
          <w:rFonts w:ascii="Arial" w:cs="Arial" w:eastAsia="Arial" w:hAnsi="Arial"/>
          <w:sz w:val="36"/>
          <w:szCs w:val="36"/>
          <w:color w:val="51555C"/>
          <w:vertAlign w:val="superscript"/>
        </w:rPr>
      </w:pPr>
      <w:r>
        <w:rPr>
          <w:rFonts w:ascii="Arial" w:cs="Arial" w:eastAsia="Arial" w:hAnsi="Arial"/>
          <w:sz w:val="18"/>
          <w:szCs w:val="18"/>
          <w:color w:val="51555C"/>
        </w:rPr>
        <w:t>Increase in amortzaton of intangible assets from business combinatons of $1.3 million due to our acquisiton of EVERFI</w:t>
      </w:r>
    </w:p>
    <w:p>
      <w:pPr>
        <w:spacing w:after="0" w:line="144" w:lineRule="exact"/>
        <w:rPr>
          <w:rFonts w:ascii="Arial" w:cs="Arial" w:eastAsia="Arial" w:hAnsi="Arial"/>
          <w:sz w:val="36"/>
          <w:szCs w:val="36"/>
          <w:color w:val="51555C"/>
          <w:vertAlign w:val="superscript"/>
        </w:rPr>
      </w:pPr>
    </w:p>
    <w:p>
      <w:pPr>
        <w:ind w:left="720" w:right="20" w:hanging="451"/>
        <w:spacing w:after="0" w:line="180" w:lineRule="auto"/>
        <w:tabs>
          <w:tab w:leader="none" w:pos="720" w:val="left"/>
        </w:tabs>
        <w:numPr>
          <w:ilvl w:val="0"/>
          <w:numId w:val="20"/>
        </w:numPr>
        <w:rPr>
          <w:rFonts w:ascii="Arial" w:cs="Arial" w:eastAsia="Arial" w:hAnsi="Arial"/>
          <w:sz w:val="30"/>
          <w:szCs w:val="30"/>
          <w:color w:val="51555C"/>
          <w:vertAlign w:val="superscript"/>
        </w:rPr>
      </w:pPr>
      <w:r>
        <w:rPr>
          <w:rFonts w:ascii="Arial" w:cs="Arial" w:eastAsia="Arial" w:hAnsi="Arial"/>
          <w:sz w:val="16"/>
          <w:szCs w:val="16"/>
          <w:color w:val="51555C"/>
        </w:rPr>
        <w:t>Net increase of $1.0 million primarily related to higher third-party sofware costs due to the number of licenses needed and also price increases for the sofware being used, partally ofset by a decrease in rent and utlites</w:t>
      </w:r>
    </w:p>
    <w:p>
      <w:pPr>
        <w:spacing w:after="0" w:line="43" w:lineRule="exact"/>
        <w:rPr>
          <w:sz w:val="20"/>
          <w:szCs w:val="20"/>
          <w:color w:val="auto"/>
        </w:rPr>
      </w:pPr>
    </w:p>
    <w:p>
      <w:pPr>
        <w:ind w:left="720" w:right="20" w:hanging="451"/>
        <w:spacing w:after="0" w:line="298" w:lineRule="auto"/>
        <w:tabs>
          <w:tab w:leader="none" w:pos="720" w:val="left"/>
        </w:tabs>
        <w:numPr>
          <w:ilvl w:val="0"/>
          <w:numId w:val="21"/>
        </w:numPr>
        <w:rPr>
          <w:rFonts w:ascii="Arial" w:cs="Arial" w:eastAsia="Arial" w:hAnsi="Arial"/>
          <w:sz w:val="17"/>
          <w:szCs w:val="17"/>
          <w:color w:val="51555C"/>
        </w:rPr>
      </w:pPr>
      <w:r>
        <w:rPr>
          <w:rFonts w:ascii="Arial" w:cs="Arial" w:eastAsia="Arial" w:hAnsi="Arial"/>
          <w:sz w:val="17"/>
          <w:szCs w:val="17"/>
          <w:color w:val="51555C"/>
        </w:rPr>
        <w:t>Decreases in compensaton costs other than stock-based compensaton of $17.8 million and commission expense of $1.5 million, partally ofset by a corresponding increase in severance costs of $4.5 million due to our targeted workforce reductons discussed below</w:t>
      </w:r>
    </w:p>
    <w:p>
      <w:pPr>
        <w:ind w:left="720" w:hanging="451"/>
        <w:spacing w:after="0" w:line="187" w:lineRule="auto"/>
        <w:tabs>
          <w:tab w:leader="none" w:pos="72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total revenue, as described above</w:t>
      </w:r>
    </w:p>
    <w:p>
      <w:pPr>
        <w:spacing w:after="0" w:line="144" w:lineRule="exact"/>
        <w:rPr>
          <w:rFonts w:ascii="Arial" w:cs="Arial" w:eastAsia="Arial" w:hAnsi="Arial"/>
          <w:sz w:val="36"/>
          <w:szCs w:val="36"/>
          <w:color w:val="51555C"/>
          <w:vertAlign w:val="superscript"/>
        </w:rPr>
      </w:pPr>
    </w:p>
    <w:p>
      <w:pPr>
        <w:ind w:left="720" w:hanging="451"/>
        <w:spacing w:after="0" w:line="188" w:lineRule="auto"/>
        <w:tabs>
          <w:tab w:leader="none" w:pos="720" w:val="left"/>
        </w:tabs>
        <w:numPr>
          <w:ilvl w:val="0"/>
          <w:numId w:val="21"/>
        </w:numPr>
        <w:rPr>
          <w:rFonts w:ascii="Arial" w:cs="Arial" w:eastAsia="Arial" w:hAnsi="Arial"/>
          <w:sz w:val="20"/>
          <w:szCs w:val="20"/>
          <w:color w:val="51555C"/>
          <w:vertAlign w:val="superscript"/>
        </w:rPr>
      </w:pPr>
      <w:r>
        <w:rPr>
          <w:rFonts w:ascii="Arial" w:cs="Arial" w:eastAsia="Arial" w:hAnsi="Arial"/>
          <w:sz w:val="12"/>
          <w:szCs w:val="12"/>
          <w:color w:val="51555C"/>
        </w:rPr>
        <w:t>Decrease in third-party contractor costs of $3.7 million primarily due to a decrease in our use of third-party sofware developers</w:t>
      </w:r>
    </w:p>
    <w:p>
      <w:pPr>
        <w:spacing w:after="0" w:line="143" w:lineRule="exact"/>
        <w:rPr>
          <w:rFonts w:ascii="Arial" w:cs="Arial" w:eastAsia="Arial" w:hAnsi="Arial"/>
          <w:sz w:val="20"/>
          <w:szCs w:val="20"/>
          <w:color w:val="51555C"/>
          <w:vertAlign w:val="superscript"/>
        </w:rPr>
      </w:pPr>
    </w:p>
    <w:p>
      <w:pPr>
        <w:jc w:val="both"/>
        <w:ind w:left="720" w:right="20" w:hanging="451"/>
        <w:spacing w:after="0" w:line="180" w:lineRule="auto"/>
        <w:tabs>
          <w:tab w:leader="none" w:pos="720" w:val="left"/>
        </w:tabs>
        <w:numPr>
          <w:ilvl w:val="0"/>
          <w:numId w:val="21"/>
        </w:numPr>
        <w:rPr>
          <w:rFonts w:ascii="Arial" w:cs="Arial" w:eastAsia="Arial" w:hAnsi="Arial"/>
          <w:sz w:val="35"/>
          <w:szCs w:val="35"/>
          <w:color w:val="51555C"/>
          <w:vertAlign w:val="superscript"/>
        </w:rPr>
      </w:pPr>
      <w:r>
        <w:rPr>
          <w:rFonts w:ascii="Arial" w:cs="Arial" w:eastAsia="Arial" w:hAnsi="Arial"/>
          <w:sz w:val="18"/>
          <w:szCs w:val="18"/>
          <w:color w:val="51555C"/>
        </w:rPr>
        <w:t>Decrease in hostng and data center costs of $3.6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97" w:lineRule="exact"/>
        <w:rPr>
          <w:rFonts w:ascii="Arial" w:cs="Arial" w:eastAsia="Arial" w:hAnsi="Arial"/>
          <w:sz w:val="35"/>
          <w:szCs w:val="35"/>
          <w:color w:val="51555C"/>
          <w:vertAlign w:val="superscript"/>
        </w:rPr>
      </w:pPr>
    </w:p>
    <w:p>
      <w:pPr>
        <w:jc w:val="both"/>
        <w:ind w:left="720" w:right="20" w:hanging="451"/>
        <w:spacing w:after="0" w:line="202" w:lineRule="auto"/>
        <w:tabs>
          <w:tab w:leader="none" w:pos="72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Decrease in acquisiton and dispositon-related costs of $3.5 million primarily related to the release of $1.4 million in accrued contngent consideraton related to our Kilter acquisiton during the six months ended June 30, 2023 and a $2.0 million noncash impairment of certain insignifcant intangible assets that were held for sale during the three months ended June 30, 2022 which did not reoccur in the comparable 2023 period</w:t>
      </w:r>
    </w:p>
    <w:p>
      <w:pPr>
        <w:spacing w:after="0" w:line="100" w:lineRule="exact"/>
        <w:rPr>
          <w:rFonts w:ascii="Arial" w:cs="Arial" w:eastAsia="Arial" w:hAnsi="Arial"/>
          <w:sz w:val="36"/>
          <w:szCs w:val="36"/>
          <w:color w:val="51555C"/>
          <w:vertAlign w:val="superscript"/>
        </w:rPr>
      </w:pPr>
    </w:p>
    <w:p>
      <w:pPr>
        <w:jc w:val="both"/>
        <w:ind w:left="720" w:right="20" w:hanging="451"/>
        <w:spacing w:after="0" w:line="191" w:lineRule="auto"/>
        <w:tabs>
          <w:tab w:leader="none" w:pos="72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A $2.3 million noncash impairment charge during the six months ended June 30, 2022 against previously capitalized sofware development costs that reduced the carrying value of those assets to zero. The impairment charge resulted primarily from our decision to end customer support for certain solutons</w:t>
      </w:r>
    </w:p>
    <w:p>
      <w:pPr>
        <w:spacing w:after="0" w:line="97" w:lineRule="exact"/>
        <w:rPr>
          <w:rFonts w:ascii="Arial" w:cs="Arial" w:eastAsia="Arial" w:hAnsi="Arial"/>
          <w:sz w:val="36"/>
          <w:szCs w:val="36"/>
          <w:color w:val="51555C"/>
          <w:vertAlign w:val="superscript"/>
        </w:rPr>
      </w:pPr>
    </w:p>
    <w:p>
      <w:pPr>
        <w:ind w:left="720" w:right="20" w:hanging="451"/>
        <w:spacing w:after="0" w:line="181" w:lineRule="auto"/>
        <w:tabs>
          <w:tab w:leader="none" w:pos="720" w:val="left"/>
        </w:tabs>
        <w:numPr>
          <w:ilvl w:val="0"/>
          <w:numId w:val="21"/>
        </w:numPr>
        <w:rPr>
          <w:rFonts w:ascii="Arial" w:cs="Arial" w:eastAsia="Arial" w:hAnsi="Arial"/>
          <w:sz w:val="34"/>
          <w:szCs w:val="34"/>
          <w:color w:val="51555C"/>
          <w:vertAlign w:val="superscript"/>
        </w:rPr>
      </w:pPr>
      <w:r>
        <w:rPr>
          <w:rFonts w:ascii="Arial" w:cs="Arial" w:eastAsia="Arial" w:hAnsi="Arial"/>
          <w:sz w:val="17"/>
          <w:szCs w:val="17"/>
          <w:color w:val="51555C"/>
        </w:rPr>
        <w:t>Decrease in other corporate costs of $1.6 million primarily related to the release of certain accrued tax liabilites due to favorable sales tax rulings</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We are contnuing to make critcal investments in the business in areas such as digital marketng, innovaton, cybersecurity, customer success and our contnued shif of cloud infrastructure to leading public cloud service providers. Our proftability during the frst half of 2023 refects some of these incremental investments. In the second half of 2023, we expect our fnancial performance to improve each quarter as our pricing and cost initatves contnue to take hold.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contnuously seek opportunites to optmize our portolio of solutons to focus tme and resources on innovaton that will have the greatest impact for our customers and the markets we serve, and drive the highest return on investment. To that end, we will contnue to simplify and ratonalize our portolio through product sunsets and divesttures of non-core businesses and technologies.</w:t>
      </w:r>
    </w:p>
    <w:p>
      <w:pPr>
        <w:spacing w:after="0" w:line="324"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28</w:t>
      </w:r>
      <w:r>
        <w:rPr>
          <w:sz w:val="20"/>
          <w:szCs w:val="20"/>
          <w:color w:val="auto"/>
        </w:rPr>
        <w:tab/>
      </w:r>
      <w:r>
        <w:rPr>
          <w:sz w:val="1"/>
          <w:szCs w:val="1"/>
          <w:color w:val="auto"/>
        </w:rPr>
        <w:drawing>
          <wp:inline distT="0" distB="0" distL="0" distR="0">
            <wp:extent cx="65151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51555C"/>
        </w:rPr>
        <w:t>Gross dollar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7260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214630</wp:posOffset>
            </wp:positionV>
            <wp:extent cx="2280285" cy="131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Our recurring subscripton contracts are typically for a term of three years at contract incepton. We have been for several years successfully shifing our legacy customer base away from annual renewals and moving them onto mult-year renewal contracts.</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A key factor to our overall success is the renewal and expansion of our existng subscripton agreements with our customers. Management uses gross dollar retenton in analyzing our success at delightng our customers with innovatve and cloud solutons. Gross dollar retenton is defned as contracted annual recurring revenue ("CARR") divided by beginning CARR with a measurement period of twelve months. For the twelve months ended June 30, 2023, our gross dollar retenton was approximately 90%. This gross dollar retenton rate is relatvely consistent with our rate for the full year ended December 31, 2022. We are contnually investng in innovaton, which we believe will increase gross dollar retenton over the long-term. Although some customer atriton is normal, our new contract pricing and renewal model (as described above on page 24) does not appear to have had a signifcant impact on customer atriton to date.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Balance sheet and cash fow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51555C"/>
        </w:rPr>
        <w:t>At June 30, 2023, our cash and cash equivalents were $29.0 million and the carrying amount of our debt under the 2020 Credit Facility was $786.8 million.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51555C"/>
        </w:rPr>
        <w:t>Our net leverage rato was 2.67 to 1.00.</w:t>
      </w:r>
    </w:p>
    <w:p>
      <w:pPr>
        <w:spacing w:after="0" w:line="16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During the six months ended June 30, 2023, we generated $75.0 million in cash from operatons, had a net decrease in borrowings of $13.8 million, and had aggregate cash outlays of $31.5 million for purchases of property and equipment and capitalized sofware and content development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Security Incident update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51555C"/>
        </w:rPr>
        <w:t>As discussed in Note 8 to our unaudited, condensed consolidated fnancial statements included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adjusted free cash fow on page 42). For the three and six months ended June 30, 2023, we incurred net pre-tax expenses of $26.8 million and $44.6 million, respectvely, related to the Security Incident, which included $7.0 million and $14.6 million, respectvely, for ongoing legal fees and additonal accruals for loss contngencies of $19.8 million and $30.0 million, respectvely. During the six months ended June 30, 2023, we had net cash outlays of $15.8 million related to the Security Incident, which included ongoing legal fees and the $3.0 million civil penalty paid during the frst quarter of 2023 related to the SEC setlement (as discussed in Note 8). In line with our policy, legal fees are expensed as incurred. For full year 2023, we currently expect net pre-tax expense of approximately $20.0 million to $30.0 million and net cash outlays of approximately $25.0 million to $35.0 million for ongoing legal fees related to the Security Incident. Not included in these ranges are our previous setlements or current accruals for loss contngencies related to the maters discussed below.</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As of June 30, 2023, we have recorded approximately $50.0 million in aggregate liabilites for loss contngencies based primarily on recent negotatons with certain governmental agencies related to the Security Incident that we believe we can reasonably estmate in accordance with our loss contngency procedures described in Note 8. It is reasonably possible that our estmated or actual losses may change in the near term for those maters and be materially in excess of the amounts accrued, but we are unable at this tme to reasonably estmate the possible additonal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225425</wp:posOffset>
            </wp:positionV>
            <wp:extent cx="66040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There are other Security Incident-related maters, including customer claims, customer consttuent class actons and governmental investgatons, for which we have not recorded a liability for a loss contngency as of June 30, 2023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Fixed asset impairment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On July 31, 2023, we entered into a sublease for a porton of our Washington, DC ofce locaton, which we previously closed in February 2023 to align with our remote-frst workforce strategy. We considered our entry into the sublease an impairment indicator. As a result, we currently expect to incur pre-tax costs between $6.0 million and $8.0 million in the third quarter of 2023, consistng of noncash impairment charges against certain operatng lease right-of-use assets and property and equipment assets.</w:t>
      </w:r>
    </w:p>
    <w:p>
      <w:pPr>
        <w:spacing w:after="0" w:line="341"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30</w:t>
      </w:r>
      <w:r>
        <w:rPr>
          <w:sz w:val="20"/>
          <w:szCs w:val="20"/>
          <w:color w:val="auto"/>
        </w:rPr>
        <w:tab/>
      </w:r>
      <w:r>
        <w:rPr>
          <w:sz w:val="1"/>
          <w:szCs w:val="1"/>
          <w:color w:val="auto"/>
        </w:rPr>
        <w:drawing>
          <wp:inline distT="0" distB="0" distL="0" distR="0">
            <wp:extent cx="65151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Comparison of the three and six months ended June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Revenue and Cost of Revenue</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1555C"/>
        </w:rPr>
        <w:t>Recurring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i w:val="1"/>
                <w:iCs w:val="1"/>
                <w:color w:val="51555C"/>
                <w:w w:val="94"/>
              </w:rPr>
              <w:t>Gross proft ($M)</w:t>
            </w:r>
          </w:p>
        </w:tc>
      </w:tr>
      <w:tr>
        <w:trPr>
          <w:trHeight w:val="227"/>
        </w:trPr>
        <w:tc>
          <w:tcPr>
            <w:tcW w:w="2780" w:type="dxa"/>
            <w:vAlign w:val="bottom"/>
          </w:tcPr>
          <w:p>
            <w:pPr>
              <w:jc w:val="center"/>
              <w:spacing w:after="0"/>
              <w:rPr>
                <w:sz w:val="20"/>
                <w:szCs w:val="20"/>
                <w:color w:val="auto"/>
              </w:rPr>
            </w:pPr>
            <w:r>
              <w:rPr>
                <w:rFonts w:ascii="Arial" w:cs="Arial" w:eastAsia="Arial" w:hAnsi="Arial"/>
                <w:sz w:val="18"/>
                <w:szCs w:val="18"/>
                <w:i w:val="1"/>
                <w:iCs w:val="1"/>
                <w:color w:val="51555C"/>
                <w:w w:val="87"/>
              </w:rPr>
              <w:t>Revenue ($M)</w:t>
            </w:r>
          </w:p>
        </w:tc>
        <w:tc>
          <w:tcPr>
            <w:tcW w:w="4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i w:val="1"/>
                <w:iCs w:val="1"/>
                <w:color w:val="51555C"/>
                <w:w w:val="89"/>
              </w:rPr>
              <w:t>Cost of revenue ($M)</w:t>
            </w:r>
          </w:p>
        </w:tc>
        <w:tc>
          <w:tcPr>
            <w:tcW w:w="44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i w:val="1"/>
                <w:iCs w:val="1"/>
                <w:color w:val="51555C"/>
                <w:w w:val="89"/>
              </w:rPr>
              <w:t>and gross margin (%)</w:t>
            </w:r>
          </w:p>
        </w:tc>
      </w:tr>
      <w:tr>
        <w:trPr>
          <w:trHeight w:val="49"/>
        </w:trPr>
        <w:tc>
          <w:tcPr>
            <w:tcW w:w="2780" w:type="dxa"/>
            <w:vAlign w:val="bottom"/>
            <w:tcBorders>
              <w:bottom w:val="single" w:sz="8" w:color="51555C"/>
            </w:tcBorders>
          </w:tcPr>
          <w:p>
            <w:pPr>
              <w:spacing w:after="0"/>
              <w:rPr>
                <w:sz w:val="4"/>
                <w:szCs w:val="4"/>
                <w:color w:val="auto"/>
              </w:rPr>
            </w:pPr>
          </w:p>
        </w:tc>
        <w:tc>
          <w:tcPr>
            <w:tcW w:w="44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440" w:type="dxa"/>
            <w:vAlign w:val="bottom"/>
          </w:tcPr>
          <w:p>
            <w:pPr>
              <w:spacing w:after="0"/>
              <w:rPr>
                <w:sz w:val="4"/>
                <w:szCs w:val="4"/>
                <w:color w:val="auto"/>
              </w:rPr>
            </w:pPr>
          </w:p>
        </w:tc>
        <w:tc>
          <w:tcPr>
            <w:tcW w:w="2880" w:type="dxa"/>
            <w:vAlign w:val="bottom"/>
            <w:tcBorders>
              <w:bottom w:val="single" w:sz="8" w:color="51555C"/>
            </w:tcBorders>
          </w:tcPr>
          <w:p>
            <w:pPr>
              <w:spacing w:after="0"/>
              <w:rPr>
                <w:sz w:val="4"/>
                <w:szCs w:val="4"/>
                <w:color w:val="auto"/>
              </w:rPr>
            </w:pPr>
          </w:p>
        </w:tc>
      </w:tr>
      <w:tr>
        <w:trPr>
          <w:trHeight w:val="214"/>
        </w:trPr>
        <w:tc>
          <w:tcPr>
            <w:tcW w:w="2780" w:type="dxa"/>
            <w:vAlign w:val="bottom"/>
          </w:tcPr>
          <w:p>
            <w:pPr>
              <w:jc w:val="center"/>
              <w:spacing w:after="0"/>
              <w:rPr>
                <w:sz w:val="20"/>
                <w:szCs w:val="20"/>
                <w:color w:val="auto"/>
              </w:rPr>
            </w:pPr>
            <w:r>
              <w:rPr>
                <w:rFonts w:ascii="Arial" w:cs="Arial" w:eastAsia="Arial" w:hAnsi="Arial"/>
                <w:sz w:val="13"/>
                <w:szCs w:val="13"/>
                <w:i w:val="1"/>
                <w:iCs w:val="1"/>
                <w:color w:val="51555C"/>
                <w:w w:val="85"/>
              </w:rPr>
              <w:t>YoY Growth (%)</w:t>
            </w:r>
          </w:p>
        </w:tc>
        <w:tc>
          <w:tcPr>
            <w:tcW w:w="4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3"/>
                <w:szCs w:val="13"/>
                <w:i w:val="1"/>
                <w:iCs w:val="1"/>
                <w:color w:val="51555C"/>
                <w:w w:val="83"/>
              </w:rPr>
              <w:t>YoY Growth (%)</w:t>
            </w:r>
          </w:p>
        </w:tc>
        <w:tc>
          <w:tcPr>
            <w:tcW w:w="440" w:type="dxa"/>
            <w:vAlign w:val="bottom"/>
          </w:tcPr>
          <w:p>
            <w:pPr>
              <w:spacing w:after="0"/>
              <w:rPr>
                <w:sz w:val="18"/>
                <w:szCs w:val="18"/>
                <w:color w:val="auto"/>
              </w:rPr>
            </w:pPr>
          </w:p>
        </w:tc>
        <w:tc>
          <w:tcPr>
            <w:tcW w:w="2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5812155" cy="3008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Recurring revenue is comprised of fees for the use of our subscripton-based sofware solutons, which includes providing access to cloud solutons, Impact-as-a-Service</w:t>
      </w:r>
      <w:r>
        <w:rPr>
          <w:rFonts w:ascii="Arial" w:cs="Arial" w:eastAsia="Arial" w:hAnsi="Arial"/>
          <w:sz w:val="18"/>
          <w:szCs w:val="18"/>
          <w:i w:val="1"/>
          <w:iCs w:val="1"/>
          <w:color w:val="51555C"/>
        </w:rPr>
        <w:t>™</w:t>
      </w:r>
      <w:r>
        <w:rPr>
          <w:rFonts w:ascii="Arial" w:cs="Arial" w:eastAsia="Arial" w:hAnsi="Arial"/>
          <w:sz w:val="18"/>
          <w:szCs w:val="18"/>
          <w:color w:val="51555C"/>
        </w:rPr>
        <w:t xml:space="preserve"> digital educatonal content, hostng services, payment services, online training programs and subscripton-based analytc services. Recurring revenue also includes fees from maintenance services for our on-premises solutons, services included in our renewable subscripton contracts, retained and managed services contracts that we expect to have a term consistent with our cloud soluton contracts, and variable transacton revenue associated with the use of our solutons.</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Cost of recurring revenue is primarily comprised of compensaton costs for customer support and producton IT personnel, hostng and data center costs, third-party contractor expenses, third-party royalty and data expenses, allocated depreciaton, facilites and IT support costs, amortzaton of intangible assets from business combinatons, amortzaton of sofware development costs, transacton-based costs related to payments services including remitances of amounts due to third-partes and other costs incurred in providing support and recurring services to our customers.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Our customers contnue to prefer cloud subscripton oferings with integrated analytcs, training and payment services. We intend to contnue focusing on innovaton, quality and integraton of our cloud solutons, which we believe will drive future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227330</wp:posOffset>
            </wp:positionV>
            <wp:extent cx="66040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31</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Recurring revenue increased by $9.9 million, or 3.9%, and $18.0 million, or 3.6%, during the three and six months ended June 30, 2023, respectvely, when compared to the same periods in 2022, driven primarily by the following:</w:t>
      </w:r>
    </w:p>
    <w:p>
      <w:pPr>
        <w:spacing w:after="0" w:line="123" w:lineRule="exact"/>
        <w:rPr>
          <w:sz w:val="20"/>
          <w:szCs w:val="20"/>
          <w:color w:val="auto"/>
        </w:rPr>
      </w:pPr>
    </w:p>
    <w:p>
      <w:pPr>
        <w:jc w:val="both"/>
        <w:ind w:left="720" w:right="20" w:hanging="366"/>
        <w:spacing w:after="0" w:line="202" w:lineRule="auto"/>
        <w:tabs>
          <w:tab w:leader="none" w:pos="72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Increases in transactonal recurring revenue of $6.0 million and $11.0 million, respectvely, primarily due to increases in volume for our Blackbaud Tuiton Management and JustGiving solutons and positve results related to a pricing initatve we implemented at the beginning of 2023; also ofsetng the increases in transactonal recurring revenue were decreases related to fuctuatons in foreign currency exchange rates of $0.6 million and $2.2 million, respectvely</w:t>
      </w:r>
    </w:p>
    <w:p>
      <w:pPr>
        <w:spacing w:after="0" w:line="100" w:lineRule="exact"/>
        <w:rPr>
          <w:rFonts w:ascii="Arial" w:cs="Arial" w:eastAsia="Arial" w:hAnsi="Arial"/>
          <w:sz w:val="36"/>
          <w:szCs w:val="36"/>
          <w:color w:val="51555C"/>
          <w:vertAlign w:val="superscript"/>
        </w:rPr>
      </w:pPr>
    </w:p>
    <w:p>
      <w:pPr>
        <w:jc w:val="both"/>
        <w:ind w:left="720" w:right="20" w:hanging="366"/>
        <w:spacing w:after="0" w:line="202" w:lineRule="auto"/>
        <w:tabs>
          <w:tab w:leader="none" w:pos="72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Increases in contractual recurring revenue of $3.9 million and $7.0 million, respectvely, related to the performance of our cloud solutons and, to a lesser extent, the early impact of our pricing initatves; partally ofset by decreases in maintenance revenue as customers migrate to our cloud solutons; also ofsetng the increases in contractual recurring revenue were decreases related to fuctuatons in foreign currency exchange rates of $0.3 million and $1.1 million, respectvely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51555C"/>
        </w:rPr>
        <w:t>For additonal informaton on the impact of foreign currency fuctuatons on our fnancial results, see Foreign Currency Exchange Rates below on page 47.</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Cost of recurring revenue decreased by $0.6 million, or 0.5%, during the three months ended June 30, 2023, when compared to the same period in 2022, driven primarily by the following:</w:t>
      </w:r>
    </w:p>
    <w:p>
      <w:pPr>
        <w:spacing w:after="0" w:line="123" w:lineRule="exact"/>
        <w:rPr>
          <w:sz w:val="20"/>
          <w:szCs w:val="20"/>
          <w:color w:val="auto"/>
        </w:rPr>
      </w:pPr>
    </w:p>
    <w:p>
      <w:pPr>
        <w:ind w:left="720" w:right="60" w:hanging="349"/>
        <w:spacing w:after="0" w:line="181" w:lineRule="auto"/>
        <w:tabs>
          <w:tab w:leader="none" w:pos="720" w:val="left"/>
        </w:tabs>
        <w:numPr>
          <w:ilvl w:val="0"/>
          <w:numId w:val="23"/>
        </w:numPr>
        <w:rPr>
          <w:rFonts w:ascii="Arial" w:cs="Arial" w:eastAsia="Arial" w:hAnsi="Arial"/>
          <w:sz w:val="34"/>
          <w:szCs w:val="34"/>
          <w:color w:val="51555C"/>
          <w:vertAlign w:val="superscript"/>
        </w:rPr>
      </w:pPr>
      <w:r>
        <w:rPr>
          <w:rFonts w:ascii="Arial" w:cs="Arial" w:eastAsia="Arial" w:hAnsi="Arial"/>
          <w:sz w:val="17"/>
          <w:szCs w:val="17"/>
          <w:color w:val="51555C"/>
        </w:rPr>
        <w:t>Decrease in compensaton costs other than stock-based compensaton of $2.6 million primarily due to our targeted workforce reductons discussed above</w:t>
      </w:r>
    </w:p>
    <w:p>
      <w:pPr>
        <w:spacing w:after="0" w:line="97" w:lineRule="exact"/>
        <w:rPr>
          <w:rFonts w:ascii="Arial" w:cs="Arial" w:eastAsia="Arial" w:hAnsi="Arial"/>
          <w:sz w:val="34"/>
          <w:szCs w:val="34"/>
          <w:color w:val="51555C"/>
          <w:vertAlign w:val="superscript"/>
        </w:rPr>
      </w:pPr>
    </w:p>
    <w:p>
      <w:pPr>
        <w:jc w:val="both"/>
        <w:ind w:left="720" w:right="60" w:hanging="349"/>
        <w:spacing w:after="0" w:line="191" w:lineRule="auto"/>
        <w:tabs>
          <w:tab w:leader="none" w:pos="720" w:val="left"/>
        </w:tabs>
        <w:numPr>
          <w:ilvl w:val="0"/>
          <w:numId w:val="23"/>
        </w:numPr>
        <w:rPr>
          <w:rFonts w:ascii="Arial" w:cs="Arial" w:eastAsia="Arial" w:hAnsi="Arial"/>
          <w:sz w:val="36"/>
          <w:szCs w:val="36"/>
          <w:color w:val="51555C"/>
          <w:vertAlign w:val="superscript"/>
        </w:rPr>
      </w:pPr>
      <w:r>
        <w:rPr>
          <w:rFonts w:ascii="Arial" w:cs="Arial" w:eastAsia="Arial" w:hAnsi="Arial"/>
          <w:sz w:val="18"/>
          <w:szCs w:val="18"/>
          <w:color w:val="51555C"/>
        </w:rPr>
        <w:t>Decrease in hostng and data center costs of $1.5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97" w:lineRule="exact"/>
        <w:rPr>
          <w:sz w:val="20"/>
          <w:szCs w:val="20"/>
          <w:color w:val="auto"/>
        </w:rPr>
      </w:pPr>
    </w:p>
    <w:p>
      <w:pPr>
        <w:ind w:left="720" w:right="60" w:hanging="366"/>
        <w:spacing w:after="0" w:line="181" w:lineRule="auto"/>
        <w:tabs>
          <w:tab w:leader="none" w:pos="720" w:val="left"/>
        </w:tabs>
        <w:numPr>
          <w:ilvl w:val="0"/>
          <w:numId w:val="24"/>
        </w:numPr>
        <w:rPr>
          <w:rFonts w:ascii="Arial" w:cs="Arial" w:eastAsia="Arial" w:hAnsi="Arial"/>
          <w:sz w:val="34"/>
          <w:szCs w:val="34"/>
          <w:color w:val="51555C"/>
          <w:vertAlign w:val="superscript"/>
        </w:rPr>
      </w:pPr>
      <w:r>
        <w:rPr>
          <w:rFonts w:ascii="Arial" w:cs="Arial" w:eastAsia="Arial" w:hAnsi="Arial"/>
          <w:sz w:val="17"/>
          <w:szCs w:val="17"/>
          <w:color w:val="51555C"/>
        </w:rPr>
        <w:t>Increase in amortzaton of sofware development costs of $1.4 million due to our contnued investments in the innovaton and security of our solutons</w:t>
      </w:r>
    </w:p>
    <w:p>
      <w:pPr>
        <w:spacing w:after="0" w:line="97" w:lineRule="exact"/>
        <w:rPr>
          <w:rFonts w:ascii="Arial" w:cs="Arial" w:eastAsia="Arial" w:hAnsi="Arial"/>
          <w:sz w:val="34"/>
          <w:szCs w:val="34"/>
          <w:color w:val="51555C"/>
          <w:vertAlign w:val="superscript"/>
        </w:rPr>
      </w:pPr>
    </w:p>
    <w:p>
      <w:pPr>
        <w:ind w:left="720" w:right="60" w:hanging="366"/>
        <w:spacing w:after="0" w:line="181" w:lineRule="auto"/>
        <w:tabs>
          <w:tab w:leader="none" w:pos="720" w:val="left"/>
        </w:tabs>
        <w:numPr>
          <w:ilvl w:val="0"/>
          <w:numId w:val="24"/>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transacton-based costs of $1.2 million related to the increase in the volume of transactons for which we process payments and, to a lesser extent, increases in vendor rates</w:t>
      </w:r>
    </w:p>
    <w:p>
      <w:pPr>
        <w:spacing w:after="0" w:line="97" w:lineRule="exact"/>
        <w:rPr>
          <w:rFonts w:ascii="Arial" w:cs="Arial" w:eastAsia="Arial" w:hAnsi="Arial"/>
          <w:sz w:val="34"/>
          <w:szCs w:val="34"/>
          <w:color w:val="51555C"/>
          <w:vertAlign w:val="superscript"/>
        </w:rPr>
      </w:pPr>
    </w:p>
    <w:p>
      <w:pPr>
        <w:ind w:left="720" w:right="60" w:hanging="366"/>
        <w:spacing w:after="0" w:line="181" w:lineRule="auto"/>
        <w:tabs>
          <w:tab w:leader="none" w:pos="720" w:val="left"/>
        </w:tabs>
        <w:numPr>
          <w:ilvl w:val="0"/>
          <w:numId w:val="24"/>
        </w:numPr>
        <w:rPr>
          <w:rFonts w:ascii="Arial" w:cs="Arial" w:eastAsia="Arial" w:hAnsi="Arial"/>
          <w:sz w:val="34"/>
          <w:szCs w:val="34"/>
          <w:color w:val="51555C"/>
          <w:vertAlign w:val="superscript"/>
        </w:rPr>
      </w:pPr>
      <w:r>
        <w:rPr>
          <w:rFonts w:ascii="Arial" w:cs="Arial" w:eastAsia="Arial" w:hAnsi="Arial"/>
          <w:sz w:val="17"/>
          <w:szCs w:val="17"/>
          <w:color w:val="51555C"/>
        </w:rPr>
        <w:t>Increase in amortzaton of intangible assets from business combinatons of $0.7 million primarily due to our acquisiton of EVERFI in December 2021</w:t>
      </w:r>
    </w:p>
    <w:p>
      <w:pPr>
        <w:spacing w:after="0" w:line="260"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Cost of recurring revenue increased by $1.8 million, or 0.8%, during the six months ended June 30, 2023, when compared to the same period in 2022, driven primarily by the following:</w:t>
      </w:r>
    </w:p>
    <w:p>
      <w:pPr>
        <w:spacing w:after="0" w:line="123" w:lineRule="exact"/>
        <w:rPr>
          <w:sz w:val="20"/>
          <w:szCs w:val="20"/>
          <w:color w:val="auto"/>
        </w:rPr>
      </w:pPr>
    </w:p>
    <w:p>
      <w:pPr>
        <w:ind w:left="720" w:right="60" w:hanging="366"/>
        <w:spacing w:after="0" w:line="181" w:lineRule="auto"/>
        <w:tabs>
          <w:tab w:leader="none" w:pos="720" w:val="left"/>
        </w:tabs>
        <w:numPr>
          <w:ilvl w:val="0"/>
          <w:numId w:val="25"/>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transacton-based costs of $3.3 million related to the increase in the volume of transactons for which we process payments and, to a lesser extent, increases in vendor rates</w:t>
      </w:r>
    </w:p>
    <w:p>
      <w:pPr>
        <w:spacing w:after="0" w:line="97" w:lineRule="exact"/>
        <w:rPr>
          <w:rFonts w:ascii="Arial" w:cs="Arial" w:eastAsia="Arial" w:hAnsi="Arial"/>
          <w:sz w:val="34"/>
          <w:szCs w:val="34"/>
          <w:color w:val="51555C"/>
          <w:vertAlign w:val="superscript"/>
        </w:rPr>
      </w:pPr>
    </w:p>
    <w:p>
      <w:pPr>
        <w:ind w:left="720" w:right="60" w:hanging="366"/>
        <w:spacing w:after="0" w:line="181" w:lineRule="auto"/>
        <w:tabs>
          <w:tab w:leader="none" w:pos="720" w:val="left"/>
        </w:tabs>
        <w:numPr>
          <w:ilvl w:val="0"/>
          <w:numId w:val="25"/>
        </w:numPr>
        <w:rPr>
          <w:rFonts w:ascii="Arial" w:cs="Arial" w:eastAsia="Arial" w:hAnsi="Arial"/>
          <w:sz w:val="34"/>
          <w:szCs w:val="34"/>
          <w:color w:val="51555C"/>
          <w:vertAlign w:val="superscript"/>
        </w:rPr>
      </w:pPr>
      <w:r>
        <w:rPr>
          <w:rFonts w:ascii="Arial" w:cs="Arial" w:eastAsia="Arial" w:hAnsi="Arial"/>
          <w:sz w:val="17"/>
          <w:szCs w:val="17"/>
          <w:color w:val="51555C"/>
        </w:rPr>
        <w:t>Increase in amortzaton of sofware development costs of $2.7 million due to our contnued investments in the innovaton and security of our solutons</w:t>
      </w:r>
    </w:p>
    <w:p>
      <w:pPr>
        <w:spacing w:after="0" w:line="97" w:lineRule="exact"/>
        <w:rPr>
          <w:rFonts w:ascii="Arial" w:cs="Arial" w:eastAsia="Arial" w:hAnsi="Arial"/>
          <w:sz w:val="34"/>
          <w:szCs w:val="34"/>
          <w:color w:val="51555C"/>
          <w:vertAlign w:val="superscript"/>
        </w:rPr>
      </w:pPr>
    </w:p>
    <w:p>
      <w:pPr>
        <w:ind w:left="720" w:right="60" w:hanging="366"/>
        <w:spacing w:after="0" w:line="181" w:lineRule="auto"/>
        <w:tabs>
          <w:tab w:leader="none" w:pos="720" w:val="left"/>
        </w:tabs>
        <w:numPr>
          <w:ilvl w:val="0"/>
          <w:numId w:val="25"/>
        </w:numPr>
        <w:rPr>
          <w:rFonts w:ascii="Arial" w:cs="Arial" w:eastAsia="Arial" w:hAnsi="Arial"/>
          <w:sz w:val="34"/>
          <w:szCs w:val="34"/>
          <w:color w:val="51555C"/>
          <w:vertAlign w:val="superscript"/>
        </w:rPr>
      </w:pPr>
      <w:r>
        <w:rPr>
          <w:rFonts w:ascii="Arial" w:cs="Arial" w:eastAsia="Arial" w:hAnsi="Arial"/>
          <w:sz w:val="17"/>
          <w:szCs w:val="17"/>
          <w:color w:val="51555C"/>
        </w:rPr>
        <w:t>Increase in amortzaton of intangible assets from business combinatons of $1.4 million primarily due to our acquisiton of EVERFI in December 2021</w:t>
      </w:r>
    </w:p>
    <w:p>
      <w:pPr>
        <w:spacing w:after="0" w:line="97" w:lineRule="exact"/>
        <w:rPr>
          <w:rFonts w:ascii="Arial" w:cs="Arial" w:eastAsia="Arial" w:hAnsi="Arial"/>
          <w:sz w:val="34"/>
          <w:szCs w:val="34"/>
          <w:color w:val="51555C"/>
          <w:vertAlign w:val="superscript"/>
        </w:rPr>
      </w:pPr>
    </w:p>
    <w:p>
      <w:pPr>
        <w:ind w:left="720" w:right="60" w:hanging="366"/>
        <w:spacing w:after="0" w:line="181" w:lineRule="auto"/>
        <w:tabs>
          <w:tab w:leader="none" w:pos="720" w:val="left"/>
        </w:tabs>
        <w:numPr>
          <w:ilvl w:val="0"/>
          <w:numId w:val="25"/>
        </w:numPr>
        <w:rPr>
          <w:rFonts w:ascii="Arial" w:cs="Arial" w:eastAsia="Arial" w:hAnsi="Arial"/>
          <w:sz w:val="34"/>
          <w:szCs w:val="34"/>
          <w:color w:val="51555C"/>
          <w:vertAlign w:val="superscript"/>
        </w:rPr>
      </w:pPr>
      <w:r>
        <w:rPr>
          <w:rFonts w:ascii="Arial" w:cs="Arial" w:eastAsia="Arial" w:hAnsi="Arial"/>
          <w:sz w:val="17"/>
          <w:szCs w:val="17"/>
          <w:color w:val="51555C"/>
        </w:rPr>
        <w:t>Increase in third-party sofware costs of $1.1 million primarily related to a higher number of licenses needed and also price increases for the sofware being used</w:t>
      </w:r>
    </w:p>
    <w:p>
      <w:pPr>
        <w:spacing w:after="0" w:line="97" w:lineRule="exact"/>
        <w:rPr>
          <w:rFonts w:ascii="Arial" w:cs="Arial" w:eastAsia="Arial" w:hAnsi="Arial"/>
          <w:sz w:val="34"/>
          <w:szCs w:val="34"/>
          <w:color w:val="51555C"/>
          <w:vertAlign w:val="superscript"/>
        </w:rPr>
      </w:pPr>
    </w:p>
    <w:p>
      <w:pPr>
        <w:jc w:val="both"/>
        <w:ind w:left="720" w:right="60" w:hanging="366"/>
        <w:spacing w:after="0" w:line="191" w:lineRule="auto"/>
        <w:tabs>
          <w:tab w:leader="none" w:pos="720" w:val="left"/>
        </w:tabs>
        <w:numPr>
          <w:ilvl w:val="0"/>
          <w:numId w:val="25"/>
        </w:numPr>
        <w:rPr>
          <w:rFonts w:ascii="Arial" w:cs="Arial" w:eastAsia="Arial" w:hAnsi="Arial"/>
          <w:sz w:val="36"/>
          <w:szCs w:val="36"/>
          <w:color w:val="51555C"/>
          <w:vertAlign w:val="superscript"/>
        </w:rPr>
      </w:pPr>
      <w:r>
        <w:rPr>
          <w:rFonts w:ascii="Arial" w:cs="Arial" w:eastAsia="Arial" w:hAnsi="Arial"/>
          <w:sz w:val="18"/>
          <w:szCs w:val="18"/>
          <w:color w:val="51555C"/>
        </w:rPr>
        <w:t>Increase in stock-based compensaton costs of $0.7 million primarily due to 2022 performance-based equity award adjustments and estmated overall Company performance against 2023 goals, partally ofset by the targeted workforce reductons during the fourth quarter of 2022 and frst quarter of 2023</w:t>
      </w:r>
    </w:p>
    <w:p>
      <w:pPr>
        <w:spacing w:after="0" w:line="97" w:lineRule="exact"/>
        <w:rPr>
          <w:sz w:val="20"/>
          <w:szCs w:val="20"/>
          <w:color w:val="auto"/>
        </w:rPr>
      </w:pPr>
    </w:p>
    <w:p>
      <w:pPr>
        <w:ind w:left="720" w:right="60" w:hanging="349"/>
        <w:spacing w:after="0" w:line="181" w:lineRule="auto"/>
        <w:tabs>
          <w:tab w:leader="none" w:pos="720" w:val="left"/>
        </w:tabs>
        <w:numPr>
          <w:ilvl w:val="0"/>
          <w:numId w:val="26"/>
        </w:numPr>
        <w:rPr>
          <w:rFonts w:ascii="Arial" w:cs="Arial" w:eastAsia="Arial" w:hAnsi="Arial"/>
          <w:sz w:val="34"/>
          <w:szCs w:val="34"/>
          <w:color w:val="51555C"/>
          <w:vertAlign w:val="superscript"/>
        </w:rPr>
      </w:pPr>
      <w:r>
        <w:rPr>
          <w:rFonts w:ascii="Arial" w:cs="Arial" w:eastAsia="Arial" w:hAnsi="Arial"/>
          <w:sz w:val="17"/>
          <w:szCs w:val="17"/>
          <w:color w:val="51555C"/>
        </w:rPr>
        <w:t>Decrease in compensaton costs other than stock-based compensaton of $4.8 million primarily due to our targeted workforce reductons discussed above</w:t>
      </w:r>
    </w:p>
    <w:p>
      <w:pPr>
        <w:spacing w:after="0" w:line="97" w:lineRule="exact"/>
        <w:rPr>
          <w:rFonts w:ascii="Arial" w:cs="Arial" w:eastAsia="Arial" w:hAnsi="Arial"/>
          <w:sz w:val="34"/>
          <w:szCs w:val="34"/>
          <w:color w:val="51555C"/>
          <w:vertAlign w:val="superscript"/>
        </w:rPr>
      </w:pPr>
    </w:p>
    <w:p>
      <w:pPr>
        <w:jc w:val="both"/>
        <w:ind w:left="720" w:right="60" w:hanging="349"/>
        <w:spacing w:after="0" w:line="191" w:lineRule="auto"/>
        <w:tabs>
          <w:tab w:leader="none" w:pos="720" w:val="left"/>
        </w:tabs>
        <w:numPr>
          <w:ilvl w:val="0"/>
          <w:numId w:val="26"/>
        </w:numPr>
        <w:rPr>
          <w:rFonts w:ascii="Arial" w:cs="Arial" w:eastAsia="Arial" w:hAnsi="Arial"/>
          <w:sz w:val="36"/>
          <w:szCs w:val="36"/>
          <w:color w:val="51555C"/>
          <w:vertAlign w:val="superscript"/>
        </w:rPr>
      </w:pPr>
      <w:r>
        <w:rPr>
          <w:rFonts w:ascii="Arial" w:cs="Arial" w:eastAsia="Arial" w:hAnsi="Arial"/>
          <w:sz w:val="18"/>
          <w:szCs w:val="18"/>
          <w:color w:val="51555C"/>
        </w:rPr>
        <w:t>Decrease in hostng and data center costs of $3.6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273" w:lineRule="exact"/>
        <w:rPr>
          <w:sz w:val="20"/>
          <w:szCs w:val="20"/>
          <w:color w:val="auto"/>
        </w:rPr>
      </w:pPr>
    </w:p>
    <w:p>
      <w:pPr>
        <w:spacing w:after="0" w:line="303" w:lineRule="auto"/>
        <w:rPr>
          <w:sz w:val="20"/>
          <w:szCs w:val="20"/>
          <w:color w:val="auto"/>
        </w:rPr>
      </w:pPr>
      <w:r>
        <w:rPr>
          <w:rFonts w:ascii="Arial" w:cs="Arial" w:eastAsia="Arial" w:hAnsi="Arial"/>
          <w:sz w:val="17"/>
          <w:szCs w:val="17"/>
          <w:color w:val="51555C"/>
        </w:rPr>
        <w:t>Recurring gross margin increased by 190 and 120 basis points for the three and six months ended June 30, 2023, respectvely, when compared to the same periods in 2022, primarily due to the increases in recurring revenue outpacing the changes in cost of recurring revenue.</w:t>
      </w:r>
    </w:p>
    <w:p>
      <w:pPr>
        <w:spacing w:after="0" w:line="306"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32</w:t>
      </w:r>
      <w:r>
        <w:rPr>
          <w:sz w:val="20"/>
          <w:szCs w:val="20"/>
          <w:color w:val="auto"/>
        </w:rPr>
        <w:tab/>
      </w:r>
      <w:r>
        <w:rPr>
          <w:sz w:val="1"/>
          <w:szCs w:val="1"/>
          <w:color w:val="auto"/>
        </w:rPr>
        <w:drawing>
          <wp:inline distT="0" distB="0" distL="0" distR="0">
            <wp:extent cx="651510" cy="1714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00" w:type="dxa"/>
            <w:vAlign w:val="bottom"/>
          </w:tcPr>
          <w:p>
            <w:pPr>
              <w:ind w:left="20"/>
              <w:spacing w:after="0"/>
              <w:rPr>
                <w:sz w:val="20"/>
                <w:szCs w:val="20"/>
                <w:color w:val="auto"/>
              </w:rPr>
            </w:pPr>
            <w:r>
              <w:rPr>
                <w:rFonts w:ascii="Arial" w:cs="Arial" w:eastAsia="Arial" w:hAnsi="Arial"/>
                <w:sz w:val="18"/>
                <w:szCs w:val="18"/>
                <w:i w:val="1"/>
                <w:iCs w:val="1"/>
                <w:color w:val="51555C"/>
              </w:rPr>
              <w:t>One-tme services and other</w:t>
            </w:r>
          </w:p>
        </w:tc>
        <w:tc>
          <w:tcPr>
            <w:tcW w:w="5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40"/>
        </w:trPr>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i w:val="1"/>
                <w:iCs w:val="1"/>
                <w:color w:val="51555C"/>
                <w:w w:val="94"/>
              </w:rPr>
              <w:t>Gross proft ($M)</w:t>
            </w:r>
          </w:p>
        </w:tc>
      </w:tr>
      <w:tr>
        <w:trPr>
          <w:trHeight w:val="227"/>
        </w:trPr>
        <w:tc>
          <w:tcPr>
            <w:tcW w:w="2700" w:type="dxa"/>
            <w:vAlign w:val="bottom"/>
          </w:tcPr>
          <w:p>
            <w:pPr>
              <w:jc w:val="center"/>
              <w:spacing w:after="0"/>
              <w:rPr>
                <w:sz w:val="20"/>
                <w:szCs w:val="20"/>
                <w:color w:val="auto"/>
              </w:rPr>
            </w:pPr>
            <w:r>
              <w:rPr>
                <w:rFonts w:ascii="Arial" w:cs="Arial" w:eastAsia="Arial" w:hAnsi="Arial"/>
                <w:sz w:val="18"/>
                <w:szCs w:val="18"/>
                <w:i w:val="1"/>
                <w:iCs w:val="1"/>
                <w:color w:val="51555C"/>
                <w:w w:val="87"/>
              </w:rPr>
              <w:t>Revenue ($M)</w:t>
            </w:r>
          </w:p>
        </w:tc>
        <w:tc>
          <w:tcPr>
            <w:tcW w:w="5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i w:val="1"/>
                <w:iCs w:val="1"/>
                <w:color w:val="51555C"/>
                <w:w w:val="89"/>
              </w:rPr>
              <w:t>Cost of revenue ($M)</w:t>
            </w:r>
          </w:p>
        </w:tc>
        <w:tc>
          <w:tcPr>
            <w:tcW w:w="50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i w:val="1"/>
                <w:iCs w:val="1"/>
                <w:color w:val="51555C"/>
                <w:w w:val="89"/>
              </w:rPr>
              <w:t>and gross margin (%)</w:t>
            </w:r>
          </w:p>
        </w:tc>
      </w:tr>
      <w:tr>
        <w:trPr>
          <w:trHeight w:val="48"/>
        </w:trPr>
        <w:tc>
          <w:tcPr>
            <w:tcW w:w="2700" w:type="dxa"/>
            <w:vAlign w:val="bottom"/>
            <w:tcBorders>
              <w:bottom w:val="single" w:sz="8" w:color="51555C"/>
            </w:tcBorders>
          </w:tcPr>
          <w:p>
            <w:pPr>
              <w:spacing w:after="0"/>
              <w:rPr>
                <w:sz w:val="4"/>
                <w:szCs w:val="4"/>
                <w:color w:val="auto"/>
              </w:rPr>
            </w:pPr>
          </w:p>
        </w:tc>
        <w:tc>
          <w:tcPr>
            <w:tcW w:w="52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820" w:type="dxa"/>
            <w:vAlign w:val="bottom"/>
            <w:tcBorders>
              <w:bottom w:val="single" w:sz="8" w:color="51555C"/>
            </w:tcBorders>
          </w:tcPr>
          <w:p>
            <w:pPr>
              <w:spacing w:after="0"/>
              <w:rPr>
                <w:sz w:val="4"/>
                <w:szCs w:val="4"/>
                <w:color w:val="auto"/>
              </w:rPr>
            </w:pPr>
          </w:p>
        </w:tc>
      </w:tr>
      <w:tr>
        <w:trPr>
          <w:trHeight w:val="214"/>
        </w:trPr>
        <w:tc>
          <w:tcPr>
            <w:tcW w:w="2700" w:type="dxa"/>
            <w:vAlign w:val="bottom"/>
          </w:tcPr>
          <w:p>
            <w:pPr>
              <w:jc w:val="center"/>
              <w:spacing w:after="0"/>
              <w:rPr>
                <w:sz w:val="20"/>
                <w:szCs w:val="20"/>
                <w:color w:val="auto"/>
              </w:rPr>
            </w:pPr>
            <w:r>
              <w:rPr>
                <w:rFonts w:ascii="Arial" w:cs="Arial" w:eastAsia="Arial" w:hAnsi="Arial"/>
                <w:sz w:val="13"/>
                <w:szCs w:val="13"/>
                <w:i w:val="1"/>
                <w:iCs w:val="1"/>
                <w:color w:val="51555C"/>
                <w:w w:val="85"/>
              </w:rPr>
              <w:t>YoY Growth (%)</w:t>
            </w:r>
          </w:p>
        </w:tc>
        <w:tc>
          <w:tcPr>
            <w:tcW w:w="5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3"/>
                <w:szCs w:val="13"/>
                <w:i w:val="1"/>
                <w:iCs w:val="1"/>
                <w:color w:val="51555C"/>
                <w:w w:val="83"/>
              </w:rPr>
              <w:t>YoY Growth (%)</w:t>
            </w:r>
          </w:p>
        </w:tc>
        <w:tc>
          <w:tcPr>
            <w:tcW w:w="500" w:type="dxa"/>
            <w:vAlign w:val="bottom"/>
          </w:tcPr>
          <w:p>
            <w:pPr>
              <w:spacing w:after="0"/>
              <w:rPr>
                <w:sz w:val="18"/>
                <w:szCs w:val="18"/>
                <w:color w:val="auto"/>
              </w:rPr>
            </w:pPr>
          </w:p>
        </w:tc>
        <w:tc>
          <w:tcPr>
            <w:tcW w:w="2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5812155" cy="3008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One-tme services and other revenue is comprised of fees for one-tme consultng, analytc and onsite training services, fees for retained and managed services contracts that we do not expect to have a term consistent with our cloud soluton contracts, revenue from the sale of our sofware sold under perpetual license arrangements, and third-party sofware referral fees.</w:t>
      </w:r>
    </w:p>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Cost of one-tme services and other is primarily comprised of compensaton costs for professional services and onsite training personnel, other costs incurred in providing onsite customer training, third-party contractor expenses, data expense incurred to perform one-tme analytc services, third-party sofware royaltes, allocated depreciaton, facilites and IT support costs and amortzaton of intangible assets from business combinatons.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One-tme services and other revenue decreased by $3.8 million, or 30.3%, and $7.2 million, or 29.0%, during the three and six months ended June 30, 2023, when compared to the same periods in 2022, driven primarily by the following:</w:t>
      </w:r>
    </w:p>
    <w:p>
      <w:pPr>
        <w:spacing w:after="0" w:line="123" w:lineRule="exact"/>
        <w:rPr>
          <w:sz w:val="20"/>
          <w:szCs w:val="20"/>
          <w:color w:val="auto"/>
        </w:rPr>
      </w:pPr>
    </w:p>
    <w:p>
      <w:pPr>
        <w:jc w:val="both"/>
        <w:ind w:left="720" w:right="60" w:hanging="350"/>
        <w:spacing w:after="0" w:line="202" w:lineRule="auto"/>
        <w:tabs>
          <w:tab w:leader="none" w:pos="720" w:val="left"/>
        </w:tabs>
        <w:numPr>
          <w:ilvl w:val="0"/>
          <w:numId w:val="27"/>
        </w:numPr>
        <w:rPr>
          <w:rFonts w:ascii="Arial" w:cs="Arial" w:eastAsia="Arial" w:hAnsi="Arial"/>
          <w:sz w:val="34"/>
          <w:szCs w:val="34"/>
          <w:color w:val="51555C"/>
          <w:vertAlign w:val="superscript"/>
        </w:rPr>
      </w:pPr>
      <w:r>
        <w:rPr>
          <w:rFonts w:ascii="Arial" w:cs="Arial" w:eastAsia="Arial" w:hAnsi="Arial"/>
          <w:sz w:val="17"/>
          <w:szCs w:val="17"/>
          <w:color w:val="51555C"/>
        </w:rPr>
        <w:t>Decreases in one-tme consultng revenue of $2.7 million and $5.7 million, respectvely, primarily due to less sales of creatve services and implementaton and customizaton services, in line with our mult-year strategic shif from a license-based and one-tme services business model to a cloud subscripton business model, which generally requires less implementaton and customizaton services.</w:t>
      </w:r>
    </w:p>
    <w:p>
      <w:pPr>
        <w:spacing w:after="0" w:line="97" w:lineRule="exact"/>
        <w:rPr>
          <w:rFonts w:ascii="Arial" w:cs="Arial" w:eastAsia="Arial" w:hAnsi="Arial"/>
          <w:sz w:val="34"/>
          <w:szCs w:val="34"/>
          <w:color w:val="51555C"/>
          <w:vertAlign w:val="superscript"/>
        </w:rPr>
      </w:pPr>
    </w:p>
    <w:p>
      <w:pPr>
        <w:ind w:left="720" w:right="60" w:hanging="350"/>
        <w:spacing w:after="0" w:line="181" w:lineRule="auto"/>
        <w:tabs>
          <w:tab w:leader="none" w:pos="720" w:val="left"/>
        </w:tabs>
        <w:numPr>
          <w:ilvl w:val="0"/>
          <w:numId w:val="27"/>
        </w:numPr>
        <w:rPr>
          <w:rFonts w:ascii="Arial" w:cs="Arial" w:eastAsia="Arial" w:hAnsi="Arial"/>
          <w:sz w:val="34"/>
          <w:szCs w:val="34"/>
          <w:color w:val="51555C"/>
          <w:vertAlign w:val="superscript"/>
        </w:rPr>
      </w:pPr>
      <w:r>
        <w:rPr>
          <w:rFonts w:ascii="Arial" w:cs="Arial" w:eastAsia="Arial" w:hAnsi="Arial"/>
          <w:sz w:val="17"/>
          <w:szCs w:val="17"/>
          <w:color w:val="51555C"/>
        </w:rPr>
        <w:t>Decreases in one-tme analytcs revenue of $0.8 million and $1.6 million, respectvely, as analytcs are generally integrated in our cloud solutons</w:t>
      </w:r>
    </w:p>
    <w:p>
      <w:pPr>
        <w:spacing w:after="0" w:line="273"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Cost of one-tme services and other decreased by $3.6 million, or 32.1%, and $6.1 million, or 27.6%, during the three and six months ended June 30, 2023, respectvely, when compared to the same periods in 2022, driven primarily by the following:</w:t>
      </w:r>
    </w:p>
    <w:p>
      <w:pPr>
        <w:spacing w:after="0" w:line="123" w:lineRule="exact"/>
        <w:rPr>
          <w:sz w:val="20"/>
          <w:szCs w:val="20"/>
          <w:color w:val="auto"/>
        </w:rPr>
      </w:pPr>
    </w:p>
    <w:p>
      <w:pPr>
        <w:ind w:left="720" w:right="20" w:hanging="350"/>
        <w:spacing w:after="0" w:line="181" w:lineRule="auto"/>
        <w:tabs>
          <w:tab w:leader="none" w:pos="720" w:val="left"/>
        </w:tabs>
        <w:numPr>
          <w:ilvl w:val="0"/>
          <w:numId w:val="28"/>
        </w:numPr>
        <w:rPr>
          <w:rFonts w:ascii="Arial" w:cs="Arial" w:eastAsia="Arial" w:hAnsi="Arial"/>
          <w:sz w:val="34"/>
          <w:szCs w:val="34"/>
          <w:color w:val="51555C"/>
          <w:vertAlign w:val="superscript"/>
        </w:rPr>
      </w:pPr>
      <w:r>
        <w:rPr>
          <w:rFonts w:ascii="Arial" w:cs="Arial" w:eastAsia="Arial" w:hAnsi="Arial"/>
          <w:sz w:val="17"/>
          <w:szCs w:val="17"/>
          <w:color w:val="51555C"/>
        </w:rPr>
        <w:t>Decreases in compensaton costs of $2.5 million and $5.0 million, respectvely, primarily related to our targeted workforce reductons discussed above and a contnued shif in resources historically supportng one-tme services and other towards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314325</wp:posOffset>
            </wp:positionV>
            <wp:extent cx="66040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33</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One-tme services and other gross margin increased by 230 basis points during the three months ended June 30, 2023, when compared to the same period in 2022, primarily due to the decrease in compensaton costs discussed above outpacing the decrease in one-tme services and other revenue.</w:t>
      </w:r>
    </w:p>
    <w:p>
      <w:pPr>
        <w:spacing w:after="0" w:line="10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One-tme services and other gross margin decreased by 190 basis points during the six months ended June 30, 2023, when compared to the same period in 2022, primarily due to the decrease of one-tme services and other revenue outpacing the decrease compensaton costs discussed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r>
              <w:rPr>
                <w:rFonts w:ascii="Arial" w:cs="Arial" w:eastAsia="Arial" w:hAnsi="Arial"/>
                <w:sz w:val="18"/>
                <w:szCs w:val="18"/>
                <w:b w:val="1"/>
                <w:bCs w:val="1"/>
                <w:color w:val="51555C"/>
              </w:rPr>
              <w:t>Operatng Expenses</w:t>
            </w:r>
          </w:p>
        </w:tc>
        <w:tc>
          <w:tcPr>
            <w:tcW w:w="40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527"/>
        </w:trPr>
        <w:tc>
          <w:tcPr>
            <w:tcW w:w="2600" w:type="dxa"/>
            <w:vAlign w:val="bottom"/>
          </w:tcPr>
          <w:p>
            <w:pPr>
              <w:jc w:val="center"/>
              <w:ind w:left="30"/>
              <w:spacing w:after="0"/>
              <w:rPr>
                <w:sz w:val="20"/>
                <w:szCs w:val="20"/>
                <w:color w:val="auto"/>
              </w:rPr>
            </w:pPr>
            <w:r>
              <w:rPr>
                <w:rFonts w:ascii="Arial" w:cs="Arial" w:eastAsia="Arial" w:hAnsi="Arial"/>
                <w:sz w:val="18"/>
                <w:szCs w:val="18"/>
                <w:i w:val="1"/>
                <w:iCs w:val="1"/>
                <w:color w:val="51555C"/>
                <w:w w:val="92"/>
              </w:rPr>
              <w:t>Sales, marketng and</w:t>
            </w:r>
          </w:p>
        </w:tc>
        <w:tc>
          <w:tcPr>
            <w:tcW w:w="4060" w:type="dxa"/>
            <w:vAlign w:val="bottom"/>
          </w:tcPr>
          <w:p>
            <w:pPr>
              <w:jc w:val="center"/>
              <w:ind w:right="79"/>
              <w:spacing w:after="0"/>
              <w:rPr>
                <w:sz w:val="20"/>
                <w:szCs w:val="20"/>
                <w:color w:val="auto"/>
              </w:rPr>
            </w:pPr>
            <w:r>
              <w:rPr>
                <w:rFonts w:ascii="Arial" w:cs="Arial" w:eastAsia="Arial" w:hAnsi="Arial"/>
                <w:sz w:val="18"/>
                <w:szCs w:val="18"/>
                <w:i w:val="1"/>
                <w:iCs w:val="1"/>
                <w:color w:val="51555C"/>
                <w:w w:val="87"/>
              </w:rPr>
              <w:t>Research and</w:t>
            </w:r>
          </w:p>
        </w:tc>
        <w:tc>
          <w:tcPr>
            <w:tcW w:w="2560" w:type="dxa"/>
            <w:vAlign w:val="bottom"/>
          </w:tcPr>
          <w:p>
            <w:pPr>
              <w:jc w:val="center"/>
              <w:ind w:right="150"/>
              <w:spacing w:after="0"/>
              <w:rPr>
                <w:sz w:val="20"/>
                <w:szCs w:val="20"/>
                <w:color w:val="auto"/>
              </w:rPr>
            </w:pPr>
            <w:r>
              <w:rPr>
                <w:rFonts w:ascii="Arial" w:cs="Arial" w:eastAsia="Arial" w:hAnsi="Arial"/>
                <w:sz w:val="18"/>
                <w:szCs w:val="18"/>
                <w:i w:val="1"/>
                <w:iCs w:val="1"/>
                <w:color w:val="51555C"/>
                <w:w w:val="88"/>
              </w:rPr>
              <w:t>General and</w:t>
            </w:r>
          </w:p>
        </w:tc>
      </w:tr>
      <w:tr>
        <w:trPr>
          <w:trHeight w:val="227"/>
        </w:trPr>
        <w:tc>
          <w:tcPr>
            <w:tcW w:w="2600" w:type="dxa"/>
            <w:vAlign w:val="bottom"/>
          </w:tcPr>
          <w:p>
            <w:pPr>
              <w:jc w:val="center"/>
              <w:ind w:left="30"/>
              <w:spacing w:after="0"/>
              <w:rPr>
                <w:sz w:val="20"/>
                <w:szCs w:val="20"/>
                <w:color w:val="auto"/>
              </w:rPr>
            </w:pPr>
            <w:r>
              <w:rPr>
                <w:rFonts w:ascii="Arial" w:cs="Arial" w:eastAsia="Arial" w:hAnsi="Arial"/>
                <w:sz w:val="18"/>
                <w:szCs w:val="18"/>
                <w:i w:val="1"/>
                <w:iCs w:val="1"/>
                <w:color w:val="51555C"/>
                <w:w w:val="88"/>
              </w:rPr>
              <w:t>customer success ($M)</w:t>
            </w:r>
          </w:p>
        </w:tc>
        <w:tc>
          <w:tcPr>
            <w:tcW w:w="4060" w:type="dxa"/>
            <w:vAlign w:val="bottom"/>
          </w:tcPr>
          <w:p>
            <w:pPr>
              <w:jc w:val="center"/>
              <w:ind w:right="79"/>
              <w:spacing w:after="0"/>
              <w:rPr>
                <w:sz w:val="20"/>
                <w:szCs w:val="20"/>
                <w:color w:val="auto"/>
              </w:rPr>
            </w:pPr>
            <w:r>
              <w:rPr>
                <w:rFonts w:ascii="Arial" w:cs="Arial" w:eastAsia="Arial" w:hAnsi="Arial"/>
                <w:sz w:val="18"/>
                <w:szCs w:val="18"/>
                <w:i w:val="1"/>
                <w:iCs w:val="1"/>
                <w:color w:val="51555C"/>
                <w:w w:val="92"/>
              </w:rPr>
              <w:t>development ($M)</w:t>
            </w:r>
          </w:p>
        </w:tc>
        <w:tc>
          <w:tcPr>
            <w:tcW w:w="2560" w:type="dxa"/>
            <w:vAlign w:val="bottom"/>
          </w:tcPr>
          <w:p>
            <w:pPr>
              <w:jc w:val="center"/>
              <w:ind w:right="150"/>
              <w:spacing w:after="0"/>
              <w:rPr>
                <w:sz w:val="20"/>
                <w:szCs w:val="20"/>
                <w:color w:val="auto"/>
              </w:rPr>
            </w:pPr>
            <w:r>
              <w:rPr>
                <w:rFonts w:ascii="Arial" w:cs="Arial" w:eastAsia="Arial" w:hAnsi="Arial"/>
                <w:sz w:val="18"/>
                <w:szCs w:val="18"/>
                <w:i w:val="1"/>
                <w:iCs w:val="1"/>
                <w:color w:val="51555C"/>
                <w:w w:val="96"/>
              </w:rPr>
              <w:t>administratve ($M)</w:t>
            </w:r>
          </w:p>
        </w:tc>
      </w:tr>
      <w:tr>
        <w:trPr>
          <w:trHeight w:val="48"/>
        </w:trPr>
        <w:tc>
          <w:tcPr>
            <w:tcW w:w="2600" w:type="dxa"/>
            <w:vAlign w:val="bottom"/>
            <w:tcBorders>
              <w:bottom w:val="single" w:sz="8" w:color="51555C"/>
            </w:tcBorders>
          </w:tcPr>
          <w:p>
            <w:pPr>
              <w:spacing w:after="0"/>
              <w:rPr>
                <w:sz w:val="4"/>
                <w:szCs w:val="4"/>
                <w:color w:val="auto"/>
              </w:rPr>
            </w:pPr>
          </w:p>
        </w:tc>
        <w:tc>
          <w:tcPr>
            <w:tcW w:w="4060" w:type="dxa"/>
            <w:vAlign w:val="bottom"/>
            <w:tcBorders>
              <w:bottom w:val="single" w:sz="8" w:color="51555C"/>
            </w:tcBorders>
          </w:tcPr>
          <w:p>
            <w:pPr>
              <w:spacing w:after="0"/>
              <w:rPr>
                <w:sz w:val="4"/>
                <w:szCs w:val="4"/>
                <w:color w:val="auto"/>
              </w:rPr>
            </w:pPr>
          </w:p>
        </w:tc>
        <w:tc>
          <w:tcPr>
            <w:tcW w:w="2560" w:type="dxa"/>
            <w:vAlign w:val="bottom"/>
            <w:tcBorders>
              <w:bottom w:val="single" w:sz="8" w:color="51555C"/>
            </w:tcBorders>
          </w:tcPr>
          <w:p>
            <w:pPr>
              <w:spacing w:after="0"/>
              <w:rPr>
                <w:sz w:val="4"/>
                <w:szCs w:val="4"/>
                <w:color w:val="auto"/>
              </w:rPr>
            </w:pPr>
          </w:p>
        </w:tc>
      </w:tr>
      <w:tr>
        <w:trPr>
          <w:trHeight w:val="214"/>
        </w:trPr>
        <w:tc>
          <w:tcPr>
            <w:tcW w:w="260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3"/>
                <w:szCs w:val="13"/>
                <w:i w:val="1"/>
                <w:iCs w:val="1"/>
                <w:color w:val="51555C"/>
                <w:w w:val="97"/>
              </w:rPr>
              <w:t>Percentages indicate expenses as a percentage of total revenue</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5812155" cy="3008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Sales, marketng and customer success</w:t>
      </w:r>
    </w:p>
    <w:p>
      <w:pPr>
        <w:spacing w:after="0" w:line="17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Sales, marketng and customer success expense includes compensaton costs, variable sales commissions, travel-related expenses, advertsing and marketng materials, public relatons costs, variable reseller commissions and allocated depreciaton, facilites and IT support costs.</w:t>
      </w:r>
    </w:p>
    <w:p>
      <w:pPr>
        <w:spacing w:after="0" w:line="10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We see a large market opportunity in the long-term and will contnue to make investments to drive sales efectveness. We have also implemented sofware tools to enhance our digital footprint and drive lead generaton. The enhancements we are making in our go-to-market approach are expected to reduce our average customer acquisiton cost per customer as well as the related payback period while increasing sales velocity.</w:t>
      </w:r>
    </w:p>
    <w:p>
      <w:pPr>
        <w:spacing w:after="0" w:line="321"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34</w:t>
      </w:r>
      <w:r>
        <w:rPr>
          <w:sz w:val="20"/>
          <w:szCs w:val="20"/>
          <w:color w:val="auto"/>
        </w:rPr>
        <w:tab/>
      </w:r>
      <w:r>
        <w:rPr>
          <w:sz w:val="1"/>
          <w:szCs w:val="1"/>
          <w:color w:val="auto"/>
        </w:rPr>
        <w:drawing>
          <wp:inline distT="0" distB="0" distL="0" distR="0">
            <wp:extent cx="65151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Sales, marketng and customer success expense increased by $0.5 million or 0.9%, during the three months ended June 30, 2023, when compared to the same period in 2022, primarily driven by the following:</w:t>
      </w:r>
    </w:p>
    <w:p>
      <w:pPr>
        <w:spacing w:after="0" w:line="231" w:lineRule="exact"/>
        <w:rPr>
          <w:sz w:val="20"/>
          <w:szCs w:val="20"/>
          <w:color w:val="auto"/>
        </w:rPr>
      </w:pPr>
    </w:p>
    <w:p>
      <w:pPr>
        <w:ind w:left="740" w:right="40" w:hanging="370"/>
        <w:spacing w:after="0" w:line="181" w:lineRule="auto"/>
        <w:tabs>
          <w:tab w:leader="none" w:pos="740" w:val="left"/>
        </w:tabs>
        <w:numPr>
          <w:ilvl w:val="0"/>
          <w:numId w:val="29"/>
        </w:numPr>
        <w:rPr>
          <w:rFonts w:ascii="Arial" w:cs="Arial" w:eastAsia="Arial" w:hAnsi="Arial"/>
          <w:sz w:val="34"/>
          <w:szCs w:val="34"/>
          <w:color w:val="51555C"/>
          <w:vertAlign w:val="superscript"/>
        </w:rPr>
      </w:pPr>
      <w:r>
        <w:rPr>
          <w:rFonts w:ascii="Arial" w:cs="Arial" w:eastAsia="Arial" w:hAnsi="Arial"/>
          <w:sz w:val="17"/>
          <w:szCs w:val="17"/>
          <w:color w:val="51555C"/>
        </w:rPr>
        <w:t>Increase in stock-based compensaton costs of $1.9 million primarily due to estmated overall Company performance against 2023 goals, partally ofset by the targeted workforce reductons during the fourth quarter of 2022 and frst quarter of 2023</w:t>
      </w:r>
    </w:p>
    <w:p>
      <w:pPr>
        <w:ind w:left="740" w:hanging="370"/>
        <w:spacing w:after="0" w:line="187" w:lineRule="auto"/>
        <w:tabs>
          <w:tab w:leader="none" w:pos="740" w:val="left"/>
        </w:tabs>
        <w:numPr>
          <w:ilvl w:val="0"/>
          <w:numId w:val="29"/>
        </w:numPr>
        <w:rPr>
          <w:rFonts w:ascii="Arial" w:cs="Arial" w:eastAsia="Arial" w:hAnsi="Arial"/>
          <w:sz w:val="36"/>
          <w:szCs w:val="36"/>
          <w:color w:val="51555C"/>
          <w:vertAlign w:val="superscript"/>
        </w:rPr>
      </w:pPr>
      <w:r>
        <w:rPr>
          <w:rFonts w:ascii="Arial" w:cs="Arial" w:eastAsia="Arial" w:hAnsi="Arial"/>
          <w:sz w:val="18"/>
          <w:szCs w:val="18"/>
          <w:color w:val="51555C"/>
        </w:rPr>
        <w:t>Increase in advertsing costs of $1.1 million</w:t>
      </w:r>
    </w:p>
    <w:p>
      <w:pPr>
        <w:spacing w:after="0" w:line="64" w:lineRule="exact"/>
        <w:rPr>
          <w:sz w:val="20"/>
          <w:szCs w:val="20"/>
          <w:color w:val="auto"/>
        </w:rPr>
      </w:pPr>
    </w:p>
    <w:p>
      <w:pPr>
        <w:ind w:left="740" w:hanging="353"/>
        <w:spacing w:after="0"/>
        <w:tabs>
          <w:tab w:leader="none" w:pos="740" w:val="left"/>
        </w:tabs>
        <w:numPr>
          <w:ilvl w:val="0"/>
          <w:numId w:val="30"/>
        </w:numPr>
        <w:rPr>
          <w:rFonts w:ascii="Arial" w:cs="Arial" w:eastAsia="Arial" w:hAnsi="Arial"/>
          <w:sz w:val="18"/>
          <w:szCs w:val="18"/>
          <w:color w:val="51555C"/>
        </w:rPr>
      </w:pPr>
      <w:r>
        <w:rPr>
          <w:rFonts w:ascii="Arial" w:cs="Arial" w:eastAsia="Arial" w:hAnsi="Arial"/>
          <w:sz w:val="18"/>
          <w:szCs w:val="18"/>
          <w:color w:val="51555C"/>
        </w:rPr>
        <w:t>Net decrease in the following costs primarily due to our targeted workforce reductons discussed above:</w:t>
      </w:r>
    </w:p>
    <w:p>
      <w:pPr>
        <w:ind w:left="1400" w:hanging="333"/>
        <w:spacing w:after="0"/>
        <w:tabs>
          <w:tab w:leader="none" w:pos="1400" w:val="left"/>
        </w:tabs>
        <w:numPr>
          <w:ilvl w:val="1"/>
          <w:numId w:val="30"/>
        </w:numPr>
        <w:rPr>
          <w:rFonts w:ascii="Arial" w:cs="Arial" w:eastAsia="Arial" w:hAnsi="Arial"/>
          <w:sz w:val="18"/>
          <w:szCs w:val="18"/>
          <w:color w:val="51555C"/>
        </w:rPr>
      </w:pPr>
      <w:r>
        <w:rPr>
          <w:rFonts w:ascii="Arial" w:cs="Arial" w:eastAsia="Arial" w:hAnsi="Arial"/>
          <w:sz w:val="18"/>
          <w:szCs w:val="18"/>
          <w:color w:val="51555C"/>
        </w:rPr>
        <w:t>Decrease in compensaton costs other than stock-based compensaton of $2.0 million; and</w:t>
      </w:r>
    </w:p>
    <w:p>
      <w:pPr>
        <w:spacing w:after="0" w:line="9" w:lineRule="exact"/>
        <w:rPr>
          <w:rFonts w:ascii="Arial" w:cs="Arial" w:eastAsia="Arial" w:hAnsi="Arial"/>
          <w:sz w:val="18"/>
          <w:szCs w:val="18"/>
          <w:color w:val="51555C"/>
        </w:rPr>
      </w:pPr>
    </w:p>
    <w:p>
      <w:pPr>
        <w:ind w:left="1400" w:hanging="333"/>
        <w:spacing w:after="0"/>
        <w:tabs>
          <w:tab w:leader="none" w:pos="1400" w:val="left"/>
        </w:tabs>
        <w:numPr>
          <w:ilvl w:val="1"/>
          <w:numId w:val="30"/>
        </w:numPr>
        <w:rPr>
          <w:rFonts w:ascii="Arial" w:cs="Arial" w:eastAsia="Arial" w:hAnsi="Arial"/>
          <w:sz w:val="18"/>
          <w:szCs w:val="18"/>
          <w:color w:val="51555C"/>
        </w:rPr>
      </w:pPr>
      <w:r>
        <w:rPr>
          <w:rFonts w:ascii="Arial" w:cs="Arial" w:eastAsia="Arial" w:hAnsi="Arial"/>
          <w:sz w:val="18"/>
          <w:szCs w:val="18"/>
          <w:color w:val="51555C"/>
        </w:rPr>
        <w:t>Decrease in commissions expense of $0.9 million</w:t>
      </w:r>
    </w:p>
    <w:p>
      <w:pPr>
        <w:spacing w:after="0" w:line="282"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Sales, marketng and customer success expense decreased by $0.4 million, or 0.3%, during the six months ended June 30, 2023, when compared to the same period in 2022, primarily driven by the following:</w:t>
      </w:r>
    </w:p>
    <w:p>
      <w:pPr>
        <w:spacing w:after="0" w:line="69" w:lineRule="exact"/>
        <w:rPr>
          <w:sz w:val="20"/>
          <w:szCs w:val="20"/>
          <w:color w:val="auto"/>
        </w:rPr>
      </w:pPr>
    </w:p>
    <w:p>
      <w:pPr>
        <w:ind w:left="720" w:hanging="349"/>
        <w:spacing w:after="0"/>
        <w:tabs>
          <w:tab w:leader="none" w:pos="720" w:val="left"/>
        </w:tabs>
        <w:numPr>
          <w:ilvl w:val="0"/>
          <w:numId w:val="31"/>
        </w:numPr>
        <w:rPr>
          <w:rFonts w:ascii="Arial" w:cs="Arial" w:eastAsia="Arial" w:hAnsi="Arial"/>
          <w:sz w:val="18"/>
          <w:szCs w:val="18"/>
          <w:color w:val="51555C"/>
        </w:rPr>
      </w:pPr>
      <w:r>
        <w:rPr>
          <w:rFonts w:ascii="Arial" w:cs="Arial" w:eastAsia="Arial" w:hAnsi="Arial"/>
          <w:sz w:val="18"/>
          <w:szCs w:val="18"/>
          <w:color w:val="51555C"/>
        </w:rPr>
        <w:t>Net decrease in the following costs primarily due to our targeted workforce reductons discussed above:</w:t>
      </w:r>
    </w:p>
    <w:p>
      <w:pPr>
        <w:spacing w:after="0" w:line="19" w:lineRule="exact"/>
        <w:rPr>
          <w:rFonts w:ascii="Arial" w:cs="Arial" w:eastAsia="Arial" w:hAnsi="Arial"/>
          <w:sz w:val="18"/>
          <w:szCs w:val="18"/>
          <w:color w:val="51555C"/>
        </w:rPr>
      </w:pPr>
    </w:p>
    <w:p>
      <w:pPr>
        <w:ind w:left="1380" w:hanging="330"/>
        <w:spacing w:after="0"/>
        <w:tabs>
          <w:tab w:leader="none" w:pos="1380" w:val="left"/>
        </w:tabs>
        <w:numPr>
          <w:ilvl w:val="1"/>
          <w:numId w:val="31"/>
        </w:numPr>
        <w:rPr>
          <w:rFonts w:ascii="Arial" w:cs="Arial" w:eastAsia="Arial" w:hAnsi="Arial"/>
          <w:sz w:val="18"/>
          <w:szCs w:val="18"/>
          <w:color w:val="51555C"/>
        </w:rPr>
      </w:pPr>
      <w:r>
        <w:rPr>
          <w:rFonts w:ascii="Arial" w:cs="Arial" w:eastAsia="Arial" w:hAnsi="Arial"/>
          <w:sz w:val="18"/>
          <w:szCs w:val="18"/>
          <w:color w:val="51555C"/>
        </w:rPr>
        <w:t>Increase in severance costs of $2.1 million;</w:t>
      </w:r>
    </w:p>
    <w:p>
      <w:pPr>
        <w:spacing w:after="0" w:line="9" w:lineRule="exact"/>
        <w:rPr>
          <w:rFonts w:ascii="Arial" w:cs="Arial" w:eastAsia="Arial" w:hAnsi="Arial"/>
          <w:sz w:val="18"/>
          <w:szCs w:val="18"/>
          <w:color w:val="51555C"/>
        </w:rPr>
      </w:pPr>
    </w:p>
    <w:p>
      <w:pPr>
        <w:ind w:left="1380" w:hanging="330"/>
        <w:spacing w:after="0"/>
        <w:tabs>
          <w:tab w:leader="none" w:pos="1380" w:val="left"/>
        </w:tabs>
        <w:numPr>
          <w:ilvl w:val="1"/>
          <w:numId w:val="31"/>
        </w:numPr>
        <w:rPr>
          <w:rFonts w:ascii="Arial" w:cs="Arial" w:eastAsia="Arial" w:hAnsi="Arial"/>
          <w:sz w:val="18"/>
          <w:szCs w:val="18"/>
          <w:color w:val="51555C"/>
        </w:rPr>
      </w:pPr>
      <w:r>
        <w:rPr>
          <w:rFonts w:ascii="Arial" w:cs="Arial" w:eastAsia="Arial" w:hAnsi="Arial"/>
          <w:sz w:val="18"/>
          <w:szCs w:val="18"/>
          <w:color w:val="51555C"/>
        </w:rPr>
        <w:t>Decrease in compensaton costs other than stock-based compensaton of $3.4 million; and</w:t>
      </w:r>
    </w:p>
    <w:p>
      <w:pPr>
        <w:spacing w:after="0" w:line="9" w:lineRule="exact"/>
        <w:rPr>
          <w:rFonts w:ascii="Arial" w:cs="Arial" w:eastAsia="Arial" w:hAnsi="Arial"/>
          <w:sz w:val="18"/>
          <w:szCs w:val="18"/>
          <w:color w:val="51555C"/>
        </w:rPr>
      </w:pPr>
    </w:p>
    <w:p>
      <w:pPr>
        <w:ind w:left="1380" w:hanging="330"/>
        <w:spacing w:after="0"/>
        <w:tabs>
          <w:tab w:leader="none" w:pos="1380" w:val="left"/>
        </w:tabs>
        <w:numPr>
          <w:ilvl w:val="1"/>
          <w:numId w:val="31"/>
        </w:numPr>
        <w:rPr>
          <w:rFonts w:ascii="Arial" w:cs="Arial" w:eastAsia="Arial" w:hAnsi="Arial"/>
          <w:sz w:val="18"/>
          <w:szCs w:val="18"/>
          <w:color w:val="51555C"/>
        </w:rPr>
      </w:pPr>
      <w:r>
        <w:rPr>
          <w:rFonts w:ascii="Arial" w:cs="Arial" w:eastAsia="Arial" w:hAnsi="Arial"/>
          <w:sz w:val="18"/>
          <w:szCs w:val="18"/>
          <w:color w:val="51555C"/>
        </w:rPr>
        <w:t>Decrease in commissions expense of $1.5 million</w:t>
      </w:r>
    </w:p>
    <w:p>
      <w:pPr>
        <w:spacing w:after="0" w:line="106" w:lineRule="exact"/>
        <w:rPr>
          <w:sz w:val="20"/>
          <w:szCs w:val="20"/>
          <w:color w:val="auto"/>
        </w:rPr>
      </w:pPr>
    </w:p>
    <w:p>
      <w:pPr>
        <w:jc w:val="both"/>
        <w:ind w:left="720" w:right="60" w:hanging="366"/>
        <w:spacing w:after="0" w:line="191" w:lineRule="auto"/>
        <w:tabs>
          <w:tab w:leader="none" w:pos="720" w:val="left"/>
        </w:tabs>
        <w:numPr>
          <w:ilvl w:val="0"/>
          <w:numId w:val="32"/>
        </w:numPr>
        <w:rPr>
          <w:rFonts w:ascii="Arial" w:cs="Arial" w:eastAsia="Arial" w:hAnsi="Arial"/>
          <w:sz w:val="36"/>
          <w:szCs w:val="36"/>
          <w:color w:val="51555C"/>
          <w:vertAlign w:val="superscript"/>
        </w:rPr>
      </w:pPr>
      <w:r>
        <w:rPr>
          <w:rFonts w:ascii="Arial" w:cs="Arial" w:eastAsia="Arial" w:hAnsi="Arial"/>
          <w:sz w:val="18"/>
          <w:szCs w:val="18"/>
          <w:color w:val="51555C"/>
        </w:rPr>
        <w:t>Increases in stock-based compensaton costs of $2.4 million primarily due to 2022 performance-based equity award adjustments and estmated overall Company performance against 2023 goals, partally ofset by the targeted workforce reductons during the fourth quarter of 2022 and frst quarter of 2023</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Research and development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Research and development expense includes compensaton costs for engineering and product management personnel, third-party contractor expenses, sofware development tools and other expenses related to developing new solutons or upgrading and enhancing existng solutons that do not qualify for capitalizaton, and allocated depreciaton, facilites and IT support costs.</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contnue to make investments to delight our customers with innovatve and secure cloud solutons. Research and development expenses decreased by $2.2 million, or 5.7%, and $1.5 million or 2.0%, during the three and six months ended June 30, 2023, respectvely, when compared to the same periods in 2022, primarily driven by the following:</w:t>
      </w:r>
    </w:p>
    <w:p>
      <w:pPr>
        <w:spacing w:after="0" w:line="132" w:lineRule="exact"/>
        <w:rPr>
          <w:sz w:val="20"/>
          <w:szCs w:val="20"/>
          <w:color w:val="auto"/>
        </w:rPr>
      </w:pPr>
    </w:p>
    <w:p>
      <w:pPr>
        <w:ind w:left="740" w:right="40" w:hanging="352"/>
        <w:spacing w:after="0" w:line="181" w:lineRule="auto"/>
        <w:tabs>
          <w:tab w:leader="none" w:pos="740" w:val="left"/>
        </w:tabs>
        <w:numPr>
          <w:ilvl w:val="0"/>
          <w:numId w:val="33"/>
        </w:numPr>
        <w:rPr>
          <w:rFonts w:ascii="Arial" w:cs="Arial" w:eastAsia="Arial" w:hAnsi="Arial"/>
          <w:sz w:val="34"/>
          <w:szCs w:val="34"/>
          <w:color w:val="51555C"/>
          <w:vertAlign w:val="superscript"/>
        </w:rPr>
      </w:pPr>
      <w:r>
        <w:rPr>
          <w:rFonts w:ascii="Arial" w:cs="Arial" w:eastAsia="Arial" w:hAnsi="Arial"/>
          <w:sz w:val="17"/>
          <w:szCs w:val="17"/>
          <w:color w:val="51555C"/>
        </w:rPr>
        <w:t>Decreases in third-party contractor costs of $2.4 million and $3.6 million, respectvely, primarily due to a decrease in our use of third-party sofware developers</w:t>
      </w:r>
    </w:p>
    <w:p>
      <w:pPr>
        <w:spacing w:after="0" w:line="97" w:lineRule="exact"/>
        <w:rPr>
          <w:rFonts w:ascii="Arial" w:cs="Arial" w:eastAsia="Arial" w:hAnsi="Arial"/>
          <w:sz w:val="34"/>
          <w:szCs w:val="34"/>
          <w:color w:val="51555C"/>
          <w:vertAlign w:val="superscript"/>
        </w:rPr>
      </w:pPr>
    </w:p>
    <w:p>
      <w:pPr>
        <w:ind w:left="740" w:right="40" w:hanging="352"/>
        <w:spacing w:after="0" w:line="181" w:lineRule="auto"/>
        <w:tabs>
          <w:tab w:leader="none" w:pos="740" w:val="left"/>
        </w:tabs>
        <w:numPr>
          <w:ilvl w:val="0"/>
          <w:numId w:val="33"/>
        </w:numPr>
        <w:rPr>
          <w:rFonts w:ascii="Arial" w:cs="Arial" w:eastAsia="Arial" w:hAnsi="Arial"/>
          <w:sz w:val="34"/>
          <w:szCs w:val="34"/>
          <w:color w:val="51555C"/>
          <w:vertAlign w:val="superscript"/>
        </w:rPr>
      </w:pPr>
      <w:r>
        <w:rPr>
          <w:rFonts w:ascii="Arial" w:cs="Arial" w:eastAsia="Arial" w:hAnsi="Arial"/>
          <w:sz w:val="17"/>
          <w:szCs w:val="17"/>
          <w:color w:val="51555C"/>
        </w:rPr>
        <w:t>Decreases in compensaton costs other than stock-based compensaton of $1.3 million and $1.9 million, respectvely, primarily due to our targeted workforce reductons discussed above</w:t>
      </w:r>
    </w:p>
    <w:p>
      <w:pPr>
        <w:spacing w:after="0" w:line="44" w:lineRule="exact"/>
        <w:rPr>
          <w:sz w:val="20"/>
          <w:szCs w:val="20"/>
          <w:color w:val="auto"/>
        </w:rPr>
      </w:pPr>
    </w:p>
    <w:p>
      <w:pPr>
        <w:jc w:val="both"/>
        <w:ind w:left="740" w:right="40" w:hanging="369"/>
        <w:spacing w:after="0" w:line="258" w:lineRule="auto"/>
        <w:tabs>
          <w:tab w:leader="none" w:pos="740"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Increases in stock-based compensaton of $1.7 million and $2.8 million, respectvely, primarily due to estmated overall Company performance against 2023 goals, partally ofset by the targeted workforce reductons during the fourth quarter of 2022 and frst quarter of 2023. 2022 performance-based equity award adjustments also contributed to the increase in stock-based compensaton expense during the six months ended June 30, 2023</w:t>
      </w:r>
    </w:p>
    <w:p>
      <w:pPr>
        <w:spacing w:after="0" w:line="27" w:lineRule="exact"/>
        <w:rPr>
          <w:rFonts w:ascii="Arial" w:cs="Arial" w:eastAsia="Arial" w:hAnsi="Arial"/>
          <w:sz w:val="18"/>
          <w:szCs w:val="18"/>
          <w:color w:val="51555C"/>
        </w:rPr>
      </w:pPr>
    </w:p>
    <w:p>
      <w:pPr>
        <w:ind w:left="740" w:right="40" w:hanging="369"/>
        <w:spacing w:after="0" w:line="273" w:lineRule="auto"/>
        <w:tabs>
          <w:tab w:leader="none" w:pos="740" w:val="left"/>
        </w:tabs>
        <w:numPr>
          <w:ilvl w:val="0"/>
          <w:numId w:val="34"/>
        </w:numPr>
        <w:rPr>
          <w:rFonts w:ascii="Arial" w:cs="Arial" w:eastAsia="Arial" w:hAnsi="Arial"/>
          <w:sz w:val="18"/>
          <w:szCs w:val="18"/>
          <w:color w:val="51555C"/>
        </w:rPr>
      </w:pPr>
      <w:r>
        <w:rPr>
          <w:rFonts w:ascii="Arial" w:cs="Arial" w:eastAsia="Arial" w:hAnsi="Arial"/>
          <w:sz w:val="18"/>
          <w:szCs w:val="18"/>
          <w:color w:val="51555C"/>
        </w:rPr>
        <w:t>Increase in severance costs of $1.1 million, for the six months ended June 30, 2023, primarily due to our targeted workforce reductons discussed above</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51555C"/>
        </w:rPr>
        <w:t>Not included in research and development expense for the three months ended June 30, 2023 and 2022 were $15.4 million and $14.8 million, respectvely, and for the six months ended June 30, 2023 and 2022 were $29.6 million and $28.5 million, respectvely, of qualifying costs associated with sofware and content development actvites that are required to be capitalized under GAAP, such as those for our cloud solutons, as well as development costs associated with acquired companies. Qualifying capitalized development costs associated with our cloud solutons are subsequently amortzed to cost of recurring revenue over the related assets' estmated useful life, which generally range from three to seven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229235</wp:posOffset>
            </wp:positionV>
            <wp:extent cx="66040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35</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General and administratve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General and administratve expense consists primarily of compensaton costs for general corporate functons, including senior management, fnance, accountng, legal, human resources and corporate development, Security Incident-related expenses (including legal fees, setlements and loss contngency accruals), third-party professional fees, insurance, allocated depreciaton, facilites and IT support costs, acquisiton-related expenses and other administratve expenses.</w:t>
      </w:r>
    </w:p>
    <w:p>
      <w:pPr>
        <w:spacing w:after="0" w:line="1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General and administratve expense increased by $11.8 million or 24.8%, and $20.8 million or 22.9%, during the three and six months ended June 30, 2023, respectvely, when compared to the same periods in 2022, primarily driven by the following:</w:t>
      </w:r>
    </w:p>
    <w:p>
      <w:pPr>
        <w:ind w:left="720" w:hanging="366"/>
        <w:spacing w:after="0" w:line="214" w:lineRule="auto"/>
        <w:tabs>
          <w:tab w:leader="none" w:pos="720" w:val="left"/>
        </w:tabs>
        <w:numPr>
          <w:ilvl w:val="0"/>
          <w:numId w:val="35"/>
        </w:numPr>
        <w:rPr>
          <w:rFonts w:ascii="Arial" w:cs="Arial" w:eastAsia="Arial" w:hAnsi="Arial"/>
          <w:sz w:val="34"/>
          <w:szCs w:val="34"/>
          <w:color w:val="51555C"/>
          <w:vertAlign w:val="superscript"/>
        </w:rPr>
      </w:pPr>
      <w:r>
        <w:rPr>
          <w:rFonts w:ascii="Arial" w:cs="Arial" w:eastAsia="Arial" w:hAnsi="Arial"/>
          <w:sz w:val="17"/>
          <w:szCs w:val="17"/>
          <w:color w:val="51555C"/>
        </w:rPr>
        <w:t>Increases in Security Incident-related expenses of $18.4 million and $29.0 million, respectvely. See "Security Incident update" on page 29</w:t>
      </w:r>
    </w:p>
    <w:p>
      <w:pPr>
        <w:spacing w:after="0" w:line="144" w:lineRule="exact"/>
        <w:rPr>
          <w:rFonts w:ascii="Arial" w:cs="Arial" w:eastAsia="Arial" w:hAnsi="Arial"/>
          <w:sz w:val="34"/>
          <w:szCs w:val="34"/>
          <w:color w:val="51555C"/>
          <w:vertAlign w:val="superscript"/>
        </w:rPr>
      </w:pPr>
    </w:p>
    <w:p>
      <w:pPr>
        <w:jc w:val="both"/>
        <w:ind w:left="720" w:right="20" w:hanging="366"/>
        <w:spacing w:after="0" w:line="192" w:lineRule="auto"/>
        <w:tabs>
          <w:tab w:leader="none" w:pos="720" w:val="left"/>
        </w:tabs>
        <w:numPr>
          <w:ilvl w:val="0"/>
          <w:numId w:val="35"/>
        </w:numPr>
        <w:rPr>
          <w:rFonts w:ascii="Arial" w:cs="Arial" w:eastAsia="Arial" w:hAnsi="Arial"/>
          <w:sz w:val="36"/>
          <w:szCs w:val="36"/>
          <w:color w:val="51555C"/>
          <w:vertAlign w:val="superscript"/>
        </w:rPr>
      </w:pPr>
      <w:r>
        <w:rPr>
          <w:rFonts w:ascii="Arial" w:cs="Arial" w:eastAsia="Arial" w:hAnsi="Arial"/>
          <w:sz w:val="18"/>
          <w:szCs w:val="18"/>
          <w:color w:val="51555C"/>
        </w:rPr>
        <w:t>Increases in stock-based compensaton costs of $1.5 million and $2.2 million, respectvely, primarily due to estmated overall Company performance against 2023 goals, partally ofset by the targeted workforce reductons during the fourth quarter of 2022 and frst quarter of 2023. 2022 performance-based equity award adjustments also contributed to the increase in stock-based compensaton expense during the six months ended June 30, 2023</w:t>
      </w:r>
    </w:p>
    <w:p>
      <w:pPr>
        <w:spacing w:after="0" w:line="98" w:lineRule="exact"/>
        <w:rPr>
          <w:sz w:val="20"/>
          <w:szCs w:val="20"/>
          <w:color w:val="auto"/>
        </w:rPr>
      </w:pPr>
    </w:p>
    <w:p>
      <w:pPr>
        <w:jc w:val="both"/>
        <w:ind w:left="720" w:right="20" w:hanging="349"/>
        <w:spacing w:after="0" w:line="202" w:lineRule="auto"/>
        <w:tabs>
          <w:tab w:leader="none" w:pos="720" w:val="left"/>
        </w:tabs>
        <w:numPr>
          <w:ilvl w:val="0"/>
          <w:numId w:val="36"/>
        </w:numPr>
        <w:rPr>
          <w:rFonts w:ascii="Arial" w:cs="Arial" w:eastAsia="Arial" w:hAnsi="Arial"/>
          <w:sz w:val="36"/>
          <w:szCs w:val="36"/>
          <w:color w:val="51555C"/>
          <w:vertAlign w:val="superscript"/>
        </w:rPr>
      </w:pPr>
      <w:r>
        <w:rPr>
          <w:rFonts w:ascii="Arial" w:cs="Arial" w:eastAsia="Arial" w:hAnsi="Arial"/>
          <w:sz w:val="18"/>
          <w:szCs w:val="18"/>
          <w:color w:val="51555C"/>
        </w:rPr>
        <w:t>Decreases in acquisiton and dispositon-related costs of $3.1 million and $3.5 million, respectvely, primarily related to the release of $1.4 million in accrued contngent consideraton related to our Kilter acquisiton during the three and six months ended June 30, 2023 and a $2.0 million noncash impairment of certain insignifcant intangible assets that were held for sale during the three and six months ended June 30, 2022 which did not reoccur in the comparable 2023 periods</w:t>
      </w:r>
    </w:p>
    <w:p>
      <w:pPr>
        <w:spacing w:after="0" w:line="100" w:lineRule="exact"/>
        <w:rPr>
          <w:rFonts w:ascii="Arial" w:cs="Arial" w:eastAsia="Arial" w:hAnsi="Arial"/>
          <w:sz w:val="36"/>
          <w:szCs w:val="36"/>
          <w:color w:val="51555C"/>
          <w:vertAlign w:val="superscript"/>
        </w:rPr>
      </w:pPr>
    </w:p>
    <w:p>
      <w:pPr>
        <w:ind w:left="720" w:right="20" w:hanging="349"/>
        <w:spacing w:after="0" w:line="181" w:lineRule="auto"/>
        <w:tabs>
          <w:tab w:leader="none" w:pos="720" w:val="left"/>
        </w:tabs>
        <w:numPr>
          <w:ilvl w:val="0"/>
          <w:numId w:val="36"/>
        </w:numPr>
        <w:rPr>
          <w:rFonts w:ascii="Arial" w:cs="Arial" w:eastAsia="Arial" w:hAnsi="Arial"/>
          <w:sz w:val="34"/>
          <w:szCs w:val="34"/>
          <w:color w:val="51555C"/>
          <w:vertAlign w:val="superscript"/>
        </w:rPr>
      </w:pPr>
      <w:r>
        <w:rPr>
          <w:rFonts w:ascii="Arial" w:cs="Arial" w:eastAsia="Arial" w:hAnsi="Arial"/>
          <w:sz w:val="17"/>
          <w:szCs w:val="17"/>
          <w:color w:val="51555C"/>
        </w:rPr>
        <w:t>Decreases in compensaton costs other than stock-based compensaton of $2.0 million and $3.3 million, respectvely, primarily due to our targeted workforce reductons discussed above</w:t>
      </w:r>
    </w:p>
    <w:p>
      <w:pPr>
        <w:spacing w:after="0" w:line="97" w:lineRule="exact"/>
        <w:rPr>
          <w:rFonts w:ascii="Arial" w:cs="Arial" w:eastAsia="Arial" w:hAnsi="Arial"/>
          <w:sz w:val="34"/>
          <w:szCs w:val="34"/>
          <w:color w:val="51555C"/>
          <w:vertAlign w:val="superscript"/>
        </w:rPr>
      </w:pPr>
    </w:p>
    <w:p>
      <w:pPr>
        <w:jc w:val="both"/>
        <w:ind w:left="720" w:right="20" w:hanging="349"/>
        <w:spacing w:after="0" w:line="191" w:lineRule="auto"/>
        <w:tabs>
          <w:tab w:leader="none" w:pos="720" w:val="left"/>
        </w:tabs>
        <w:numPr>
          <w:ilvl w:val="0"/>
          <w:numId w:val="36"/>
        </w:numPr>
        <w:rPr>
          <w:rFonts w:ascii="Arial" w:cs="Arial" w:eastAsia="Arial" w:hAnsi="Arial"/>
          <w:sz w:val="36"/>
          <w:szCs w:val="36"/>
          <w:color w:val="51555C"/>
          <w:vertAlign w:val="superscript"/>
        </w:rPr>
      </w:pPr>
      <w:r>
        <w:rPr>
          <w:rFonts w:ascii="Arial" w:cs="Arial" w:eastAsia="Arial" w:hAnsi="Arial"/>
          <w:sz w:val="18"/>
          <w:szCs w:val="18"/>
          <w:color w:val="51555C"/>
        </w:rPr>
        <w:t>A $2.3 million noncash impairment charge during the three and six months ended June 30, 2022 against previously capitalized sofware development costs that reduced the carrying value of those assets to zero. The impairment charge resulted primarily from our decision to end customer support for certain solutons and did not reoccur in 2023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Fixed Asset Impairment</w:t>
      </w:r>
    </w:p>
    <w:p>
      <w:pPr>
        <w:spacing w:after="0" w:line="17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51555C"/>
        </w:rPr>
        <w:t>On July 31, 2023, we entered into a sublease for a porton of our Washington, DC ofce locaton, which we previously closed in February 2023 to align with our remote-frst workforce strategy. We considered our entry into the sublease an impairment indicator. As a result, we currently expect to incur pre-tax costs between $6.0 million and $8.0 million in the third quarter of 2023, consistng of noncash impairment charges against certain operatng lease right-of-use assets and property and equipment assets. We expect the impairment charge to be recorded in general and administratve expense.</w:t>
      </w:r>
    </w:p>
    <w:p>
      <w:pPr>
        <w:spacing w:after="0" w:line="298"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36</w:t>
      </w:r>
      <w:r>
        <w:rPr>
          <w:sz w:val="20"/>
          <w:szCs w:val="20"/>
          <w:color w:val="auto"/>
        </w:rPr>
        <w:tab/>
      </w:r>
      <w:r>
        <w:rPr>
          <w:sz w:val="1"/>
          <w:szCs w:val="1"/>
          <w:color w:val="auto"/>
        </w:rPr>
        <w:drawing>
          <wp:inline distT="0" distB="0" distL="0" distR="0">
            <wp:extent cx="651510" cy="1714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Interest Expense</w:t>
      </w:r>
    </w:p>
    <w:p>
      <w:pPr>
        <w:spacing w:after="0" w:line="281"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8635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25" w:lineRule="exact"/>
        <w:rPr>
          <w:sz w:val="20"/>
          <w:szCs w:val="20"/>
          <w:color w:val="auto"/>
        </w:rPr>
      </w:pPr>
    </w:p>
    <w:p>
      <w:pPr>
        <w:ind w:left="3020"/>
        <w:spacing w:after="0"/>
        <w:rPr>
          <w:sz w:val="20"/>
          <w:szCs w:val="20"/>
          <w:color w:val="auto"/>
        </w:rPr>
      </w:pPr>
      <w:r>
        <w:rPr>
          <w:rFonts w:ascii="Arial" w:cs="Arial" w:eastAsia="Arial" w:hAnsi="Arial"/>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191135</wp:posOffset>
            </wp:positionV>
            <wp:extent cx="4963795" cy="1423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6379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51555C"/>
        </w:rPr>
        <w:t>The increases in interest expense in dollars and as a percentage of total revenue during the three and six months ended June 30, 2023, when compared to the same period in 2022, were primarily due to an increase in our weighted average efectve interest rates. We currently expect interest expense for the full year 2023 to be approximately $37 million to $41 million although our interest expense in connecton with the variable rate porton of our outstanding debt could increase in a rising interest rate environment. See Note 7 to our condensed consolidated fnancial statements in this report for more informaton regarding our derivatve instruments, which we use to manage our variable interest rate risk, and Item 3. Quanttatve and Qualitatve Disclosures about Market Risk: Interest Rate Risk (below) for more informaton about our variable interest rate exposure and related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Deferred 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1555C"/>
        </w:rPr>
        <w:t>The table below compares the components of deferred revenue from our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738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320" w:type="dxa"/>
            <w:vAlign w:val="bottom"/>
            <w:shd w:val="clear" w:color="auto" w:fill="004054"/>
          </w:tcPr>
          <w:p>
            <w:pPr>
              <w:spacing w:after="0"/>
              <w:rPr>
                <w:sz w:val="15"/>
                <w:szCs w:val="15"/>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120" w:type="dxa"/>
            <w:vAlign w:val="bottom"/>
            <w:shd w:val="clear" w:color="auto" w:fill="004054"/>
          </w:tcPr>
          <w:p>
            <w:pPr>
              <w:spacing w:after="0"/>
              <w:rPr>
                <w:sz w:val="15"/>
                <w:szCs w:val="15"/>
                <w:color w:val="auto"/>
              </w:rPr>
            </w:pPr>
          </w:p>
        </w:tc>
      </w:tr>
      <w:tr>
        <w:trPr>
          <w:trHeight w:val="184"/>
        </w:trPr>
        <w:tc>
          <w:tcPr>
            <w:tcW w:w="20" w:type="dxa"/>
            <w:vAlign w:val="bottom"/>
            <w:shd w:val="clear" w:color="auto" w:fill="004054"/>
          </w:tcPr>
          <w:p>
            <w:pPr>
              <w:spacing w:after="0"/>
              <w:rPr>
                <w:sz w:val="15"/>
                <w:szCs w:val="15"/>
                <w:color w:val="auto"/>
              </w:rPr>
            </w:pPr>
          </w:p>
        </w:tc>
        <w:tc>
          <w:tcPr>
            <w:tcW w:w="738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20" w:type="dxa"/>
            <w:vAlign w:val="bottom"/>
            <w:shd w:val="clear" w:color="auto" w:fill="004054"/>
          </w:tcPr>
          <w:p>
            <w:pPr>
              <w:spacing w:after="0"/>
              <w:rPr>
                <w:sz w:val="15"/>
                <w:szCs w:val="15"/>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70"/>
        </w:trPr>
        <w:tc>
          <w:tcPr>
            <w:tcW w:w="20" w:type="dxa"/>
            <w:vAlign w:val="bottom"/>
            <w:shd w:val="clear" w:color="auto" w:fill="004054"/>
          </w:tcPr>
          <w:p>
            <w:pPr>
              <w:spacing w:after="0"/>
              <w:rPr>
                <w:sz w:val="6"/>
                <w:szCs w:val="6"/>
                <w:color w:val="auto"/>
              </w:rPr>
            </w:pPr>
          </w:p>
        </w:tc>
        <w:tc>
          <w:tcPr>
            <w:tcW w:w="738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80" w:type="dxa"/>
            <w:vAlign w:val="bottom"/>
            <w:shd w:val="clear" w:color="auto" w:fill="004054"/>
          </w:tcPr>
          <w:p>
            <w:pPr>
              <w:spacing w:after="0"/>
              <w:rPr>
                <w:sz w:val="6"/>
                <w:szCs w:val="6"/>
                <w:color w:val="auto"/>
              </w:rPr>
            </w:pPr>
          </w:p>
        </w:tc>
        <w:tc>
          <w:tcPr>
            <w:tcW w:w="32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r>
      <w:tr>
        <w:trPr>
          <w:trHeight w:val="324"/>
        </w:trPr>
        <w:tc>
          <w:tcPr>
            <w:tcW w:w="20" w:type="dxa"/>
            <w:vAlign w:val="bottom"/>
          </w:tcPr>
          <w:p>
            <w:pPr>
              <w:spacing w:after="0"/>
              <w:rPr>
                <w:sz w:val="24"/>
                <w:szCs w:val="24"/>
                <w:color w:val="auto"/>
              </w:rPr>
            </w:pPr>
          </w:p>
        </w:tc>
        <w:tc>
          <w:tcPr>
            <w:tcW w:w="738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Deferred revenue</w:t>
            </w:r>
            <w:r>
              <w:rPr>
                <w:rFonts w:ascii="Arial" w:cs="Arial" w:eastAsia="Arial" w:hAnsi="Arial"/>
                <w:sz w:val="23"/>
                <w:szCs w:val="23"/>
                <w:color w:val="51555C"/>
                <w:vertAlign w:val="superscript"/>
              </w:rPr>
              <w:t>(1)</w:t>
            </w:r>
          </w:p>
        </w:tc>
        <w:tc>
          <w:tcPr>
            <w:tcW w:w="480" w:type="dxa"/>
            <w:vAlign w:val="bottom"/>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8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438.2</w:t>
            </w:r>
          </w:p>
        </w:tc>
        <w:tc>
          <w:tcPr>
            <w:tcW w:w="320" w:type="dxa"/>
            <w:vAlign w:val="bottom"/>
            <w:shd w:val="clear" w:color="auto" w:fill="EBFBFF"/>
          </w:tcPr>
          <w:p>
            <w:pPr>
              <w:jc w:val="right"/>
              <w:ind w:right="130"/>
              <w:spacing w:after="0"/>
              <w:rPr>
                <w:sz w:val="20"/>
                <w:szCs w:val="20"/>
                <w:color w:val="auto"/>
              </w:rPr>
            </w:pPr>
            <w:r>
              <w:rPr>
                <w:rFonts w:ascii="Arial" w:cs="Arial" w:eastAsia="Arial" w:hAnsi="Arial"/>
                <w:sz w:val="18"/>
                <w:szCs w:val="18"/>
                <w:color w:val="51555C"/>
                <w:w w:val="7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385.2</w:t>
            </w:r>
          </w:p>
        </w:tc>
        <w:tc>
          <w:tcPr>
            <w:tcW w:w="11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13.7 %</w:t>
            </w:r>
          </w:p>
        </w:tc>
      </w:tr>
      <w:tr>
        <w:trPr>
          <w:trHeight w:val="227"/>
        </w:trPr>
        <w:tc>
          <w:tcPr>
            <w:tcW w:w="20" w:type="dxa"/>
            <w:vAlign w:val="bottom"/>
          </w:tcPr>
          <w:p>
            <w:pPr>
              <w:spacing w:after="0"/>
              <w:rPr>
                <w:sz w:val="19"/>
                <w:szCs w:val="19"/>
                <w:color w:val="auto"/>
              </w:rPr>
            </w:pPr>
          </w:p>
        </w:tc>
        <w:tc>
          <w:tcPr>
            <w:tcW w:w="7380" w:type="dxa"/>
            <w:vAlign w:val="bottom"/>
          </w:tcPr>
          <w:p>
            <w:pPr>
              <w:ind w:left="120"/>
              <w:spacing w:after="0"/>
              <w:rPr>
                <w:sz w:val="20"/>
                <w:szCs w:val="20"/>
                <w:color w:val="auto"/>
              </w:rPr>
            </w:pPr>
            <w:r>
              <w:rPr>
                <w:rFonts w:ascii="Arial" w:cs="Arial" w:eastAsia="Arial" w:hAnsi="Arial"/>
                <w:sz w:val="18"/>
                <w:szCs w:val="18"/>
                <w:color w:val="51555C"/>
              </w:rPr>
              <w:t>Less: Long-term porton</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51555C"/>
              </w:rPr>
              <w:t>3.5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2.8</w:t>
            </w:r>
          </w:p>
        </w:tc>
        <w:tc>
          <w:tcPr>
            <w:tcW w:w="1120" w:type="dxa"/>
            <w:vAlign w:val="bottom"/>
          </w:tcPr>
          <w:p>
            <w:pPr>
              <w:jc w:val="right"/>
              <w:spacing w:after="0"/>
              <w:rPr>
                <w:sz w:val="20"/>
                <w:szCs w:val="20"/>
                <w:color w:val="auto"/>
              </w:rPr>
            </w:pPr>
            <w:r>
              <w:rPr>
                <w:rFonts w:ascii="Arial" w:cs="Arial" w:eastAsia="Arial" w:hAnsi="Arial"/>
                <w:sz w:val="18"/>
                <w:szCs w:val="18"/>
                <w:color w:val="51555C"/>
              </w:rPr>
              <w:t>25.0 %</w:t>
            </w:r>
          </w:p>
        </w:tc>
      </w:tr>
      <w:tr>
        <w:trPr>
          <w:trHeight w:val="43"/>
        </w:trPr>
        <w:tc>
          <w:tcPr>
            <w:tcW w:w="20" w:type="dxa"/>
            <w:vAlign w:val="bottom"/>
          </w:tcPr>
          <w:p>
            <w:pPr>
              <w:spacing w:after="0"/>
              <w:rPr>
                <w:sz w:val="3"/>
                <w:szCs w:val="3"/>
                <w:color w:val="auto"/>
              </w:rPr>
            </w:pPr>
          </w:p>
        </w:tc>
        <w:tc>
          <w:tcPr>
            <w:tcW w:w="7380" w:type="dxa"/>
            <w:vAlign w:val="bottom"/>
            <w:tcBorders>
              <w:bottom w:val="single" w:sz="8" w:color="EBFBFF"/>
            </w:tcBorders>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320" w:type="dxa"/>
            <w:vAlign w:val="bottom"/>
            <w:tcBorders>
              <w:bottom w:val="single" w:sz="8" w:color="51555C"/>
            </w:tcBorders>
          </w:tcPr>
          <w:p>
            <w:pPr>
              <w:spacing w:after="0"/>
              <w:rPr>
                <w:sz w:val="3"/>
                <w:szCs w:val="3"/>
                <w:color w:val="auto"/>
              </w:rPr>
            </w:pPr>
          </w:p>
        </w:tc>
        <w:tc>
          <w:tcPr>
            <w:tcW w:w="1040" w:type="dxa"/>
            <w:vAlign w:val="bottom"/>
            <w:tcBorders>
              <w:bottom w:val="single" w:sz="8" w:color="51555C"/>
            </w:tcBorders>
          </w:tcPr>
          <w:p>
            <w:pPr>
              <w:spacing w:after="0"/>
              <w:rPr>
                <w:sz w:val="3"/>
                <w:szCs w:val="3"/>
                <w:color w:val="auto"/>
              </w:rPr>
            </w:pPr>
          </w:p>
        </w:tc>
        <w:tc>
          <w:tcPr>
            <w:tcW w:w="1120" w:type="dxa"/>
            <w:vAlign w:val="bottom"/>
            <w:tcBorders>
              <w:bottom w:val="single" w:sz="8" w:color="EBFBFF"/>
            </w:tcBorders>
          </w:tcPr>
          <w:p>
            <w:pPr>
              <w:spacing w:after="0"/>
              <w:rPr>
                <w:sz w:val="3"/>
                <w:szCs w:val="3"/>
                <w:color w:val="auto"/>
              </w:rPr>
            </w:pPr>
          </w:p>
        </w:tc>
      </w:tr>
      <w:tr>
        <w:trPr>
          <w:trHeight w:val="304"/>
        </w:trPr>
        <w:tc>
          <w:tcPr>
            <w:tcW w:w="20" w:type="dxa"/>
            <w:vAlign w:val="bottom"/>
          </w:tcPr>
          <w:p>
            <w:pPr>
              <w:spacing w:after="0"/>
              <w:rPr>
                <w:sz w:val="24"/>
                <w:szCs w:val="24"/>
                <w:color w:val="auto"/>
              </w:rPr>
            </w:pPr>
          </w:p>
        </w:tc>
        <w:tc>
          <w:tcPr>
            <w:tcW w:w="7380" w:type="dxa"/>
            <w:vAlign w:val="bottom"/>
            <w:tcBorders>
              <w:bottom w:val="single" w:sz="8" w:color="0CD973"/>
            </w:tcBorders>
            <w:shd w:val="clear" w:color="auto" w:fill="EBFBFF"/>
          </w:tcPr>
          <w:p>
            <w:pPr>
              <w:ind w:left="120"/>
              <w:spacing w:after="0"/>
              <w:rPr>
                <w:sz w:val="20"/>
                <w:szCs w:val="20"/>
                <w:color w:val="auto"/>
              </w:rPr>
            </w:pPr>
            <w:r>
              <w:rPr>
                <w:rFonts w:ascii="Arial" w:cs="Arial" w:eastAsia="Arial" w:hAnsi="Arial"/>
                <w:sz w:val="18"/>
                <w:szCs w:val="18"/>
                <w:color w:val="51555C"/>
              </w:rPr>
              <w:t>Current porton</w:t>
            </w:r>
            <w:r>
              <w:rPr>
                <w:rFonts w:ascii="Arial" w:cs="Arial" w:eastAsia="Arial" w:hAnsi="Arial"/>
                <w:sz w:val="23"/>
                <w:szCs w:val="23"/>
                <w:color w:val="51555C"/>
                <w:vertAlign w:val="superscript"/>
              </w:rPr>
              <w:t>(1)</w:t>
            </w:r>
          </w:p>
        </w:tc>
        <w:tc>
          <w:tcPr>
            <w:tcW w:w="480" w:type="dxa"/>
            <w:vAlign w:val="bottom"/>
            <w:tcBorders>
              <w:bottom w:val="single" w:sz="8" w:color="0CD973"/>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8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434.6</w:t>
            </w:r>
          </w:p>
        </w:tc>
        <w:tc>
          <w:tcPr>
            <w:tcW w:w="320" w:type="dxa"/>
            <w:vAlign w:val="bottom"/>
            <w:tcBorders>
              <w:bottom w:val="single" w:sz="8" w:color="0CD973"/>
            </w:tcBorders>
            <w:shd w:val="clear" w:color="auto" w:fill="EBFBFF"/>
          </w:tcPr>
          <w:p>
            <w:pPr>
              <w:jc w:val="right"/>
              <w:ind w:right="130"/>
              <w:spacing w:after="0"/>
              <w:rPr>
                <w:sz w:val="20"/>
                <w:szCs w:val="20"/>
                <w:color w:val="auto"/>
              </w:rPr>
            </w:pPr>
            <w:r>
              <w:rPr>
                <w:rFonts w:ascii="Arial" w:cs="Arial" w:eastAsia="Arial" w:hAnsi="Arial"/>
                <w:sz w:val="18"/>
                <w:szCs w:val="18"/>
                <w:color w:val="51555C"/>
                <w:w w:val="79"/>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382.4</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13.7 %</w:t>
            </w:r>
          </w:p>
        </w:tc>
      </w:tr>
    </w:tbl>
    <w:p>
      <w:pPr>
        <w:spacing w:after="0" w:line="5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deferred revenue or current porton of deferred revenue due to rounding.</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To the extent that our customers are billed for our solutons and services in advance of delivery, we record such amounts in deferred revenue. Our recurring revenue contracts are generally for a term of three years at contract incepton, billed annually in advance, and non-cancelable. We have been for several years successfully shifing our legacy customer base away from annual renewals and moving them onto mult-year renewal contracts. We generally invoice our customers with recurring revenue contracts in annual cycles 30 days prior to the end of each one-year period.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51555C"/>
        </w:rPr>
        <w:t>The increase in deferred revenue during the six months ended June 30, 2023 was primarily due to a seasonal increase in customer contract renewals.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51555C"/>
        </w:rPr>
        <w:t>Historically, due to the tming of customer budget cycles, we have an increase in customer contract renewals at or near the beginning of our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51555C"/>
        </w:rPr>
        <w:t>Generally, our lowest balance of deferred revenue during the year is at the end of our frst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250825</wp:posOffset>
            </wp:positionV>
            <wp:extent cx="66040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37</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Income Taxes</w:t>
      </w:r>
    </w:p>
    <w:p>
      <w:pPr>
        <w:spacing w:after="0" w:line="200" w:lineRule="exact"/>
        <w:rPr>
          <w:sz w:val="20"/>
          <w:szCs w:val="20"/>
          <w:color w:val="auto"/>
        </w:rPr>
      </w:pPr>
    </w:p>
    <w:p>
      <w:pPr>
        <w:spacing w:after="0" w:line="297"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51555C"/>
        </w:rPr>
        <w:t>Income tax beneft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58635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25" w:lineRule="exact"/>
        <w:rPr>
          <w:sz w:val="20"/>
          <w:szCs w:val="20"/>
          <w:color w:val="auto"/>
        </w:rPr>
      </w:pPr>
    </w:p>
    <w:p>
      <w:pPr>
        <w:ind w:left="3440"/>
        <w:spacing w:after="0"/>
        <w:rPr>
          <w:sz w:val="20"/>
          <w:szCs w:val="20"/>
          <w:color w:val="auto"/>
        </w:rPr>
      </w:pPr>
      <w:r>
        <w:rPr>
          <w:rFonts w:ascii="Arial" w:cs="Arial" w:eastAsia="Arial" w:hAnsi="Arial"/>
          <w:sz w:val="13"/>
          <w:szCs w:val="13"/>
          <w:i w:val="1"/>
          <w:iCs w:val="1"/>
          <w:color w:val="51555C"/>
        </w:rPr>
        <w:t>Percentages indicate efectve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191135</wp:posOffset>
            </wp:positionV>
            <wp:extent cx="4963795" cy="1423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6379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The increases in our efectve income tax rate for the three and six months ended June 30, 2023, when compared to the same periods in 2022 were primarily atributable to unfavorable impact of non-deductble Security Incident accruals. See Note 8 to our unaudited, condensed consolidated fnancial statements included in this report for additonal informaton about our loss contngency accruals related to the Security Incident.</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51555C"/>
        </w:rPr>
        <w:t xml:space="preserve">For the three and six months ended June 30, 2022, we utlized the discrete efectve tax rate method, as allowed by ASC 740-270-30-18, </w:t>
      </w:r>
      <w:r>
        <w:rPr>
          <w:rFonts w:ascii="Arial" w:cs="Arial" w:eastAsia="Arial" w:hAnsi="Arial"/>
          <w:sz w:val="17"/>
          <w:szCs w:val="17"/>
          <w:i w:val="1"/>
          <w:iCs w:val="1"/>
          <w:color w:val="51555C"/>
        </w:rPr>
        <w:t>Income Taxes—</w:t>
      </w:r>
      <w:r>
        <w:rPr>
          <w:rFonts w:ascii="Arial" w:cs="Arial" w:eastAsia="Arial" w:hAnsi="Arial"/>
          <w:sz w:val="17"/>
          <w:szCs w:val="17"/>
          <w:color w:val="51555C"/>
        </w:rPr>
        <w:t xml:space="preserve"> </w:t>
      </w:r>
      <w:r>
        <w:rPr>
          <w:rFonts w:ascii="Arial" w:cs="Arial" w:eastAsia="Arial" w:hAnsi="Arial"/>
          <w:sz w:val="17"/>
          <w:szCs w:val="17"/>
          <w:i w:val="1"/>
          <w:iCs w:val="1"/>
          <w:color w:val="51555C"/>
        </w:rPr>
        <w:t>Interim Reportng</w:t>
      </w:r>
      <w:r>
        <w:rPr>
          <w:rFonts w:ascii="Arial" w:cs="Arial" w:eastAsia="Arial" w:hAnsi="Arial"/>
          <w:sz w:val="17"/>
          <w:szCs w:val="17"/>
          <w:color w:val="51555C"/>
        </w:rPr>
        <w:t>, to calculate its interim income tax provision. The discrete method is applied when the applicaton of the estmated annual efectve tax</w:t>
      </w:r>
      <w:r>
        <w:rPr>
          <w:rFonts w:ascii="Arial" w:cs="Arial" w:eastAsia="Arial" w:hAnsi="Arial"/>
          <w:sz w:val="17"/>
          <w:szCs w:val="17"/>
          <w:i w:val="1"/>
          <w:iCs w:val="1"/>
          <w:color w:val="51555C"/>
        </w:rPr>
        <w:t xml:space="preserve"> </w:t>
      </w:r>
      <w:r>
        <w:rPr>
          <w:rFonts w:ascii="Arial" w:cs="Arial" w:eastAsia="Arial" w:hAnsi="Arial"/>
          <w:sz w:val="17"/>
          <w:szCs w:val="17"/>
          <w:color w:val="51555C"/>
        </w:rPr>
        <w:t>rate is impractcal because it is not possible to reliably estmate the annual efectve tax rate. The discrete method treats the year-to-date period as if it was the annual period and determines the income tax expense or beneft on that basis. For the three and six months ended June 30, 2023 we have utlized the annual efectve tax rate method, as we believe it can now be reliably estmated. This methodology requires us to apply our estmated annual efectve tax rate to year-to-date pre-tax earnings. During the second quarter of 2023, our estmated annual efectve tax rate increased due to the unfavorable impacts of non-deductble Security Incident accruals and its impact on pre-tax earnings. This increase, when applied to quarter-to-date and year-to-date date pre-tax losses, resulted in recogniton of income tax benefts at 126.0% and 52.8%, respectvely.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Non-GAAP Financial Measures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The operatng results analyzed below are presented on a non-GAAP basis. We use non-GAAP fnancial measures internally in analyzing our operatonal performance. Accordingly, we believe these non-GAAP measures are useful to investors, as a supplement to GAAP measures, in evaluatng our ongoing operatonal performance. While we believe these non-GAAP measures provide useful supplemental informaton, non-GAAP fnancial measures should not be considered in isolaton from, or as a substtute for, fnancial informaton prepared in accordance with GAAP. In additon, these non-GAAP fnancial measures may not be completely comparable to similarly ttled measures of other companies due to potental diferences in the exact method of calculaton between companies.</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The non-GAAP fnancial measures discussed below exclude the impact of certain transactons because we believe they are not directly related to our operatng performance in any partcular period, but are for our long-term beneft over multple periods. We believe that these non-GAAP fnancial measures refect our ongoing business in a manner that allows for meaningful period-to-period comparisons and analysis of trends in our business.</w:t>
      </w:r>
    </w:p>
    <w:p>
      <w:pPr>
        <w:spacing w:after="0" w:line="321"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38</w:t>
      </w:r>
      <w:r>
        <w:rPr>
          <w:sz w:val="20"/>
          <w:szCs w:val="20"/>
          <w:color w:val="auto"/>
        </w:rPr>
        <w:tab/>
      </w:r>
      <w:r>
        <w:rPr>
          <w:sz w:val="1"/>
          <w:szCs w:val="1"/>
          <w:color w:val="auto"/>
        </w:rPr>
        <w:drawing>
          <wp:inline distT="0" distB="0" distL="0" distR="0">
            <wp:extent cx="651510" cy="1714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34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96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20" w:type="dxa"/>
            <w:vAlign w:val="bottom"/>
            <w:tcBorders>
              <w:right w:val="single" w:sz="8" w:color="004054"/>
            </w:tcBorders>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9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84"/>
        </w:trPr>
        <w:tc>
          <w:tcPr>
            <w:tcW w:w="20" w:type="dxa"/>
            <w:vAlign w:val="bottom"/>
            <w:shd w:val="clear" w:color="auto" w:fill="004054"/>
          </w:tcPr>
          <w:p>
            <w:pPr>
              <w:spacing w:after="0"/>
              <w:rPr>
                <w:sz w:val="15"/>
                <w:szCs w:val="15"/>
                <w:color w:val="auto"/>
              </w:rPr>
            </w:pPr>
          </w:p>
        </w:tc>
        <w:tc>
          <w:tcPr>
            <w:tcW w:w="434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10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20" w:type="dxa"/>
            <w:vAlign w:val="bottom"/>
            <w:tcBorders>
              <w:right w:val="single" w:sz="8" w:color="004054"/>
            </w:tcBorders>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96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99"/>
        </w:trPr>
        <w:tc>
          <w:tcPr>
            <w:tcW w:w="20" w:type="dxa"/>
            <w:vAlign w:val="bottom"/>
            <w:tcBorders>
              <w:bottom w:val="single" w:sz="8" w:color="004054"/>
            </w:tcBorders>
            <w:shd w:val="clear" w:color="auto" w:fill="004054"/>
          </w:tcPr>
          <w:p>
            <w:pPr>
              <w:spacing w:after="0"/>
              <w:rPr>
                <w:sz w:val="24"/>
                <w:szCs w:val="24"/>
                <w:color w:val="auto"/>
              </w:rPr>
            </w:pPr>
          </w:p>
        </w:tc>
        <w:tc>
          <w:tcPr>
            <w:tcW w:w="434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40" w:type="dxa"/>
            <w:vAlign w:val="bottom"/>
            <w:tcBorders>
              <w:bottom w:val="single" w:sz="8" w:color="004054"/>
            </w:tcBorders>
            <w:shd w:val="clear" w:color="auto" w:fill="004054"/>
          </w:tcPr>
          <w:p>
            <w:pPr>
              <w:spacing w:after="0"/>
              <w:rPr>
                <w:sz w:val="24"/>
                <w:szCs w:val="24"/>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40" w:type="dxa"/>
            <w:vAlign w:val="bottom"/>
            <w:tcBorders>
              <w:bottom w:val="single" w:sz="8" w:color="004054"/>
            </w:tcBorders>
            <w:shd w:val="clear" w:color="auto" w:fill="004054"/>
          </w:tcPr>
          <w:p>
            <w:pPr>
              <w:spacing w:after="0"/>
              <w:rPr>
                <w:sz w:val="24"/>
                <w:szCs w:val="24"/>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120" w:type="dxa"/>
            <w:vAlign w:val="bottom"/>
            <w:tcBorders>
              <w:right w:val="single" w:sz="8" w:color="004054"/>
            </w:tcBorders>
          </w:tcPr>
          <w:p>
            <w:pPr>
              <w:spacing w:after="0"/>
              <w:rPr>
                <w:sz w:val="24"/>
                <w:szCs w:val="24"/>
                <w:color w:val="auto"/>
              </w:rPr>
            </w:pPr>
          </w:p>
        </w:tc>
        <w:tc>
          <w:tcPr>
            <w:tcW w:w="220" w:type="dxa"/>
            <w:vAlign w:val="bottom"/>
            <w:tcBorders>
              <w:bottom w:val="single" w:sz="8" w:color="004054"/>
            </w:tcBorders>
            <w:shd w:val="clear" w:color="auto" w:fill="004054"/>
          </w:tcPr>
          <w:p>
            <w:pPr>
              <w:spacing w:after="0"/>
              <w:rPr>
                <w:sz w:val="24"/>
                <w:szCs w:val="24"/>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240" w:type="dxa"/>
            <w:vAlign w:val="bottom"/>
            <w:tcBorders>
              <w:bottom w:val="single" w:sz="8" w:color="004054"/>
            </w:tcBorders>
            <w:shd w:val="clear" w:color="auto" w:fill="004054"/>
          </w:tcPr>
          <w:p>
            <w:pPr>
              <w:spacing w:after="0"/>
              <w:rPr>
                <w:sz w:val="24"/>
                <w:szCs w:val="24"/>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15"/>
        </w:trPr>
        <w:tc>
          <w:tcPr>
            <w:tcW w:w="20" w:type="dxa"/>
            <w:vAlign w:val="bottom"/>
          </w:tcPr>
          <w:p>
            <w:pPr>
              <w:spacing w:after="0"/>
              <w:rPr>
                <w:sz w:val="18"/>
                <w:szCs w:val="18"/>
                <w:color w:val="auto"/>
              </w:rPr>
            </w:pPr>
          </w:p>
        </w:tc>
        <w:tc>
          <w:tcPr>
            <w:tcW w:w="4340" w:type="dxa"/>
            <w:vAlign w:val="bottom"/>
            <w:tcBorders>
              <w:top w:val="single" w:sz="8" w:color="EBFBFF"/>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240" w:type="dxa"/>
            <w:vAlign w:val="bottom"/>
            <w:tcBorders>
              <w:top w:val="single" w:sz="8" w:color="004054"/>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Borders>
              <w:top w:val="single" w:sz="8" w:color="004054"/>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271.0</w:t>
            </w:r>
          </w:p>
        </w:tc>
        <w:tc>
          <w:tcPr>
            <w:tcW w:w="240" w:type="dxa"/>
            <w:vAlign w:val="bottom"/>
            <w:tcBorders>
              <w:top w:val="single" w:sz="8" w:color="004054"/>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top w:val="single" w:sz="8" w:color="004054"/>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264.9</w:t>
            </w:r>
          </w:p>
        </w:tc>
        <w:tc>
          <w:tcPr>
            <w:tcW w:w="1000" w:type="dxa"/>
            <w:vAlign w:val="bottom"/>
            <w:tcBorders>
              <w:top w:val="single" w:sz="8" w:color="004054"/>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2.3 %</w:t>
            </w:r>
          </w:p>
        </w:tc>
        <w:tc>
          <w:tcPr>
            <w:tcW w:w="120" w:type="dxa"/>
            <w:vAlign w:val="bottom"/>
            <w:tcBorders>
              <w:top w:val="single" w:sz="8" w:color="EBFBFF"/>
              <w:bottom w:val="single" w:sz="8" w:color="EBFBFF"/>
              <w:right w:val="single" w:sz="8" w:color="EBFBFF"/>
            </w:tcBorders>
            <w:shd w:val="clear" w:color="auto" w:fill="EBFBFF"/>
          </w:tcPr>
          <w:p>
            <w:pPr>
              <w:spacing w:after="0"/>
              <w:rPr>
                <w:sz w:val="18"/>
                <w:szCs w:val="18"/>
                <w:color w:val="auto"/>
              </w:rPr>
            </w:pPr>
          </w:p>
        </w:tc>
        <w:tc>
          <w:tcPr>
            <w:tcW w:w="220" w:type="dxa"/>
            <w:vAlign w:val="bottom"/>
            <w:tcBorders>
              <w:top w:val="single" w:sz="8" w:color="004054"/>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w w:val="76"/>
              </w:rPr>
              <w:t>$</w:t>
            </w:r>
          </w:p>
        </w:tc>
        <w:tc>
          <w:tcPr>
            <w:tcW w:w="960" w:type="dxa"/>
            <w:vAlign w:val="bottom"/>
            <w:tcBorders>
              <w:top w:val="single" w:sz="8" w:color="004054"/>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532.8</w:t>
            </w:r>
          </w:p>
        </w:tc>
        <w:tc>
          <w:tcPr>
            <w:tcW w:w="240" w:type="dxa"/>
            <w:vAlign w:val="bottom"/>
            <w:tcBorders>
              <w:top w:val="single" w:sz="8" w:color="004054"/>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top w:val="single" w:sz="8" w:color="004054"/>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522.1</w:t>
            </w:r>
          </w:p>
        </w:tc>
        <w:tc>
          <w:tcPr>
            <w:tcW w:w="100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2.1 %</w:t>
            </w:r>
          </w:p>
        </w:tc>
      </w:tr>
      <w:tr>
        <w:trPr>
          <w:trHeight w:val="48"/>
        </w:trPr>
        <w:tc>
          <w:tcPr>
            <w:tcW w:w="20" w:type="dxa"/>
            <w:vAlign w:val="bottom"/>
          </w:tcPr>
          <w:p>
            <w:pPr>
              <w:spacing w:after="0"/>
              <w:rPr>
                <w:sz w:val="4"/>
                <w:szCs w:val="4"/>
                <w:color w:val="auto"/>
              </w:rPr>
            </w:pPr>
          </w:p>
        </w:tc>
        <w:tc>
          <w:tcPr>
            <w:tcW w:w="4340" w:type="dxa"/>
            <w:vAlign w:val="bottom"/>
            <w:tcBorders>
              <w:top w:val="single" w:sz="8" w:color="EBFBFF"/>
            </w:tcBorders>
          </w:tcPr>
          <w:p>
            <w:pPr>
              <w:spacing w:after="0"/>
              <w:rPr>
                <w:sz w:val="4"/>
                <w:szCs w:val="4"/>
                <w:color w:val="auto"/>
              </w:rPr>
            </w:pPr>
          </w:p>
        </w:tc>
        <w:tc>
          <w:tcPr>
            <w:tcW w:w="240" w:type="dxa"/>
            <w:vAlign w:val="bottom"/>
            <w:tcBorders>
              <w:top w:val="single" w:sz="8" w:color="51555C"/>
            </w:tcBorders>
          </w:tcPr>
          <w:p>
            <w:pPr>
              <w:spacing w:after="0"/>
              <w:rPr>
                <w:sz w:val="4"/>
                <w:szCs w:val="4"/>
                <w:color w:val="auto"/>
              </w:rPr>
            </w:pPr>
          </w:p>
        </w:tc>
        <w:tc>
          <w:tcPr>
            <w:tcW w:w="940" w:type="dxa"/>
            <w:vAlign w:val="bottom"/>
            <w:tcBorders>
              <w:top w:val="single" w:sz="8" w:color="51555C"/>
            </w:tcBorders>
          </w:tcPr>
          <w:p>
            <w:pPr>
              <w:spacing w:after="0"/>
              <w:rPr>
                <w:sz w:val="4"/>
                <w:szCs w:val="4"/>
                <w:color w:val="auto"/>
              </w:rPr>
            </w:pPr>
          </w:p>
        </w:tc>
        <w:tc>
          <w:tcPr>
            <w:tcW w:w="240" w:type="dxa"/>
            <w:vAlign w:val="bottom"/>
            <w:tcBorders>
              <w:top w:val="single" w:sz="8" w:color="51555C"/>
            </w:tcBorders>
          </w:tcPr>
          <w:p>
            <w:pPr>
              <w:spacing w:after="0"/>
              <w:rPr>
                <w:sz w:val="4"/>
                <w:szCs w:val="4"/>
                <w:color w:val="auto"/>
              </w:rPr>
            </w:pPr>
          </w:p>
        </w:tc>
        <w:tc>
          <w:tcPr>
            <w:tcW w:w="960" w:type="dxa"/>
            <w:vAlign w:val="bottom"/>
            <w:tcBorders>
              <w:top w:val="single" w:sz="8" w:color="51555C"/>
            </w:tcBorders>
          </w:tcPr>
          <w:p>
            <w:pPr>
              <w:spacing w:after="0"/>
              <w:rPr>
                <w:sz w:val="4"/>
                <w:szCs w:val="4"/>
                <w:color w:val="auto"/>
              </w:rPr>
            </w:pPr>
          </w:p>
        </w:tc>
        <w:tc>
          <w:tcPr>
            <w:tcW w:w="1000" w:type="dxa"/>
            <w:vAlign w:val="bottom"/>
            <w:tcBorders>
              <w:top w:val="single" w:sz="8" w:color="EBFBFF"/>
            </w:tcBorders>
          </w:tcPr>
          <w:p>
            <w:pPr>
              <w:spacing w:after="0"/>
              <w:rPr>
                <w:sz w:val="4"/>
                <w:szCs w:val="4"/>
                <w:color w:val="auto"/>
              </w:rPr>
            </w:pPr>
          </w:p>
        </w:tc>
        <w:tc>
          <w:tcPr>
            <w:tcW w:w="120" w:type="dxa"/>
            <w:vAlign w:val="bottom"/>
            <w:tcBorders>
              <w:top w:val="single" w:sz="8" w:color="EBFBFF"/>
            </w:tcBorders>
          </w:tcPr>
          <w:p>
            <w:pPr>
              <w:spacing w:after="0"/>
              <w:rPr>
                <w:sz w:val="4"/>
                <w:szCs w:val="4"/>
                <w:color w:val="auto"/>
              </w:rPr>
            </w:pPr>
          </w:p>
        </w:tc>
        <w:tc>
          <w:tcPr>
            <w:tcW w:w="220" w:type="dxa"/>
            <w:vAlign w:val="bottom"/>
            <w:tcBorders>
              <w:top w:val="single" w:sz="8" w:color="51555C"/>
            </w:tcBorders>
          </w:tcPr>
          <w:p>
            <w:pPr>
              <w:spacing w:after="0"/>
              <w:rPr>
                <w:sz w:val="4"/>
                <w:szCs w:val="4"/>
                <w:color w:val="auto"/>
              </w:rPr>
            </w:pPr>
          </w:p>
        </w:tc>
        <w:tc>
          <w:tcPr>
            <w:tcW w:w="960" w:type="dxa"/>
            <w:vAlign w:val="bottom"/>
            <w:tcBorders>
              <w:top w:val="single" w:sz="8" w:color="51555C"/>
            </w:tcBorders>
          </w:tcPr>
          <w:p>
            <w:pPr>
              <w:spacing w:after="0"/>
              <w:rPr>
                <w:sz w:val="4"/>
                <w:szCs w:val="4"/>
                <w:color w:val="auto"/>
              </w:rPr>
            </w:pPr>
          </w:p>
        </w:tc>
        <w:tc>
          <w:tcPr>
            <w:tcW w:w="240" w:type="dxa"/>
            <w:vAlign w:val="bottom"/>
            <w:tcBorders>
              <w:top w:val="single" w:sz="8" w:color="51555C"/>
            </w:tcBorders>
          </w:tcPr>
          <w:p>
            <w:pPr>
              <w:spacing w:after="0"/>
              <w:rPr>
                <w:sz w:val="4"/>
                <w:szCs w:val="4"/>
                <w:color w:val="auto"/>
              </w:rPr>
            </w:pPr>
          </w:p>
        </w:tc>
        <w:tc>
          <w:tcPr>
            <w:tcW w:w="960" w:type="dxa"/>
            <w:vAlign w:val="bottom"/>
            <w:tcBorders>
              <w:top w:val="single" w:sz="8" w:color="51555C"/>
            </w:tcBorders>
          </w:tcPr>
          <w:p>
            <w:pPr>
              <w:spacing w:after="0"/>
              <w:rPr>
                <w:sz w:val="4"/>
                <w:szCs w:val="4"/>
                <w:color w:val="auto"/>
              </w:rPr>
            </w:pPr>
          </w:p>
        </w:tc>
        <w:tc>
          <w:tcPr>
            <w:tcW w:w="1000" w:type="dxa"/>
            <w:vAlign w:val="bottom"/>
            <w:tcBorders>
              <w:top w:val="single" w:sz="8" w:color="EBFBFF"/>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proft</w:t>
            </w:r>
          </w:p>
        </w:tc>
        <w:tc>
          <w:tcPr>
            <w:tcW w:w="2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149.6</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139.3</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7.4 %</w:t>
            </w:r>
          </w:p>
        </w:tc>
        <w:tc>
          <w:tcPr>
            <w:tcW w:w="340" w:type="dxa"/>
            <w:vAlign w:val="bottom"/>
            <w:tcBorders>
              <w:bottom w:val="single" w:sz="8" w:color="EBFBFF"/>
            </w:tcBorders>
            <w:gridSpan w:val="2"/>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288.2</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273.1</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5.5 %</w:t>
            </w:r>
          </w:p>
        </w:tc>
      </w:tr>
      <w:tr>
        <w:trPr>
          <w:trHeight w:val="184"/>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b w:val="1"/>
                <w:bCs w:val="1"/>
                <w:color w:val="51555C"/>
              </w:rPr>
              <w:t>GAAP gross margin</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51555C"/>
              </w:rPr>
              <w:t>55.2 %</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52.6 %</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54.1 %</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52.3 %</w:t>
            </w:r>
          </w:p>
        </w:tc>
        <w:tc>
          <w:tcPr>
            <w:tcW w:w="1000" w:type="dxa"/>
            <w:vAlign w:val="bottom"/>
          </w:tcPr>
          <w:p>
            <w:pPr>
              <w:spacing w:after="0"/>
              <w:rPr>
                <w:sz w:val="15"/>
                <w:szCs w:val="15"/>
                <w:color w:val="auto"/>
              </w:rPr>
            </w:pPr>
          </w:p>
        </w:tc>
      </w:tr>
      <w:tr>
        <w:trPr>
          <w:trHeight w:val="46"/>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4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spacing w:after="0"/>
              <w:rPr>
                <w:sz w:val="18"/>
                <w:szCs w:val="18"/>
                <w:color w:val="auto"/>
              </w:rPr>
            </w:pP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right w:val="single" w:sz="8" w:color="EBFBFF"/>
            </w:tcBorders>
            <w:shd w:val="clear" w:color="auto" w:fill="EBFBFF"/>
          </w:tcPr>
          <w:p>
            <w:pPr>
              <w:spacing w:after="0"/>
              <w:rPr>
                <w:sz w:val="18"/>
                <w:szCs w:val="18"/>
                <w:color w:val="auto"/>
              </w:rPr>
            </w:pP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Add: Stock-based compensaton expense</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4.1</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3.8</w:t>
            </w:r>
          </w:p>
        </w:tc>
        <w:tc>
          <w:tcPr>
            <w:tcW w:w="1000" w:type="dxa"/>
            <w:vAlign w:val="bottom"/>
          </w:tcPr>
          <w:p>
            <w:pPr>
              <w:jc w:val="right"/>
              <w:spacing w:after="0"/>
              <w:rPr>
                <w:sz w:val="20"/>
                <w:szCs w:val="20"/>
                <w:color w:val="auto"/>
              </w:rPr>
            </w:pPr>
            <w:r>
              <w:rPr>
                <w:rFonts w:ascii="Arial" w:cs="Arial" w:eastAsia="Arial" w:hAnsi="Arial"/>
                <w:sz w:val="14"/>
                <w:szCs w:val="14"/>
                <w:color w:val="51555C"/>
              </w:rPr>
              <w:t>10.1 %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8.1</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7.9</w:t>
            </w:r>
          </w:p>
        </w:tc>
        <w:tc>
          <w:tcPr>
            <w:tcW w:w="1000" w:type="dxa"/>
            <w:vAlign w:val="bottom"/>
          </w:tcPr>
          <w:p>
            <w:pPr>
              <w:jc w:val="right"/>
              <w:spacing w:after="0"/>
              <w:rPr>
                <w:sz w:val="20"/>
                <w:szCs w:val="20"/>
                <w:color w:val="auto"/>
              </w:rPr>
            </w:pPr>
            <w:r>
              <w:rPr>
                <w:rFonts w:ascii="Arial" w:cs="Arial" w:eastAsia="Arial" w:hAnsi="Arial"/>
                <w:sz w:val="14"/>
                <w:szCs w:val="14"/>
                <w:color w:val="51555C"/>
              </w:rPr>
              <w:t>2.3 %</w:t>
            </w:r>
          </w:p>
        </w:tc>
      </w:tr>
      <w:tr>
        <w:trPr>
          <w:trHeight w:val="48"/>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Amortzaton of intangibles from business combinatons</w:t>
            </w:r>
          </w:p>
        </w:tc>
        <w:tc>
          <w:tcPr>
            <w:tcW w:w="24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13.1</w:t>
            </w: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12.4</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5.9 %</w:t>
            </w: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26.2</w:t>
            </w: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24.9</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5.4 %</w:t>
            </w: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Add: Employee severance</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0.1</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0.4</w:t>
            </w:r>
          </w:p>
        </w:tc>
        <w:tc>
          <w:tcPr>
            <w:tcW w:w="1000" w:type="dxa"/>
            <w:vAlign w:val="bottom"/>
          </w:tcPr>
          <w:p>
            <w:pPr>
              <w:jc w:val="right"/>
              <w:spacing w:after="0"/>
              <w:rPr>
                <w:sz w:val="20"/>
                <w:szCs w:val="20"/>
                <w:color w:val="auto"/>
              </w:rPr>
            </w:pPr>
            <w:r>
              <w:rPr>
                <w:rFonts w:ascii="Arial" w:cs="Arial" w:eastAsia="Arial" w:hAnsi="Arial"/>
                <w:sz w:val="14"/>
                <w:szCs w:val="14"/>
                <w:color w:val="51555C"/>
              </w:rPr>
              <w:t>(85.8)%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0.8</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0.4</w:t>
            </w:r>
          </w:p>
        </w:tc>
        <w:tc>
          <w:tcPr>
            <w:tcW w:w="1000" w:type="dxa"/>
            <w:vAlign w:val="bottom"/>
          </w:tcPr>
          <w:p>
            <w:pPr>
              <w:jc w:val="right"/>
              <w:spacing w:after="0"/>
              <w:rPr>
                <w:sz w:val="20"/>
                <w:szCs w:val="20"/>
                <w:color w:val="auto"/>
              </w:rPr>
            </w:pPr>
            <w:r>
              <w:rPr>
                <w:rFonts w:ascii="Arial" w:cs="Arial" w:eastAsia="Arial" w:hAnsi="Arial"/>
                <w:sz w:val="14"/>
                <w:szCs w:val="14"/>
                <w:color w:val="51555C"/>
              </w:rPr>
              <w:t>109.2 %</w:t>
            </w:r>
          </w:p>
        </w:tc>
      </w:tr>
      <w:tr>
        <w:trPr>
          <w:trHeight w:val="34"/>
        </w:trPr>
        <w:tc>
          <w:tcPr>
            <w:tcW w:w="20" w:type="dxa"/>
            <w:vAlign w:val="bottom"/>
          </w:tcPr>
          <w:p>
            <w:pPr>
              <w:spacing w:after="0"/>
              <w:rPr>
                <w:sz w:val="2"/>
                <w:szCs w:val="2"/>
                <w:color w:val="auto"/>
              </w:rPr>
            </w:pPr>
          </w:p>
        </w:tc>
        <w:tc>
          <w:tcPr>
            <w:tcW w:w="4340" w:type="dxa"/>
            <w:vAlign w:val="bottom"/>
            <w:tcBorders>
              <w:bottom w:val="single" w:sz="8" w:color="EBFBFF"/>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1000" w:type="dxa"/>
            <w:vAlign w:val="bottom"/>
            <w:tcBorders>
              <w:bottom w:val="single" w:sz="8" w:color="EBFBFF"/>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1000" w:type="dxa"/>
            <w:vAlign w:val="bottom"/>
            <w:tcBorders>
              <w:bottom w:val="single" w:sz="8" w:color="EBFBFF"/>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BFBFF"/>
          </w:tcPr>
          <w:p>
            <w:pPr>
              <w:ind w:left="22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40" w:type="dxa"/>
            <w:vAlign w:val="bottom"/>
            <w:tcBorders>
              <w:bottom w:val="single" w:sz="8" w:color="51555C"/>
            </w:tcBorders>
            <w:shd w:val="clear" w:color="auto" w:fill="EBFBFF"/>
          </w:tcPr>
          <w:p>
            <w:pPr>
              <w:spacing w:after="0"/>
              <w:rPr>
                <w:sz w:val="19"/>
                <w:szCs w:val="19"/>
                <w:color w:val="auto"/>
              </w:rPr>
            </w:pPr>
          </w:p>
        </w:tc>
        <w:tc>
          <w:tcPr>
            <w:tcW w:w="94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17.3</w:t>
            </w:r>
          </w:p>
        </w:tc>
        <w:tc>
          <w:tcPr>
            <w:tcW w:w="24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16.5</w:t>
            </w:r>
          </w:p>
        </w:tc>
        <w:tc>
          <w:tcPr>
            <w:tcW w:w="10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4.7 %</w:t>
            </w:r>
          </w:p>
        </w:tc>
        <w:tc>
          <w:tcPr>
            <w:tcW w:w="120" w:type="dxa"/>
            <w:vAlign w:val="bottom"/>
            <w:tcBorders>
              <w:right w:val="single" w:sz="8" w:color="EBFBFF"/>
            </w:tcBorders>
            <w:shd w:val="clear" w:color="auto" w:fill="EBFBFF"/>
          </w:tcPr>
          <w:p>
            <w:pPr>
              <w:spacing w:after="0"/>
              <w:rPr>
                <w:sz w:val="19"/>
                <w:szCs w:val="19"/>
                <w:color w:val="auto"/>
              </w:rPr>
            </w:pPr>
          </w:p>
        </w:tc>
        <w:tc>
          <w:tcPr>
            <w:tcW w:w="22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35.1</w:t>
            </w:r>
          </w:p>
        </w:tc>
        <w:tc>
          <w:tcPr>
            <w:tcW w:w="24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33.2</w:t>
            </w:r>
          </w:p>
        </w:tc>
        <w:tc>
          <w:tcPr>
            <w:tcW w:w="10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5.9 %</w:t>
            </w:r>
          </w:p>
        </w:tc>
      </w:tr>
      <w:tr>
        <w:trPr>
          <w:trHeight w:val="220"/>
        </w:trPr>
        <w:tc>
          <w:tcPr>
            <w:tcW w:w="20" w:type="dxa"/>
            <w:vAlign w:val="bottom"/>
          </w:tcPr>
          <w:p>
            <w:pPr>
              <w:spacing w:after="0"/>
              <w:rPr>
                <w:sz w:val="19"/>
                <w:szCs w:val="19"/>
                <w:color w:val="auto"/>
              </w:rPr>
            </w:pPr>
          </w:p>
        </w:tc>
        <w:tc>
          <w:tcPr>
            <w:tcW w:w="434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gross proft</w:t>
            </w:r>
            <w:r>
              <w:rPr>
                <w:rFonts w:ascii="Arial" w:cs="Arial" w:eastAsia="Arial" w:hAnsi="Arial"/>
                <w:sz w:val="18"/>
                <w:szCs w:val="18"/>
                <w:b w:val="1"/>
                <w:bCs w:val="1"/>
                <w:color w:val="51555C"/>
                <w:vertAlign w:val="superscript"/>
              </w:rPr>
              <w:t>(1)</w:t>
            </w:r>
          </w:p>
        </w:tc>
        <w:tc>
          <w:tcPr>
            <w:tcW w:w="24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166.9</w:t>
            </w:r>
          </w:p>
        </w:tc>
        <w:tc>
          <w:tcPr>
            <w:tcW w:w="24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155.9</w:t>
            </w:r>
          </w:p>
        </w:tc>
        <w:tc>
          <w:tcPr>
            <w:tcW w:w="100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7.1 %</w:t>
            </w:r>
          </w:p>
        </w:tc>
        <w:tc>
          <w:tcPr>
            <w:tcW w:w="120" w:type="dxa"/>
            <w:vAlign w:val="bottom"/>
            <w:tcBorders>
              <w:bottom w:val="single" w:sz="8" w:color="EBFBFF"/>
            </w:tcBorders>
          </w:tcPr>
          <w:p>
            <w:pPr>
              <w:spacing w:after="0"/>
              <w:rPr>
                <w:sz w:val="19"/>
                <w:szCs w:val="19"/>
                <w:color w:val="auto"/>
              </w:rPr>
            </w:pPr>
          </w:p>
        </w:tc>
        <w:tc>
          <w:tcPr>
            <w:tcW w:w="22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w w:val="76"/>
              </w:rPr>
              <w:t>$</w:t>
            </w:r>
          </w:p>
        </w:tc>
        <w:tc>
          <w:tcPr>
            <w:tcW w:w="96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323.3</w:t>
            </w:r>
          </w:p>
        </w:tc>
        <w:tc>
          <w:tcPr>
            <w:tcW w:w="24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306.3</w:t>
            </w:r>
          </w:p>
        </w:tc>
        <w:tc>
          <w:tcPr>
            <w:tcW w:w="100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5.6 %</w:t>
            </w:r>
          </w:p>
        </w:tc>
      </w:tr>
      <w:tr>
        <w:trPr>
          <w:trHeight w:val="192"/>
        </w:trPr>
        <w:tc>
          <w:tcPr>
            <w:tcW w:w="20" w:type="dxa"/>
            <w:vAlign w:val="bottom"/>
          </w:tcPr>
          <w:p>
            <w:pPr>
              <w:spacing w:after="0"/>
              <w:rPr>
                <w:sz w:val="16"/>
                <w:szCs w:val="16"/>
                <w:color w:val="auto"/>
              </w:rPr>
            </w:pPr>
          </w:p>
        </w:tc>
        <w:tc>
          <w:tcPr>
            <w:tcW w:w="43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b w:val="1"/>
                <w:bCs w:val="1"/>
                <w:color w:val="51555C"/>
              </w:rPr>
              <w:t>Non-GAAP gross margin</w:t>
            </w:r>
          </w:p>
        </w:tc>
        <w:tc>
          <w:tcPr>
            <w:tcW w:w="240" w:type="dxa"/>
            <w:vAlign w:val="bottom"/>
            <w:tcBorders>
              <w:bottom w:val="single" w:sz="8" w:color="EBFBFF"/>
            </w:tcBorders>
            <w:shd w:val="clear" w:color="auto" w:fill="EBFBFF"/>
          </w:tcPr>
          <w:p>
            <w:pPr>
              <w:spacing w:after="0"/>
              <w:rPr>
                <w:sz w:val="16"/>
                <w:szCs w:val="16"/>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61.6 %</w:t>
            </w:r>
          </w:p>
        </w:tc>
        <w:tc>
          <w:tcPr>
            <w:tcW w:w="24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58.8 %</w:t>
            </w:r>
          </w:p>
        </w:tc>
        <w:tc>
          <w:tcPr>
            <w:tcW w:w="1000" w:type="dxa"/>
            <w:vAlign w:val="bottom"/>
            <w:tcBorders>
              <w:bottom w:val="single" w:sz="8" w:color="EBFBFF"/>
              <w:right w:val="single" w:sz="8" w:color="EBFBFF"/>
            </w:tcBorders>
            <w:shd w:val="clear" w:color="auto" w:fill="EBFBFF"/>
          </w:tcPr>
          <w:p>
            <w:pPr>
              <w:spacing w:after="0"/>
              <w:rPr>
                <w:sz w:val="16"/>
                <w:szCs w:val="16"/>
                <w:color w:val="auto"/>
              </w:rPr>
            </w:pPr>
          </w:p>
        </w:tc>
        <w:tc>
          <w:tcPr>
            <w:tcW w:w="120" w:type="dxa"/>
            <w:vAlign w:val="bottom"/>
            <w:tcBorders>
              <w:bottom w:val="single" w:sz="8" w:color="EBFBFF"/>
              <w:right w:val="single" w:sz="8" w:color="EBFBFF"/>
            </w:tcBorders>
            <w:shd w:val="clear" w:color="auto" w:fill="EBFBFF"/>
          </w:tcPr>
          <w:p>
            <w:pPr>
              <w:spacing w:after="0"/>
              <w:rPr>
                <w:sz w:val="16"/>
                <w:szCs w:val="16"/>
                <w:color w:val="auto"/>
              </w:rPr>
            </w:pPr>
          </w:p>
        </w:tc>
        <w:tc>
          <w:tcPr>
            <w:tcW w:w="22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60.7 %</w:t>
            </w:r>
          </w:p>
        </w:tc>
        <w:tc>
          <w:tcPr>
            <w:tcW w:w="240" w:type="dxa"/>
            <w:vAlign w:val="bottom"/>
            <w:tcBorders>
              <w:bottom w:val="single" w:sz="8" w:color="EBFBFF"/>
            </w:tcBorders>
            <w:shd w:val="clear" w:color="auto" w:fill="EBFBFF"/>
          </w:tcPr>
          <w:p>
            <w:pPr>
              <w:spacing w:after="0"/>
              <w:rPr>
                <w:sz w:val="16"/>
                <w:szCs w:val="16"/>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58.7 %</w:t>
            </w:r>
          </w:p>
        </w:tc>
        <w:tc>
          <w:tcPr>
            <w:tcW w:w="1000" w:type="dxa"/>
            <w:vAlign w:val="bottom"/>
            <w:tcBorders>
              <w:bottom w:val="single" w:sz="8" w:color="EBFBFF"/>
            </w:tcBorders>
            <w:shd w:val="clear" w:color="auto" w:fill="EBFBFF"/>
          </w:tcPr>
          <w:p>
            <w:pPr>
              <w:spacing w:after="0"/>
              <w:rPr>
                <w:sz w:val="16"/>
                <w:szCs w:val="16"/>
                <w:color w:val="auto"/>
              </w:rPr>
            </w:pPr>
          </w:p>
        </w:tc>
      </w:tr>
      <w:tr>
        <w:trPr>
          <w:trHeight w:val="54"/>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income (loss) from operatons</w:t>
            </w:r>
          </w:p>
        </w:tc>
        <w:tc>
          <w:tcPr>
            <w:tcW w:w="2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0.3</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0.1</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444.4 %</w:t>
            </w:r>
          </w:p>
        </w:tc>
        <w:tc>
          <w:tcPr>
            <w:tcW w:w="340" w:type="dxa"/>
            <w:vAlign w:val="bottom"/>
            <w:tcBorders>
              <w:bottom w:val="single" w:sz="8" w:color="EBFBFF"/>
            </w:tcBorders>
            <w:gridSpan w:val="2"/>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48"/>
              <w:spacing w:after="0"/>
              <w:rPr>
                <w:sz w:val="20"/>
                <w:szCs w:val="20"/>
                <w:color w:val="auto"/>
              </w:rPr>
            </w:pPr>
            <w:r>
              <w:rPr>
                <w:rFonts w:ascii="Arial" w:cs="Arial" w:eastAsia="Arial" w:hAnsi="Arial"/>
                <w:sz w:val="14"/>
                <w:szCs w:val="14"/>
                <w:color w:val="51555C"/>
              </w:rPr>
              <w:t>(9.7)</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48"/>
              <w:spacing w:after="0"/>
              <w:rPr>
                <w:sz w:val="20"/>
                <w:szCs w:val="20"/>
                <w:color w:val="auto"/>
              </w:rPr>
            </w:pPr>
            <w:r>
              <w:rPr>
                <w:rFonts w:ascii="Arial" w:cs="Arial" w:eastAsia="Arial" w:hAnsi="Arial"/>
                <w:sz w:val="14"/>
                <w:szCs w:val="14"/>
                <w:color w:val="51555C"/>
              </w:rPr>
              <w:t>(5.9)</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62.9 %</w:t>
            </w:r>
          </w:p>
        </w:tc>
      </w:tr>
      <w:tr>
        <w:trPr>
          <w:trHeight w:val="184"/>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b w:val="1"/>
                <w:bCs w:val="1"/>
                <w:color w:val="51555C"/>
              </w:rPr>
              <w:t>GAAP operatng margin</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51555C"/>
              </w:rPr>
              <w:t>0.1 %</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 %</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(1.8)%</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51555C"/>
              </w:rPr>
              <w:t>(1.1)%</w:t>
            </w:r>
          </w:p>
        </w:tc>
        <w:tc>
          <w:tcPr>
            <w:tcW w:w="1000" w:type="dxa"/>
            <w:vAlign w:val="bottom"/>
          </w:tcPr>
          <w:p>
            <w:pPr>
              <w:spacing w:after="0"/>
              <w:rPr>
                <w:sz w:val="15"/>
                <w:szCs w:val="15"/>
                <w:color w:val="auto"/>
              </w:rPr>
            </w:pPr>
          </w:p>
        </w:tc>
      </w:tr>
      <w:tr>
        <w:trPr>
          <w:trHeight w:val="46"/>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4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spacing w:after="0"/>
              <w:rPr>
                <w:sz w:val="18"/>
                <w:szCs w:val="18"/>
                <w:color w:val="auto"/>
              </w:rPr>
            </w:pP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right w:val="single" w:sz="8" w:color="EBFBFF"/>
            </w:tcBorders>
            <w:shd w:val="clear" w:color="auto" w:fill="EBFBFF"/>
          </w:tcPr>
          <w:p>
            <w:pPr>
              <w:spacing w:after="0"/>
              <w:rPr>
                <w:sz w:val="18"/>
                <w:szCs w:val="18"/>
                <w:color w:val="auto"/>
              </w:rPr>
            </w:pP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Add: Stock-based compensaton expense</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33.4</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27.9</w:t>
            </w:r>
          </w:p>
        </w:tc>
        <w:tc>
          <w:tcPr>
            <w:tcW w:w="1000" w:type="dxa"/>
            <w:vAlign w:val="bottom"/>
          </w:tcPr>
          <w:p>
            <w:pPr>
              <w:jc w:val="right"/>
              <w:spacing w:after="0"/>
              <w:rPr>
                <w:sz w:val="20"/>
                <w:szCs w:val="20"/>
                <w:color w:val="auto"/>
              </w:rPr>
            </w:pPr>
            <w:r>
              <w:rPr>
                <w:rFonts w:ascii="Arial" w:cs="Arial" w:eastAsia="Arial" w:hAnsi="Arial"/>
                <w:sz w:val="14"/>
                <w:szCs w:val="14"/>
                <w:color w:val="51555C"/>
              </w:rPr>
              <w:t>19.8 %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63.3</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55.7</w:t>
            </w:r>
          </w:p>
        </w:tc>
        <w:tc>
          <w:tcPr>
            <w:tcW w:w="1000" w:type="dxa"/>
            <w:vAlign w:val="bottom"/>
          </w:tcPr>
          <w:p>
            <w:pPr>
              <w:jc w:val="right"/>
              <w:spacing w:after="0"/>
              <w:rPr>
                <w:sz w:val="20"/>
                <w:szCs w:val="20"/>
                <w:color w:val="auto"/>
              </w:rPr>
            </w:pPr>
            <w:r>
              <w:rPr>
                <w:rFonts w:ascii="Arial" w:cs="Arial" w:eastAsia="Arial" w:hAnsi="Arial"/>
                <w:sz w:val="14"/>
                <w:szCs w:val="14"/>
                <w:color w:val="51555C"/>
              </w:rPr>
              <w:t>13.6 %</w:t>
            </w:r>
          </w:p>
        </w:tc>
      </w:tr>
      <w:tr>
        <w:trPr>
          <w:trHeight w:val="48"/>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Amortzaton of intangibles from business combinatons</w:t>
            </w:r>
          </w:p>
        </w:tc>
        <w:tc>
          <w:tcPr>
            <w:tcW w:w="240" w:type="dxa"/>
            <w:vAlign w:val="bottom"/>
            <w:tcBorders>
              <w:bottom w:val="single" w:sz="8" w:color="EBFBFF"/>
            </w:tcBorders>
            <w:shd w:val="clear" w:color="auto" w:fill="EBFBFF"/>
          </w:tcPr>
          <w:p>
            <w:pPr>
              <w:spacing w:after="0"/>
              <w:rPr>
                <w:sz w:val="17"/>
                <w:szCs w:val="17"/>
                <w:color w:val="auto"/>
              </w:rPr>
            </w:pP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13.9</w:t>
            </w:r>
          </w:p>
        </w:tc>
        <w:tc>
          <w:tcPr>
            <w:tcW w:w="24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13.2</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5.4 %</w:t>
            </w:r>
          </w:p>
        </w:tc>
        <w:tc>
          <w:tcPr>
            <w:tcW w:w="120" w:type="dxa"/>
            <w:vAlign w:val="bottom"/>
            <w:tcBorders>
              <w:bottom w:val="single" w:sz="8" w:color="EBFBFF"/>
              <w:right w:val="single" w:sz="8" w:color="EBFBFF"/>
            </w:tcBorders>
            <w:shd w:val="clear" w:color="auto" w:fill="EBFBFF"/>
          </w:tcPr>
          <w:p>
            <w:pPr>
              <w:spacing w:after="0"/>
              <w:rPr>
                <w:sz w:val="17"/>
                <w:szCs w:val="17"/>
                <w:color w:val="auto"/>
              </w:rPr>
            </w:pPr>
          </w:p>
        </w:tc>
        <w:tc>
          <w:tcPr>
            <w:tcW w:w="22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27.8</w:t>
            </w:r>
          </w:p>
        </w:tc>
        <w:tc>
          <w:tcPr>
            <w:tcW w:w="24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26.5</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4.9 %</w:t>
            </w: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Add: Employee severance</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0.6</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0.5</w:t>
            </w:r>
          </w:p>
        </w:tc>
        <w:tc>
          <w:tcPr>
            <w:tcW w:w="1000" w:type="dxa"/>
            <w:vAlign w:val="bottom"/>
          </w:tcPr>
          <w:p>
            <w:pPr>
              <w:jc w:val="right"/>
              <w:spacing w:after="0"/>
              <w:rPr>
                <w:sz w:val="20"/>
                <w:szCs w:val="20"/>
                <w:color w:val="auto"/>
              </w:rPr>
            </w:pPr>
            <w:r>
              <w:rPr>
                <w:rFonts w:ascii="Arial" w:cs="Arial" w:eastAsia="Arial" w:hAnsi="Arial"/>
                <w:sz w:val="14"/>
                <w:szCs w:val="14"/>
                <w:color w:val="51555C"/>
              </w:rPr>
              <w:t>36.8 %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5.0</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0.5</w:t>
            </w:r>
          </w:p>
        </w:tc>
        <w:tc>
          <w:tcPr>
            <w:tcW w:w="1000" w:type="dxa"/>
            <w:vAlign w:val="bottom"/>
          </w:tcPr>
          <w:p>
            <w:pPr>
              <w:jc w:val="right"/>
              <w:spacing w:after="0"/>
              <w:rPr>
                <w:sz w:val="20"/>
                <w:szCs w:val="20"/>
                <w:color w:val="auto"/>
              </w:rPr>
            </w:pPr>
            <w:r>
              <w:rPr>
                <w:rFonts w:ascii="Arial" w:cs="Arial" w:eastAsia="Arial" w:hAnsi="Arial"/>
                <w:sz w:val="14"/>
                <w:szCs w:val="14"/>
                <w:color w:val="51555C"/>
              </w:rPr>
              <w:t>972.3 %</w:t>
            </w:r>
          </w:p>
        </w:tc>
      </w:tr>
      <w:tr>
        <w:trPr>
          <w:trHeight w:val="48"/>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Add: Acquisiton and dispositon-related costs</w:t>
            </w:r>
            <w:r>
              <w:rPr>
                <w:rFonts w:ascii="Arial" w:cs="Arial" w:eastAsia="Arial" w:hAnsi="Arial"/>
                <w:sz w:val="18"/>
                <w:szCs w:val="18"/>
                <w:color w:val="51555C"/>
                <w:vertAlign w:val="superscript"/>
              </w:rPr>
              <w:t>(2)</w:t>
            </w:r>
          </w:p>
        </w:tc>
        <w:tc>
          <w:tcPr>
            <w:tcW w:w="240" w:type="dxa"/>
            <w:vAlign w:val="bottom"/>
            <w:shd w:val="clear" w:color="auto" w:fill="EBFBFF"/>
          </w:tcPr>
          <w:p>
            <w:pPr>
              <w:spacing w:after="0"/>
              <w:rPr>
                <w:sz w:val="19"/>
                <w:szCs w:val="19"/>
                <w:color w:val="auto"/>
              </w:rPr>
            </w:pPr>
          </w:p>
        </w:tc>
        <w:tc>
          <w:tcPr>
            <w:tcW w:w="94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(0.8)</w:t>
            </w:r>
          </w:p>
        </w:tc>
        <w:tc>
          <w:tcPr>
            <w:tcW w:w="240" w:type="dxa"/>
            <w:vAlign w:val="bottom"/>
            <w:shd w:val="clear" w:color="auto" w:fill="EBFBFF"/>
          </w:tcPr>
          <w:p>
            <w:pPr>
              <w:spacing w:after="0"/>
              <w:rPr>
                <w:sz w:val="19"/>
                <w:szCs w:val="19"/>
                <w:color w:val="auto"/>
              </w:rPr>
            </w:pPr>
          </w:p>
        </w:tc>
        <w:tc>
          <w:tcPr>
            <w:tcW w:w="96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2.3</w:t>
            </w:r>
          </w:p>
        </w:tc>
        <w:tc>
          <w:tcPr>
            <w:tcW w:w="10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(137.0)%</w:t>
            </w:r>
          </w:p>
        </w:tc>
        <w:tc>
          <w:tcPr>
            <w:tcW w:w="120" w:type="dxa"/>
            <w:vAlign w:val="bottom"/>
            <w:tcBorders>
              <w:right w:val="single" w:sz="8" w:color="EBFBFF"/>
            </w:tcBorders>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96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(0.2)</w:t>
            </w:r>
          </w:p>
        </w:tc>
        <w:tc>
          <w:tcPr>
            <w:tcW w:w="240" w:type="dxa"/>
            <w:vAlign w:val="bottom"/>
            <w:shd w:val="clear" w:color="auto" w:fill="EBFBFF"/>
          </w:tcPr>
          <w:p>
            <w:pPr>
              <w:spacing w:after="0"/>
              <w:rPr>
                <w:sz w:val="19"/>
                <w:szCs w:val="19"/>
                <w:color w:val="auto"/>
              </w:rPr>
            </w:pPr>
          </w:p>
        </w:tc>
        <w:tc>
          <w:tcPr>
            <w:tcW w:w="9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3.2</w:t>
            </w:r>
          </w:p>
        </w:tc>
        <w:tc>
          <w:tcPr>
            <w:tcW w:w="10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(107.1)%</w:t>
            </w: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Add: Restructuring and other real estate actvites</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1000" w:type="dxa"/>
            <w:vAlign w:val="bottom"/>
          </w:tcPr>
          <w:p>
            <w:pPr>
              <w:jc w:val="right"/>
              <w:spacing w:after="0"/>
              <w:rPr>
                <w:sz w:val="20"/>
                <w:szCs w:val="20"/>
                <w:color w:val="auto"/>
              </w:rPr>
            </w:pPr>
            <w:r>
              <w:rPr>
                <w:rFonts w:ascii="Arial" w:cs="Arial" w:eastAsia="Arial" w:hAnsi="Arial"/>
                <w:sz w:val="14"/>
                <w:szCs w:val="14"/>
                <w:color w:val="51555C"/>
              </w:rPr>
              <w:t>—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0.1</w:t>
            </w:r>
          </w:p>
        </w:tc>
        <w:tc>
          <w:tcPr>
            <w:tcW w:w="1000" w:type="dxa"/>
            <w:vAlign w:val="bottom"/>
          </w:tcPr>
          <w:p>
            <w:pPr>
              <w:jc w:val="right"/>
              <w:spacing w:after="0"/>
              <w:rPr>
                <w:sz w:val="20"/>
                <w:szCs w:val="20"/>
                <w:color w:val="auto"/>
              </w:rPr>
            </w:pPr>
            <w:r>
              <w:rPr>
                <w:rFonts w:ascii="Arial" w:cs="Arial" w:eastAsia="Arial" w:hAnsi="Arial"/>
                <w:sz w:val="14"/>
                <w:szCs w:val="14"/>
                <w:color w:val="51555C"/>
              </w:rPr>
              <w:t>(100.0)%</w:t>
            </w:r>
          </w:p>
        </w:tc>
      </w:tr>
      <w:tr>
        <w:trPr>
          <w:trHeight w:val="48"/>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Add: Security Incident-related costs, net of insurance</w:t>
            </w:r>
            <w:r>
              <w:rPr>
                <w:rFonts w:ascii="Arial" w:cs="Arial" w:eastAsia="Arial" w:hAnsi="Arial"/>
                <w:sz w:val="18"/>
                <w:szCs w:val="18"/>
                <w:color w:val="51555C"/>
                <w:vertAlign w:val="superscript"/>
              </w:rPr>
              <w:t>(3)</w:t>
            </w:r>
          </w:p>
        </w:tc>
        <w:tc>
          <w:tcPr>
            <w:tcW w:w="240" w:type="dxa"/>
            <w:vAlign w:val="bottom"/>
            <w:shd w:val="clear" w:color="auto" w:fill="EBFBFF"/>
          </w:tcPr>
          <w:p>
            <w:pPr>
              <w:spacing w:after="0"/>
              <w:rPr>
                <w:sz w:val="19"/>
                <w:szCs w:val="19"/>
                <w:color w:val="auto"/>
              </w:rPr>
            </w:pPr>
          </w:p>
        </w:tc>
        <w:tc>
          <w:tcPr>
            <w:tcW w:w="94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26.8</w:t>
            </w:r>
          </w:p>
        </w:tc>
        <w:tc>
          <w:tcPr>
            <w:tcW w:w="240" w:type="dxa"/>
            <w:vAlign w:val="bottom"/>
            <w:shd w:val="clear" w:color="auto" w:fill="EBFBFF"/>
          </w:tcPr>
          <w:p>
            <w:pPr>
              <w:spacing w:after="0"/>
              <w:rPr>
                <w:sz w:val="19"/>
                <w:szCs w:val="19"/>
                <w:color w:val="auto"/>
              </w:rPr>
            </w:pPr>
          </w:p>
        </w:tc>
        <w:tc>
          <w:tcPr>
            <w:tcW w:w="96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8.3</w:t>
            </w:r>
          </w:p>
        </w:tc>
        <w:tc>
          <w:tcPr>
            <w:tcW w:w="100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220.8 %</w:t>
            </w:r>
          </w:p>
        </w:tc>
        <w:tc>
          <w:tcPr>
            <w:tcW w:w="120" w:type="dxa"/>
            <w:vAlign w:val="bottom"/>
            <w:tcBorders>
              <w:right w:val="single" w:sz="8" w:color="EBFBFF"/>
            </w:tcBorders>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96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44.6</w:t>
            </w:r>
          </w:p>
        </w:tc>
        <w:tc>
          <w:tcPr>
            <w:tcW w:w="240" w:type="dxa"/>
            <w:vAlign w:val="bottom"/>
            <w:shd w:val="clear" w:color="auto" w:fill="EBFBFF"/>
          </w:tcPr>
          <w:p>
            <w:pPr>
              <w:spacing w:after="0"/>
              <w:rPr>
                <w:sz w:val="19"/>
                <w:szCs w:val="19"/>
                <w:color w:val="auto"/>
              </w:rPr>
            </w:pPr>
          </w:p>
        </w:tc>
        <w:tc>
          <w:tcPr>
            <w:tcW w:w="9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15.5</w:t>
            </w:r>
          </w:p>
        </w:tc>
        <w:tc>
          <w:tcPr>
            <w:tcW w:w="10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186.6 %</w:t>
            </w: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Add: Impairment of capitalized sofware development costs</w:t>
            </w:r>
          </w:p>
        </w:tc>
        <w:tc>
          <w:tcPr>
            <w:tcW w:w="24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2.3</w:t>
            </w:r>
          </w:p>
        </w:tc>
        <w:tc>
          <w:tcPr>
            <w:tcW w:w="1000" w:type="dxa"/>
            <w:vAlign w:val="bottom"/>
          </w:tcPr>
          <w:p>
            <w:pPr>
              <w:jc w:val="right"/>
              <w:spacing w:after="0"/>
              <w:rPr>
                <w:sz w:val="20"/>
                <w:szCs w:val="20"/>
                <w:color w:val="auto"/>
              </w:rPr>
            </w:pPr>
            <w:r>
              <w:rPr>
                <w:rFonts w:ascii="Arial" w:cs="Arial" w:eastAsia="Arial" w:hAnsi="Arial"/>
                <w:sz w:val="14"/>
                <w:szCs w:val="14"/>
                <w:color w:val="51555C"/>
              </w:rPr>
              <w:t>(100.0)%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24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2.3</w:t>
            </w:r>
          </w:p>
        </w:tc>
        <w:tc>
          <w:tcPr>
            <w:tcW w:w="1000" w:type="dxa"/>
            <w:vAlign w:val="bottom"/>
          </w:tcPr>
          <w:p>
            <w:pPr>
              <w:jc w:val="right"/>
              <w:spacing w:after="0"/>
              <w:rPr>
                <w:sz w:val="20"/>
                <w:szCs w:val="20"/>
                <w:color w:val="auto"/>
              </w:rPr>
            </w:pPr>
            <w:r>
              <w:rPr>
                <w:rFonts w:ascii="Arial" w:cs="Arial" w:eastAsia="Arial" w:hAnsi="Arial"/>
                <w:sz w:val="14"/>
                <w:szCs w:val="14"/>
                <w:color w:val="51555C"/>
              </w:rPr>
              <w:t>(100.0)%</w:t>
            </w:r>
          </w:p>
        </w:tc>
      </w:tr>
      <w:tr>
        <w:trPr>
          <w:trHeight w:val="34"/>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434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40" w:type="dxa"/>
            <w:vAlign w:val="bottom"/>
            <w:tcBorders>
              <w:bottom w:val="single" w:sz="8" w:color="51555C"/>
            </w:tcBorders>
            <w:shd w:val="clear" w:color="auto" w:fill="EBFBFF"/>
          </w:tcPr>
          <w:p>
            <w:pPr>
              <w:spacing w:after="0"/>
              <w:rPr>
                <w:sz w:val="19"/>
                <w:szCs w:val="19"/>
                <w:color w:val="auto"/>
              </w:rPr>
            </w:pPr>
          </w:p>
        </w:tc>
        <w:tc>
          <w:tcPr>
            <w:tcW w:w="94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73.8</w:t>
            </w:r>
          </w:p>
        </w:tc>
        <w:tc>
          <w:tcPr>
            <w:tcW w:w="24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54.4</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35.7 %</w:t>
            </w:r>
          </w:p>
        </w:tc>
        <w:tc>
          <w:tcPr>
            <w:tcW w:w="120" w:type="dxa"/>
            <w:vAlign w:val="bottom"/>
            <w:tcBorders>
              <w:bottom w:val="single" w:sz="8" w:color="EBFBFF"/>
              <w:right w:val="single" w:sz="8" w:color="EBFBFF"/>
            </w:tcBorders>
            <w:shd w:val="clear" w:color="auto" w:fill="EBFBFF"/>
          </w:tcPr>
          <w:p>
            <w:pPr>
              <w:spacing w:after="0"/>
              <w:rPr>
                <w:sz w:val="19"/>
                <w:szCs w:val="19"/>
                <w:color w:val="auto"/>
              </w:rPr>
            </w:pPr>
          </w:p>
        </w:tc>
        <w:tc>
          <w:tcPr>
            <w:tcW w:w="22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140.4</w:t>
            </w:r>
          </w:p>
        </w:tc>
        <w:tc>
          <w:tcPr>
            <w:tcW w:w="24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103.8</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35.2 %</w:t>
            </w:r>
          </w:p>
        </w:tc>
      </w:tr>
      <w:tr>
        <w:trPr>
          <w:trHeight w:val="223"/>
        </w:trPr>
        <w:tc>
          <w:tcPr>
            <w:tcW w:w="2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51555C"/>
              </w:rPr>
              <w:t>Non-GAAP income from operatons</w:t>
            </w:r>
            <w:r>
              <w:rPr>
                <w:rFonts w:ascii="Arial" w:cs="Arial" w:eastAsia="Arial" w:hAnsi="Arial"/>
                <w:sz w:val="18"/>
                <w:szCs w:val="18"/>
                <w:b w:val="1"/>
                <w:bCs w:val="1"/>
                <w:color w:val="51555C"/>
                <w:vertAlign w:val="superscript"/>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74.1</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54.5</w:t>
            </w:r>
          </w:p>
        </w:tc>
        <w:tc>
          <w:tcPr>
            <w:tcW w:w="1000" w:type="dxa"/>
            <w:vAlign w:val="bottom"/>
          </w:tcPr>
          <w:p>
            <w:pPr>
              <w:jc w:val="right"/>
              <w:spacing w:after="0"/>
              <w:rPr>
                <w:sz w:val="20"/>
                <w:szCs w:val="20"/>
                <w:color w:val="auto"/>
              </w:rPr>
            </w:pPr>
            <w:r>
              <w:rPr>
                <w:rFonts w:ascii="Arial" w:cs="Arial" w:eastAsia="Arial" w:hAnsi="Arial"/>
                <w:sz w:val="14"/>
                <w:szCs w:val="14"/>
                <w:color w:val="51555C"/>
              </w:rPr>
              <w:t>36.1 %</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130.7</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97.9</w:t>
            </w:r>
          </w:p>
        </w:tc>
        <w:tc>
          <w:tcPr>
            <w:tcW w:w="1000" w:type="dxa"/>
            <w:vAlign w:val="bottom"/>
          </w:tcPr>
          <w:p>
            <w:pPr>
              <w:jc w:val="right"/>
              <w:spacing w:after="0"/>
              <w:rPr>
                <w:sz w:val="20"/>
                <w:szCs w:val="20"/>
                <w:color w:val="auto"/>
              </w:rPr>
            </w:pPr>
            <w:r>
              <w:rPr>
                <w:rFonts w:ascii="Arial" w:cs="Arial" w:eastAsia="Arial" w:hAnsi="Arial"/>
                <w:sz w:val="14"/>
                <w:szCs w:val="14"/>
                <w:color w:val="51555C"/>
              </w:rPr>
              <w:t>33.5 %</w:t>
            </w:r>
          </w:p>
        </w:tc>
      </w:tr>
      <w:tr>
        <w:trPr>
          <w:trHeight w:val="206"/>
        </w:trPr>
        <w:tc>
          <w:tcPr>
            <w:tcW w:w="20" w:type="dxa"/>
            <w:vAlign w:val="bottom"/>
          </w:tcPr>
          <w:p>
            <w:pPr>
              <w:spacing w:after="0"/>
              <w:rPr>
                <w:sz w:val="17"/>
                <w:szCs w:val="17"/>
                <w:color w:val="auto"/>
              </w:rPr>
            </w:pPr>
          </w:p>
        </w:tc>
        <w:tc>
          <w:tcPr>
            <w:tcW w:w="4340" w:type="dxa"/>
            <w:vAlign w:val="bottom"/>
            <w:tcBorders>
              <w:top w:val="single" w:sz="8" w:color="EBFBFF"/>
              <w:bottom w:val="single" w:sz="8" w:color="EBFBFF"/>
            </w:tcBorders>
            <w:shd w:val="clear" w:color="auto" w:fill="EBFBFF"/>
          </w:tcPr>
          <w:p>
            <w:pPr>
              <w:ind w:left="120"/>
              <w:spacing w:after="0"/>
              <w:rPr>
                <w:sz w:val="20"/>
                <w:szCs w:val="20"/>
                <w:color w:val="auto"/>
              </w:rPr>
            </w:pPr>
            <w:r>
              <w:rPr>
                <w:rFonts w:ascii="Arial" w:cs="Arial" w:eastAsia="Arial" w:hAnsi="Arial"/>
                <w:sz w:val="14"/>
                <w:szCs w:val="14"/>
                <w:b w:val="1"/>
                <w:bCs w:val="1"/>
                <w:color w:val="51555C"/>
              </w:rPr>
              <w:t>Non-GAAP operatng margin</w:t>
            </w:r>
          </w:p>
        </w:tc>
        <w:tc>
          <w:tcPr>
            <w:tcW w:w="240" w:type="dxa"/>
            <w:vAlign w:val="bottom"/>
            <w:tcBorders>
              <w:top w:val="single" w:sz="8" w:color="51555C"/>
              <w:bottom w:val="single" w:sz="8" w:color="EBFBFF"/>
            </w:tcBorders>
            <w:shd w:val="clear" w:color="auto" w:fill="EBFBFF"/>
          </w:tcPr>
          <w:p>
            <w:pPr>
              <w:spacing w:after="0"/>
              <w:rPr>
                <w:sz w:val="17"/>
                <w:szCs w:val="17"/>
                <w:color w:val="auto"/>
              </w:rPr>
            </w:pPr>
          </w:p>
        </w:tc>
        <w:tc>
          <w:tcPr>
            <w:tcW w:w="94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27.4 %</w:t>
            </w:r>
          </w:p>
        </w:tc>
        <w:tc>
          <w:tcPr>
            <w:tcW w:w="240" w:type="dxa"/>
            <w:vAlign w:val="bottom"/>
            <w:tcBorders>
              <w:top w:val="single" w:sz="8" w:color="51555C"/>
              <w:bottom w:val="single" w:sz="8" w:color="EBFBFF"/>
            </w:tcBorders>
            <w:shd w:val="clear" w:color="auto" w:fill="EBFBFF"/>
          </w:tcPr>
          <w:p>
            <w:pPr>
              <w:spacing w:after="0"/>
              <w:rPr>
                <w:sz w:val="17"/>
                <w:szCs w:val="17"/>
                <w:color w:val="auto"/>
              </w:rPr>
            </w:pPr>
          </w:p>
        </w:tc>
        <w:tc>
          <w:tcPr>
            <w:tcW w:w="96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20.6 %</w:t>
            </w:r>
          </w:p>
        </w:tc>
        <w:tc>
          <w:tcPr>
            <w:tcW w:w="1000" w:type="dxa"/>
            <w:vAlign w:val="bottom"/>
            <w:tcBorders>
              <w:top w:val="single" w:sz="8" w:color="EBFBFF"/>
              <w:bottom w:val="single" w:sz="8" w:color="EBFBFF"/>
              <w:right w:val="single" w:sz="8" w:color="EBFBFF"/>
            </w:tcBorders>
            <w:shd w:val="clear" w:color="auto" w:fill="EBFBFF"/>
          </w:tcPr>
          <w:p>
            <w:pPr>
              <w:spacing w:after="0"/>
              <w:rPr>
                <w:sz w:val="17"/>
                <w:szCs w:val="17"/>
                <w:color w:val="auto"/>
              </w:rPr>
            </w:pPr>
          </w:p>
        </w:tc>
        <w:tc>
          <w:tcPr>
            <w:tcW w:w="120" w:type="dxa"/>
            <w:vAlign w:val="bottom"/>
            <w:tcBorders>
              <w:top w:val="single" w:sz="8" w:color="EBFBFF"/>
              <w:bottom w:val="single" w:sz="8" w:color="EBFBFF"/>
              <w:right w:val="single" w:sz="8" w:color="EBFBFF"/>
            </w:tcBorders>
            <w:shd w:val="clear" w:color="auto" w:fill="EBFBFF"/>
          </w:tcPr>
          <w:p>
            <w:pPr>
              <w:spacing w:after="0"/>
              <w:rPr>
                <w:sz w:val="17"/>
                <w:szCs w:val="17"/>
                <w:color w:val="auto"/>
              </w:rPr>
            </w:pPr>
          </w:p>
        </w:tc>
        <w:tc>
          <w:tcPr>
            <w:tcW w:w="220" w:type="dxa"/>
            <w:vAlign w:val="bottom"/>
            <w:tcBorders>
              <w:top w:val="single" w:sz="8" w:color="51555C"/>
              <w:bottom w:val="single" w:sz="8" w:color="EBFBFF"/>
            </w:tcBorders>
            <w:shd w:val="clear" w:color="auto" w:fill="EBFBFF"/>
          </w:tcPr>
          <w:p>
            <w:pPr>
              <w:spacing w:after="0"/>
              <w:rPr>
                <w:sz w:val="17"/>
                <w:szCs w:val="17"/>
                <w:color w:val="auto"/>
              </w:rPr>
            </w:pPr>
          </w:p>
        </w:tc>
        <w:tc>
          <w:tcPr>
            <w:tcW w:w="96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24.5 %</w:t>
            </w:r>
          </w:p>
        </w:tc>
        <w:tc>
          <w:tcPr>
            <w:tcW w:w="240" w:type="dxa"/>
            <w:vAlign w:val="bottom"/>
            <w:tcBorders>
              <w:top w:val="single" w:sz="8" w:color="51555C"/>
              <w:bottom w:val="single" w:sz="8" w:color="EBFBFF"/>
            </w:tcBorders>
            <w:shd w:val="clear" w:color="auto" w:fill="EBFBFF"/>
          </w:tcPr>
          <w:p>
            <w:pPr>
              <w:spacing w:after="0"/>
              <w:rPr>
                <w:sz w:val="17"/>
                <w:szCs w:val="17"/>
                <w:color w:val="auto"/>
              </w:rPr>
            </w:pPr>
          </w:p>
        </w:tc>
        <w:tc>
          <w:tcPr>
            <w:tcW w:w="96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18.8 %</w:t>
            </w:r>
          </w:p>
        </w:tc>
        <w:tc>
          <w:tcPr>
            <w:tcW w:w="1000" w:type="dxa"/>
            <w:vAlign w:val="bottom"/>
            <w:tcBorders>
              <w:top w:val="single" w:sz="8" w:color="EBFBFF"/>
              <w:bottom w:val="single" w:sz="8" w:color="EBFBFF"/>
            </w:tcBorders>
            <w:shd w:val="clear" w:color="auto" w:fill="EBFBFF"/>
          </w:tcPr>
          <w:p>
            <w:pPr>
              <w:spacing w:after="0"/>
              <w:rPr>
                <w:sz w:val="17"/>
                <w:szCs w:val="17"/>
                <w:color w:val="auto"/>
              </w:rPr>
            </w:pPr>
          </w:p>
        </w:tc>
      </w:tr>
      <w:tr>
        <w:trPr>
          <w:trHeight w:val="54"/>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loss before provision for income taxes</w:t>
            </w:r>
          </w:p>
        </w:tc>
        <w:tc>
          <w:tcPr>
            <w:tcW w:w="2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Borders>
              <w:bottom w:val="single" w:sz="8" w:color="EBFBFF"/>
            </w:tcBorders>
            <w:shd w:val="clear" w:color="auto" w:fill="EBFBFF"/>
          </w:tcPr>
          <w:p>
            <w:pPr>
              <w:jc w:val="right"/>
              <w:ind w:right="48"/>
              <w:spacing w:after="0"/>
              <w:rPr>
                <w:sz w:val="20"/>
                <w:szCs w:val="20"/>
                <w:color w:val="auto"/>
              </w:rPr>
            </w:pPr>
            <w:r>
              <w:rPr>
                <w:rFonts w:ascii="Arial" w:cs="Arial" w:eastAsia="Arial" w:hAnsi="Arial"/>
                <w:sz w:val="14"/>
                <w:szCs w:val="14"/>
                <w:color w:val="51555C"/>
              </w:rPr>
              <w:t>(8.1)</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48"/>
              <w:spacing w:after="0"/>
              <w:rPr>
                <w:sz w:val="20"/>
                <w:szCs w:val="20"/>
                <w:color w:val="auto"/>
              </w:rPr>
            </w:pPr>
            <w:r>
              <w:rPr>
                <w:rFonts w:ascii="Arial" w:cs="Arial" w:eastAsia="Arial" w:hAnsi="Arial"/>
                <w:sz w:val="14"/>
                <w:szCs w:val="14"/>
                <w:color w:val="51555C"/>
              </w:rPr>
              <w:t>(5.8)</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39.8 %</w:t>
            </w:r>
          </w:p>
        </w:tc>
        <w:tc>
          <w:tcPr>
            <w:tcW w:w="340" w:type="dxa"/>
            <w:vAlign w:val="bottom"/>
            <w:tcBorders>
              <w:bottom w:val="single" w:sz="8" w:color="EBFBFF"/>
            </w:tcBorders>
            <w:gridSpan w:val="2"/>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48"/>
              <w:spacing w:after="0"/>
              <w:rPr>
                <w:sz w:val="20"/>
                <w:szCs w:val="20"/>
                <w:color w:val="auto"/>
              </w:rPr>
            </w:pPr>
            <w:r>
              <w:rPr>
                <w:rFonts w:ascii="Arial" w:cs="Arial" w:eastAsia="Arial" w:hAnsi="Arial"/>
                <w:sz w:val="14"/>
                <w:szCs w:val="14"/>
                <w:color w:val="51555C"/>
              </w:rPr>
              <w:t>(26.7)</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48"/>
              <w:spacing w:after="0"/>
              <w:rPr>
                <w:sz w:val="20"/>
                <w:szCs w:val="20"/>
                <w:color w:val="auto"/>
              </w:rPr>
            </w:pPr>
            <w:r>
              <w:rPr>
                <w:rFonts w:ascii="Arial" w:cs="Arial" w:eastAsia="Arial" w:hAnsi="Arial"/>
                <w:sz w:val="14"/>
                <w:szCs w:val="14"/>
                <w:color w:val="51555C"/>
              </w:rPr>
              <w:t>(18.2)</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46.3 %</w:t>
            </w:r>
          </w:p>
        </w:tc>
      </w:tr>
      <w:tr>
        <w:trPr>
          <w:trHeight w:val="184"/>
        </w:trPr>
        <w:tc>
          <w:tcPr>
            <w:tcW w:w="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51555C"/>
              </w:rPr>
              <w:t>GAAP net income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2.1</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(3.4)</w:t>
            </w:r>
          </w:p>
        </w:tc>
        <w:tc>
          <w:tcPr>
            <w:tcW w:w="1000" w:type="dxa"/>
            <w:vAlign w:val="bottom"/>
          </w:tcPr>
          <w:p>
            <w:pPr>
              <w:jc w:val="right"/>
              <w:spacing w:after="0"/>
              <w:rPr>
                <w:sz w:val="20"/>
                <w:szCs w:val="20"/>
                <w:color w:val="auto"/>
              </w:rPr>
            </w:pPr>
            <w:r>
              <w:rPr>
                <w:rFonts w:ascii="Arial" w:cs="Arial" w:eastAsia="Arial" w:hAnsi="Arial"/>
                <w:sz w:val="14"/>
                <w:szCs w:val="14"/>
                <w:color w:val="51555C"/>
              </w:rPr>
              <w:t>(161.5)%</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(12.6)</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(13.8)</w:t>
            </w:r>
          </w:p>
        </w:tc>
        <w:tc>
          <w:tcPr>
            <w:tcW w:w="1000" w:type="dxa"/>
            <w:vAlign w:val="bottom"/>
          </w:tcPr>
          <w:p>
            <w:pPr>
              <w:jc w:val="right"/>
              <w:spacing w:after="0"/>
              <w:rPr>
                <w:sz w:val="20"/>
                <w:szCs w:val="20"/>
                <w:color w:val="auto"/>
              </w:rPr>
            </w:pPr>
            <w:r>
              <w:rPr>
                <w:rFonts w:ascii="Arial" w:cs="Arial" w:eastAsia="Arial" w:hAnsi="Arial"/>
                <w:sz w:val="14"/>
                <w:szCs w:val="14"/>
                <w:color w:val="51555C"/>
              </w:rPr>
              <w:t>(8.9)%</w:t>
            </w:r>
          </w:p>
        </w:tc>
      </w:tr>
      <w:tr>
        <w:trPr>
          <w:trHeight w:val="32"/>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Shares used in computng GAAP diluted earnings (loss) per share</w:t>
            </w:r>
          </w:p>
        </w:tc>
        <w:tc>
          <w:tcPr>
            <w:tcW w:w="24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53,643,124</w:t>
            </w: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51,660,739</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3.8 %</w:t>
            </w: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52,389,112</w:t>
            </w: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51,431,501</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1.9 %</w:t>
            </w:r>
          </w:p>
        </w:tc>
      </w:tr>
      <w:tr>
        <w:trPr>
          <w:trHeight w:val="184"/>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b w:val="1"/>
                <w:bCs w:val="1"/>
                <w:color w:val="51555C"/>
              </w:rPr>
              <w:t>GAAP diluted earnings (loss) per share</w:t>
            </w:r>
          </w:p>
        </w:tc>
        <w:tc>
          <w:tcPr>
            <w:tcW w:w="240" w:type="dxa"/>
            <w:vAlign w:val="bottom"/>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0.04</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(0.07)</w:t>
            </w:r>
          </w:p>
        </w:tc>
        <w:tc>
          <w:tcPr>
            <w:tcW w:w="1000" w:type="dxa"/>
            <w:vAlign w:val="bottom"/>
          </w:tcPr>
          <w:p>
            <w:pPr>
              <w:jc w:val="right"/>
              <w:spacing w:after="0"/>
              <w:rPr>
                <w:sz w:val="20"/>
                <w:szCs w:val="20"/>
                <w:color w:val="auto"/>
              </w:rPr>
            </w:pPr>
            <w:r>
              <w:rPr>
                <w:rFonts w:ascii="Arial" w:cs="Arial" w:eastAsia="Arial" w:hAnsi="Arial"/>
                <w:sz w:val="14"/>
                <w:szCs w:val="14"/>
                <w:color w:val="51555C"/>
              </w:rPr>
              <w:t>(157.1)%</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(0.24)</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(0.27)</w:t>
            </w:r>
          </w:p>
        </w:tc>
        <w:tc>
          <w:tcPr>
            <w:tcW w:w="1000" w:type="dxa"/>
            <w:vAlign w:val="bottom"/>
          </w:tcPr>
          <w:p>
            <w:pPr>
              <w:jc w:val="right"/>
              <w:spacing w:after="0"/>
              <w:rPr>
                <w:sz w:val="20"/>
                <w:szCs w:val="20"/>
                <w:color w:val="auto"/>
              </w:rPr>
            </w:pPr>
            <w:r>
              <w:rPr>
                <w:rFonts w:ascii="Arial" w:cs="Arial" w:eastAsia="Arial" w:hAnsi="Arial"/>
                <w:sz w:val="14"/>
                <w:szCs w:val="14"/>
                <w:color w:val="51555C"/>
              </w:rPr>
              <w:t>(11.1)%</w:t>
            </w:r>
          </w:p>
        </w:tc>
      </w:tr>
      <w:tr>
        <w:trPr>
          <w:trHeight w:val="46"/>
        </w:trPr>
        <w:tc>
          <w:tcPr>
            <w:tcW w:w="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4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spacing w:after="0"/>
              <w:rPr>
                <w:sz w:val="18"/>
                <w:szCs w:val="18"/>
                <w:color w:val="auto"/>
              </w:rPr>
            </w:pP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right w:val="single" w:sz="8" w:color="EBFBFF"/>
            </w:tcBorders>
            <w:shd w:val="clear" w:color="auto" w:fill="EBFBFF"/>
          </w:tcPr>
          <w:p>
            <w:pPr>
              <w:spacing w:after="0"/>
              <w:rPr>
                <w:sz w:val="18"/>
                <w:szCs w:val="18"/>
                <w:color w:val="auto"/>
              </w:rPr>
            </w:pP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51555C"/>
              </w:rPr>
              <w:t>Less: GAAP income tax beneft</w:t>
            </w:r>
          </w:p>
        </w:tc>
        <w:tc>
          <w:tcPr>
            <w:tcW w:w="2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51555C"/>
              </w:rPr>
              <w:t>(10.2)</w:t>
            </w:r>
          </w:p>
        </w:tc>
        <w:tc>
          <w:tcPr>
            <w:tcW w:w="24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(2.4)</w:t>
            </w:r>
          </w:p>
        </w:tc>
        <w:tc>
          <w:tcPr>
            <w:tcW w:w="1000" w:type="dxa"/>
            <w:vAlign w:val="bottom"/>
          </w:tcPr>
          <w:p>
            <w:pPr>
              <w:jc w:val="right"/>
              <w:spacing w:after="0"/>
              <w:rPr>
                <w:sz w:val="20"/>
                <w:szCs w:val="20"/>
                <w:color w:val="auto"/>
              </w:rPr>
            </w:pPr>
            <w:r>
              <w:rPr>
                <w:rFonts w:ascii="Arial" w:cs="Arial" w:eastAsia="Arial" w:hAnsi="Arial"/>
                <w:sz w:val="14"/>
                <w:szCs w:val="14"/>
                <w:color w:val="51555C"/>
              </w:rPr>
              <w:t>330.9 %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(14.1)</w:t>
            </w:r>
          </w:p>
        </w:tc>
        <w:tc>
          <w:tcPr>
            <w:tcW w:w="24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51555C"/>
              </w:rPr>
              <w:t>(4.4)</w:t>
            </w:r>
          </w:p>
        </w:tc>
        <w:tc>
          <w:tcPr>
            <w:tcW w:w="1000" w:type="dxa"/>
            <w:vAlign w:val="bottom"/>
          </w:tcPr>
          <w:p>
            <w:pPr>
              <w:jc w:val="right"/>
              <w:spacing w:after="0"/>
              <w:rPr>
                <w:sz w:val="20"/>
                <w:szCs w:val="20"/>
                <w:color w:val="auto"/>
              </w:rPr>
            </w:pPr>
            <w:r>
              <w:rPr>
                <w:rFonts w:ascii="Arial" w:cs="Arial" w:eastAsia="Arial" w:hAnsi="Arial"/>
                <w:sz w:val="14"/>
                <w:szCs w:val="14"/>
                <w:color w:val="51555C"/>
              </w:rPr>
              <w:t>219.2 %</w:t>
            </w:r>
          </w:p>
        </w:tc>
      </w:tr>
      <w:tr>
        <w:trPr>
          <w:trHeight w:val="48"/>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Total non-GAAP adjustments afectng income from operatons</w:t>
            </w:r>
          </w:p>
        </w:tc>
        <w:tc>
          <w:tcPr>
            <w:tcW w:w="240" w:type="dxa"/>
            <w:vAlign w:val="bottom"/>
            <w:tcBorders>
              <w:bottom w:val="single" w:sz="8" w:color="EBFBFF"/>
            </w:tcBorders>
            <w:shd w:val="clear" w:color="auto" w:fill="EBFBFF"/>
          </w:tcPr>
          <w:p>
            <w:pPr>
              <w:spacing w:after="0"/>
              <w:rPr>
                <w:sz w:val="18"/>
                <w:szCs w:val="18"/>
                <w:color w:val="auto"/>
              </w:rPr>
            </w:pP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73.8</w:t>
            </w: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54.4</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35.7 %</w:t>
            </w: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140.4</w:t>
            </w:r>
          </w:p>
        </w:tc>
        <w:tc>
          <w:tcPr>
            <w:tcW w:w="24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103.8</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35.2 %</w:t>
            </w:r>
          </w:p>
        </w:tc>
      </w:tr>
      <w:tr>
        <w:trPr>
          <w:trHeight w:val="175"/>
        </w:trPr>
        <w:tc>
          <w:tcPr>
            <w:tcW w:w="20" w:type="dxa"/>
            <w:vAlign w:val="bottom"/>
          </w:tcPr>
          <w:p>
            <w:pPr>
              <w:spacing w:after="0"/>
              <w:rPr>
                <w:sz w:val="15"/>
                <w:szCs w:val="15"/>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p>
        </w:tc>
        <w:tc>
          <w:tcPr>
            <w:tcW w:w="240" w:type="dxa"/>
            <w:vAlign w:val="bottom"/>
            <w:tcBorders>
              <w:top w:val="single" w:sz="8" w:color="51555C"/>
            </w:tcBorders>
          </w:tcPr>
          <w:p>
            <w:pPr>
              <w:spacing w:after="0"/>
              <w:rPr>
                <w:sz w:val="15"/>
                <w:szCs w:val="15"/>
                <w:color w:val="auto"/>
              </w:rPr>
            </w:pPr>
          </w:p>
        </w:tc>
        <w:tc>
          <w:tcPr>
            <w:tcW w:w="940" w:type="dxa"/>
            <w:vAlign w:val="bottom"/>
            <w:tcBorders>
              <w:top w:val="single" w:sz="8" w:color="51555C"/>
            </w:tcBorders>
          </w:tcPr>
          <w:p>
            <w:pPr>
              <w:jc w:val="right"/>
              <w:ind w:right="68"/>
              <w:spacing w:after="0"/>
              <w:rPr>
                <w:sz w:val="20"/>
                <w:szCs w:val="20"/>
                <w:color w:val="auto"/>
              </w:rPr>
            </w:pPr>
            <w:r>
              <w:rPr>
                <w:rFonts w:ascii="Arial" w:cs="Arial" w:eastAsia="Arial" w:hAnsi="Arial"/>
                <w:sz w:val="14"/>
                <w:szCs w:val="14"/>
                <w:color w:val="51555C"/>
              </w:rPr>
              <w:t>65.8</w:t>
            </w:r>
          </w:p>
        </w:tc>
        <w:tc>
          <w:tcPr>
            <w:tcW w:w="240" w:type="dxa"/>
            <w:vAlign w:val="bottom"/>
            <w:tcBorders>
              <w:top w:val="single" w:sz="8" w:color="51555C"/>
            </w:tcBorders>
          </w:tcPr>
          <w:p>
            <w:pPr>
              <w:spacing w:after="0"/>
              <w:rPr>
                <w:sz w:val="15"/>
                <w:szCs w:val="15"/>
                <w:color w:val="auto"/>
              </w:rPr>
            </w:pPr>
          </w:p>
        </w:tc>
        <w:tc>
          <w:tcPr>
            <w:tcW w:w="960" w:type="dxa"/>
            <w:vAlign w:val="bottom"/>
            <w:tcBorders>
              <w:top w:val="single" w:sz="8" w:color="51555C"/>
            </w:tcBorders>
          </w:tcPr>
          <w:p>
            <w:pPr>
              <w:jc w:val="right"/>
              <w:ind w:right="68"/>
              <w:spacing w:after="0"/>
              <w:rPr>
                <w:sz w:val="20"/>
                <w:szCs w:val="20"/>
                <w:color w:val="auto"/>
              </w:rPr>
            </w:pPr>
            <w:r>
              <w:rPr>
                <w:rFonts w:ascii="Arial" w:cs="Arial" w:eastAsia="Arial" w:hAnsi="Arial"/>
                <w:sz w:val="14"/>
                <w:szCs w:val="14"/>
                <w:color w:val="51555C"/>
              </w:rPr>
              <w:t>48.6</w:t>
            </w:r>
          </w:p>
        </w:tc>
        <w:tc>
          <w:tcPr>
            <w:tcW w:w="1000" w:type="dxa"/>
            <w:vAlign w:val="bottom"/>
          </w:tcPr>
          <w:p>
            <w:pPr>
              <w:jc w:val="right"/>
              <w:spacing w:after="0"/>
              <w:rPr>
                <w:sz w:val="20"/>
                <w:szCs w:val="20"/>
                <w:color w:val="auto"/>
              </w:rPr>
            </w:pPr>
            <w:r>
              <w:rPr>
                <w:rFonts w:ascii="Arial" w:cs="Arial" w:eastAsia="Arial" w:hAnsi="Arial"/>
                <w:sz w:val="14"/>
                <w:szCs w:val="14"/>
                <w:color w:val="51555C"/>
              </w:rPr>
              <w:t>35.2 %</w:t>
            </w:r>
          </w:p>
        </w:tc>
        <w:tc>
          <w:tcPr>
            <w:tcW w:w="120" w:type="dxa"/>
            <w:vAlign w:val="bottom"/>
          </w:tcPr>
          <w:p>
            <w:pPr>
              <w:spacing w:after="0"/>
              <w:rPr>
                <w:sz w:val="15"/>
                <w:szCs w:val="15"/>
                <w:color w:val="auto"/>
              </w:rPr>
            </w:pPr>
          </w:p>
        </w:tc>
        <w:tc>
          <w:tcPr>
            <w:tcW w:w="220" w:type="dxa"/>
            <w:vAlign w:val="bottom"/>
            <w:tcBorders>
              <w:top w:val="single" w:sz="8" w:color="51555C"/>
            </w:tcBorders>
          </w:tcPr>
          <w:p>
            <w:pPr>
              <w:spacing w:after="0"/>
              <w:rPr>
                <w:sz w:val="15"/>
                <w:szCs w:val="15"/>
                <w:color w:val="auto"/>
              </w:rPr>
            </w:pPr>
          </w:p>
        </w:tc>
        <w:tc>
          <w:tcPr>
            <w:tcW w:w="960" w:type="dxa"/>
            <w:vAlign w:val="bottom"/>
            <w:tcBorders>
              <w:top w:val="single" w:sz="8" w:color="51555C"/>
            </w:tcBorders>
          </w:tcPr>
          <w:p>
            <w:pPr>
              <w:jc w:val="right"/>
              <w:ind w:right="68"/>
              <w:spacing w:after="0"/>
              <w:rPr>
                <w:sz w:val="20"/>
                <w:szCs w:val="20"/>
                <w:color w:val="auto"/>
              </w:rPr>
            </w:pPr>
            <w:r>
              <w:rPr>
                <w:rFonts w:ascii="Arial" w:cs="Arial" w:eastAsia="Arial" w:hAnsi="Arial"/>
                <w:sz w:val="14"/>
                <w:szCs w:val="14"/>
                <w:color w:val="51555C"/>
              </w:rPr>
              <w:t>113.7</w:t>
            </w:r>
          </w:p>
        </w:tc>
        <w:tc>
          <w:tcPr>
            <w:tcW w:w="240" w:type="dxa"/>
            <w:vAlign w:val="bottom"/>
            <w:tcBorders>
              <w:top w:val="single" w:sz="8" w:color="51555C"/>
            </w:tcBorders>
          </w:tcPr>
          <w:p>
            <w:pPr>
              <w:spacing w:after="0"/>
              <w:rPr>
                <w:sz w:val="15"/>
                <w:szCs w:val="15"/>
                <w:color w:val="auto"/>
              </w:rPr>
            </w:pPr>
          </w:p>
        </w:tc>
        <w:tc>
          <w:tcPr>
            <w:tcW w:w="960" w:type="dxa"/>
            <w:vAlign w:val="bottom"/>
            <w:tcBorders>
              <w:top w:val="single" w:sz="8" w:color="51555C"/>
            </w:tcBorders>
          </w:tcPr>
          <w:p>
            <w:pPr>
              <w:jc w:val="right"/>
              <w:ind w:right="88"/>
              <w:spacing w:after="0"/>
              <w:rPr>
                <w:sz w:val="20"/>
                <w:szCs w:val="20"/>
                <w:color w:val="auto"/>
              </w:rPr>
            </w:pPr>
            <w:r>
              <w:rPr>
                <w:rFonts w:ascii="Arial" w:cs="Arial" w:eastAsia="Arial" w:hAnsi="Arial"/>
                <w:sz w:val="14"/>
                <w:szCs w:val="14"/>
                <w:color w:val="51555C"/>
              </w:rPr>
              <w:t>85.6</w:t>
            </w:r>
          </w:p>
        </w:tc>
        <w:tc>
          <w:tcPr>
            <w:tcW w:w="1000" w:type="dxa"/>
            <w:vAlign w:val="bottom"/>
          </w:tcPr>
          <w:p>
            <w:pPr>
              <w:jc w:val="right"/>
              <w:spacing w:after="0"/>
              <w:rPr>
                <w:sz w:val="20"/>
                <w:szCs w:val="20"/>
                <w:color w:val="auto"/>
              </w:rPr>
            </w:pPr>
            <w:r>
              <w:rPr>
                <w:rFonts w:ascii="Arial" w:cs="Arial" w:eastAsia="Arial" w:hAnsi="Arial"/>
                <w:sz w:val="14"/>
                <w:szCs w:val="14"/>
                <w:color w:val="51555C"/>
              </w:rPr>
              <w:t>32.9 %</w:t>
            </w:r>
          </w:p>
        </w:tc>
      </w:tr>
      <w:tr>
        <w:trPr>
          <w:trHeight w:val="48"/>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(4)</w:t>
            </w:r>
          </w:p>
        </w:tc>
        <w:tc>
          <w:tcPr>
            <w:tcW w:w="240" w:type="dxa"/>
            <w:vAlign w:val="bottom"/>
            <w:tcBorders>
              <w:bottom w:val="single" w:sz="8" w:color="51555C"/>
            </w:tcBorders>
            <w:shd w:val="clear" w:color="auto" w:fill="EBFBFF"/>
          </w:tcPr>
          <w:p>
            <w:pPr>
              <w:spacing w:after="0"/>
              <w:rPr>
                <w:sz w:val="18"/>
                <w:szCs w:val="18"/>
                <w:color w:val="auto"/>
              </w:rPr>
            </w:pPr>
          </w:p>
        </w:tc>
        <w:tc>
          <w:tcPr>
            <w:tcW w:w="94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13.2</w:t>
            </w:r>
          </w:p>
        </w:tc>
        <w:tc>
          <w:tcPr>
            <w:tcW w:w="240" w:type="dxa"/>
            <w:vAlign w:val="bottom"/>
            <w:tcBorders>
              <w:bottom w:val="single" w:sz="8" w:color="51555C"/>
            </w:tcBorders>
            <w:shd w:val="clear" w:color="auto" w:fill="EBFBFF"/>
          </w:tcPr>
          <w:p>
            <w:pPr>
              <w:spacing w:after="0"/>
              <w:rPr>
                <w:sz w:val="18"/>
                <w:szCs w:val="18"/>
                <w:color w:val="auto"/>
              </w:rPr>
            </w:pPr>
          </w:p>
        </w:tc>
        <w:tc>
          <w:tcPr>
            <w:tcW w:w="96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9.7</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35.2 %</w:t>
            </w:r>
          </w:p>
        </w:tc>
        <w:tc>
          <w:tcPr>
            <w:tcW w:w="120" w:type="dxa"/>
            <w:vAlign w:val="bottom"/>
            <w:tcBorders>
              <w:bottom w:val="single" w:sz="8" w:color="EBFBFF"/>
              <w:right w:val="single" w:sz="8" w:color="EBFBFF"/>
            </w:tcBorders>
            <w:shd w:val="clear" w:color="auto" w:fill="EBFBFF"/>
          </w:tcPr>
          <w:p>
            <w:pPr>
              <w:spacing w:after="0"/>
              <w:rPr>
                <w:sz w:val="18"/>
                <w:szCs w:val="18"/>
                <w:color w:val="auto"/>
              </w:rPr>
            </w:pPr>
          </w:p>
        </w:tc>
        <w:tc>
          <w:tcPr>
            <w:tcW w:w="220" w:type="dxa"/>
            <w:vAlign w:val="bottom"/>
            <w:tcBorders>
              <w:bottom w:val="single" w:sz="8" w:color="51555C"/>
            </w:tcBorders>
            <w:shd w:val="clear" w:color="auto" w:fill="EBFBFF"/>
          </w:tcPr>
          <w:p>
            <w:pPr>
              <w:spacing w:after="0"/>
              <w:rPr>
                <w:sz w:val="18"/>
                <w:szCs w:val="18"/>
                <w:color w:val="auto"/>
              </w:rPr>
            </w:pPr>
          </w:p>
        </w:tc>
        <w:tc>
          <w:tcPr>
            <w:tcW w:w="96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22.7</w:t>
            </w:r>
          </w:p>
        </w:tc>
        <w:tc>
          <w:tcPr>
            <w:tcW w:w="240" w:type="dxa"/>
            <w:vAlign w:val="bottom"/>
            <w:tcBorders>
              <w:bottom w:val="single" w:sz="8" w:color="51555C"/>
            </w:tcBorders>
            <w:shd w:val="clear" w:color="auto" w:fill="EBFBFF"/>
          </w:tcPr>
          <w:p>
            <w:pPr>
              <w:spacing w:after="0"/>
              <w:rPr>
                <w:sz w:val="18"/>
                <w:szCs w:val="18"/>
                <w:color w:val="auto"/>
              </w:rPr>
            </w:pPr>
          </w:p>
        </w:tc>
        <w:tc>
          <w:tcPr>
            <w:tcW w:w="9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17.1</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32.9 %</w:t>
            </w:r>
          </w:p>
        </w:tc>
      </w:tr>
      <w:tr>
        <w:trPr>
          <w:trHeight w:val="270"/>
        </w:trPr>
        <w:tc>
          <w:tcPr>
            <w:tcW w:w="2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51555C"/>
              </w:rPr>
              <w:t>Non-GAAP net income</w:t>
            </w:r>
            <w:r>
              <w:rPr>
                <w:rFonts w:ascii="Arial" w:cs="Arial" w:eastAsia="Arial" w:hAnsi="Arial"/>
                <w:sz w:val="18"/>
                <w:szCs w:val="18"/>
                <w:b w:val="1"/>
                <w:bCs w:val="1"/>
                <w:color w:val="51555C"/>
                <w:vertAlign w:val="superscript"/>
              </w:rPr>
              <w:t>(1)</w:t>
            </w:r>
          </w:p>
        </w:tc>
        <w:tc>
          <w:tcPr>
            <w:tcW w:w="240" w:type="dxa"/>
            <w:vAlign w:val="bottom"/>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51555C"/>
              </w:rPr>
              <w:t>52.6</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38.9</w:t>
            </w:r>
          </w:p>
        </w:tc>
        <w:tc>
          <w:tcPr>
            <w:tcW w:w="1000" w:type="dxa"/>
            <w:vAlign w:val="bottom"/>
          </w:tcPr>
          <w:p>
            <w:pPr>
              <w:jc w:val="right"/>
              <w:spacing w:after="0"/>
              <w:rPr>
                <w:sz w:val="20"/>
                <w:szCs w:val="20"/>
                <w:color w:val="auto"/>
              </w:rPr>
            </w:pPr>
            <w:r>
              <w:rPr>
                <w:rFonts w:ascii="Arial" w:cs="Arial" w:eastAsia="Arial" w:hAnsi="Arial"/>
                <w:sz w:val="14"/>
                <w:szCs w:val="14"/>
                <w:color w:val="51555C"/>
              </w:rPr>
              <w:t>35.2 %</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51555C"/>
              </w:rPr>
              <w:t>90.9</w:t>
            </w:r>
          </w:p>
        </w:tc>
        <w:tc>
          <w:tcPr>
            <w:tcW w:w="24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51555C"/>
              </w:rPr>
              <w:t>68.5</w:t>
            </w:r>
          </w:p>
        </w:tc>
        <w:tc>
          <w:tcPr>
            <w:tcW w:w="1000" w:type="dxa"/>
            <w:vAlign w:val="bottom"/>
          </w:tcPr>
          <w:p>
            <w:pPr>
              <w:jc w:val="right"/>
              <w:spacing w:after="0"/>
              <w:rPr>
                <w:sz w:val="20"/>
                <w:szCs w:val="20"/>
                <w:color w:val="auto"/>
              </w:rPr>
            </w:pPr>
            <w:r>
              <w:rPr>
                <w:rFonts w:ascii="Arial" w:cs="Arial" w:eastAsia="Arial" w:hAnsi="Arial"/>
                <w:sz w:val="14"/>
                <w:szCs w:val="14"/>
                <w:color w:val="51555C"/>
              </w:rPr>
              <w:t>32.9 %</w:t>
            </w:r>
          </w:p>
        </w:tc>
      </w:tr>
      <w:tr>
        <w:trPr>
          <w:trHeight w:val="182"/>
        </w:trPr>
        <w:tc>
          <w:tcPr>
            <w:tcW w:w="20" w:type="dxa"/>
            <w:vAlign w:val="bottom"/>
          </w:tcPr>
          <w:p>
            <w:pPr>
              <w:spacing w:after="0"/>
              <w:rPr>
                <w:sz w:val="15"/>
                <w:szCs w:val="15"/>
                <w:color w:val="auto"/>
              </w:rPr>
            </w:pPr>
          </w:p>
        </w:tc>
        <w:tc>
          <w:tcPr>
            <w:tcW w:w="4340" w:type="dxa"/>
            <w:vAlign w:val="bottom"/>
            <w:tcBorders>
              <w:top w:val="single" w:sz="8" w:color="EBFBFF"/>
            </w:tcBorders>
          </w:tcPr>
          <w:p>
            <w:pPr>
              <w:ind w:left="20"/>
              <w:spacing w:after="0"/>
              <w:rPr>
                <w:sz w:val="20"/>
                <w:szCs w:val="20"/>
                <w:color w:val="auto"/>
              </w:rPr>
            </w:pPr>
            <w:r>
              <w:rPr>
                <w:rFonts w:ascii="Arial" w:cs="Arial" w:eastAsia="Arial" w:hAnsi="Arial"/>
                <w:sz w:val="14"/>
                <w:szCs w:val="14"/>
                <w:color w:val="51555C"/>
              </w:rPr>
              <w:t>Shares used in computng non-GAAP diluted earnings per share</w:t>
            </w:r>
          </w:p>
        </w:tc>
        <w:tc>
          <w:tcPr>
            <w:tcW w:w="240" w:type="dxa"/>
            <w:vAlign w:val="bottom"/>
            <w:tcBorders>
              <w:top w:val="single" w:sz="8" w:color="51555C"/>
            </w:tcBorders>
          </w:tcPr>
          <w:p>
            <w:pPr>
              <w:spacing w:after="0"/>
              <w:rPr>
                <w:sz w:val="15"/>
                <w:szCs w:val="15"/>
                <w:color w:val="auto"/>
              </w:rPr>
            </w:pPr>
          </w:p>
        </w:tc>
        <w:tc>
          <w:tcPr>
            <w:tcW w:w="940" w:type="dxa"/>
            <w:vAlign w:val="bottom"/>
            <w:tcBorders>
              <w:top w:val="single" w:sz="8" w:color="51555C"/>
            </w:tcBorders>
          </w:tcPr>
          <w:p>
            <w:pPr>
              <w:jc w:val="right"/>
              <w:ind w:right="68"/>
              <w:spacing w:after="0"/>
              <w:rPr>
                <w:sz w:val="20"/>
                <w:szCs w:val="20"/>
                <w:color w:val="auto"/>
              </w:rPr>
            </w:pPr>
            <w:r>
              <w:rPr>
                <w:rFonts w:ascii="Arial" w:cs="Arial" w:eastAsia="Arial" w:hAnsi="Arial"/>
                <w:sz w:val="14"/>
                <w:szCs w:val="14"/>
                <w:color w:val="51555C"/>
              </w:rPr>
              <w:t>53,643,124</w:t>
            </w:r>
          </w:p>
        </w:tc>
        <w:tc>
          <w:tcPr>
            <w:tcW w:w="240" w:type="dxa"/>
            <w:vAlign w:val="bottom"/>
            <w:tcBorders>
              <w:top w:val="single" w:sz="8" w:color="51555C"/>
            </w:tcBorders>
          </w:tcPr>
          <w:p>
            <w:pPr>
              <w:spacing w:after="0"/>
              <w:rPr>
                <w:sz w:val="15"/>
                <w:szCs w:val="15"/>
                <w:color w:val="auto"/>
              </w:rPr>
            </w:pPr>
          </w:p>
        </w:tc>
        <w:tc>
          <w:tcPr>
            <w:tcW w:w="960" w:type="dxa"/>
            <w:vAlign w:val="bottom"/>
            <w:tcBorders>
              <w:top w:val="single" w:sz="8" w:color="51555C"/>
            </w:tcBorders>
          </w:tcPr>
          <w:p>
            <w:pPr>
              <w:jc w:val="right"/>
              <w:ind w:right="68"/>
              <w:spacing w:after="0"/>
              <w:rPr>
                <w:sz w:val="20"/>
                <w:szCs w:val="20"/>
                <w:color w:val="auto"/>
              </w:rPr>
            </w:pPr>
            <w:r>
              <w:rPr>
                <w:rFonts w:ascii="Arial" w:cs="Arial" w:eastAsia="Arial" w:hAnsi="Arial"/>
                <w:sz w:val="14"/>
                <w:szCs w:val="14"/>
                <w:color w:val="51555C"/>
              </w:rPr>
              <w:t>51,985,530</w:t>
            </w:r>
          </w:p>
        </w:tc>
        <w:tc>
          <w:tcPr>
            <w:tcW w:w="1000" w:type="dxa"/>
            <w:vAlign w:val="bottom"/>
            <w:tcBorders>
              <w:top w:val="single" w:sz="8" w:color="EBFBFF"/>
            </w:tcBorders>
          </w:tcPr>
          <w:p>
            <w:pPr>
              <w:jc w:val="right"/>
              <w:spacing w:after="0"/>
              <w:rPr>
                <w:sz w:val="20"/>
                <w:szCs w:val="20"/>
                <w:color w:val="auto"/>
              </w:rPr>
            </w:pPr>
            <w:r>
              <w:rPr>
                <w:rFonts w:ascii="Arial" w:cs="Arial" w:eastAsia="Arial" w:hAnsi="Arial"/>
                <w:sz w:val="14"/>
                <w:szCs w:val="14"/>
                <w:color w:val="51555C"/>
              </w:rPr>
              <w:t>3.2 %</w:t>
            </w:r>
          </w:p>
        </w:tc>
        <w:tc>
          <w:tcPr>
            <w:tcW w:w="120" w:type="dxa"/>
            <w:vAlign w:val="bottom"/>
            <w:tcBorders>
              <w:top w:val="single" w:sz="8" w:color="EBFBFF"/>
            </w:tcBorders>
          </w:tcPr>
          <w:p>
            <w:pPr>
              <w:spacing w:after="0"/>
              <w:rPr>
                <w:sz w:val="15"/>
                <w:szCs w:val="15"/>
                <w:color w:val="auto"/>
              </w:rPr>
            </w:pPr>
          </w:p>
        </w:tc>
        <w:tc>
          <w:tcPr>
            <w:tcW w:w="220" w:type="dxa"/>
            <w:vAlign w:val="bottom"/>
            <w:tcBorders>
              <w:top w:val="single" w:sz="8" w:color="51555C"/>
            </w:tcBorders>
          </w:tcPr>
          <w:p>
            <w:pPr>
              <w:spacing w:after="0"/>
              <w:rPr>
                <w:sz w:val="15"/>
                <w:szCs w:val="15"/>
                <w:color w:val="auto"/>
              </w:rPr>
            </w:pPr>
          </w:p>
        </w:tc>
        <w:tc>
          <w:tcPr>
            <w:tcW w:w="960" w:type="dxa"/>
            <w:vAlign w:val="bottom"/>
            <w:tcBorders>
              <w:top w:val="single" w:sz="8" w:color="51555C"/>
            </w:tcBorders>
          </w:tcPr>
          <w:p>
            <w:pPr>
              <w:jc w:val="right"/>
              <w:ind w:right="68"/>
              <w:spacing w:after="0"/>
              <w:rPr>
                <w:sz w:val="20"/>
                <w:szCs w:val="20"/>
                <w:color w:val="auto"/>
              </w:rPr>
            </w:pPr>
            <w:r>
              <w:rPr>
                <w:rFonts w:ascii="Arial" w:cs="Arial" w:eastAsia="Arial" w:hAnsi="Arial"/>
                <w:sz w:val="14"/>
                <w:szCs w:val="14"/>
                <w:color w:val="51555C"/>
              </w:rPr>
              <w:t>53,168,985</w:t>
            </w:r>
          </w:p>
        </w:tc>
        <w:tc>
          <w:tcPr>
            <w:tcW w:w="240" w:type="dxa"/>
            <w:vAlign w:val="bottom"/>
            <w:tcBorders>
              <w:top w:val="single" w:sz="8" w:color="51555C"/>
            </w:tcBorders>
          </w:tcPr>
          <w:p>
            <w:pPr>
              <w:spacing w:after="0"/>
              <w:rPr>
                <w:sz w:val="15"/>
                <w:szCs w:val="15"/>
                <w:color w:val="auto"/>
              </w:rPr>
            </w:pPr>
          </w:p>
        </w:tc>
        <w:tc>
          <w:tcPr>
            <w:tcW w:w="960" w:type="dxa"/>
            <w:vAlign w:val="bottom"/>
            <w:tcBorders>
              <w:top w:val="single" w:sz="8" w:color="51555C"/>
            </w:tcBorders>
          </w:tcPr>
          <w:p>
            <w:pPr>
              <w:jc w:val="right"/>
              <w:ind w:right="88"/>
              <w:spacing w:after="0"/>
              <w:rPr>
                <w:sz w:val="20"/>
                <w:szCs w:val="20"/>
                <w:color w:val="auto"/>
              </w:rPr>
            </w:pPr>
            <w:r>
              <w:rPr>
                <w:rFonts w:ascii="Arial" w:cs="Arial" w:eastAsia="Arial" w:hAnsi="Arial"/>
                <w:sz w:val="14"/>
                <w:szCs w:val="14"/>
                <w:color w:val="51555C"/>
              </w:rPr>
              <w:t>51,954,151</w:t>
            </w:r>
          </w:p>
        </w:tc>
        <w:tc>
          <w:tcPr>
            <w:tcW w:w="1000" w:type="dxa"/>
            <w:vAlign w:val="bottom"/>
            <w:tcBorders>
              <w:top w:val="single" w:sz="8" w:color="EBFBFF"/>
            </w:tcBorders>
          </w:tcPr>
          <w:p>
            <w:pPr>
              <w:jc w:val="right"/>
              <w:spacing w:after="0"/>
              <w:rPr>
                <w:sz w:val="20"/>
                <w:szCs w:val="20"/>
                <w:color w:val="auto"/>
              </w:rPr>
            </w:pPr>
            <w:r>
              <w:rPr>
                <w:rFonts w:ascii="Arial" w:cs="Arial" w:eastAsia="Arial" w:hAnsi="Arial"/>
                <w:sz w:val="14"/>
                <w:szCs w:val="14"/>
                <w:color w:val="51555C"/>
              </w:rPr>
              <w:t>2.3 %</w:t>
            </w:r>
          </w:p>
        </w:tc>
      </w:tr>
      <w:tr>
        <w:trPr>
          <w:trHeight w:val="34"/>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b w:val="1"/>
                <w:bCs w:val="1"/>
                <w:color w:val="51555C"/>
              </w:rPr>
              <w:t>Non-GAAP diluted earnings per share</w:t>
            </w:r>
          </w:p>
        </w:tc>
        <w:tc>
          <w:tcPr>
            <w:tcW w:w="2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w w:val="76"/>
              </w:rPr>
              <w:t>$</w:t>
            </w:r>
          </w:p>
        </w:tc>
        <w:tc>
          <w:tcPr>
            <w:tcW w:w="9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0.98</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0.75</w:t>
            </w:r>
          </w:p>
        </w:tc>
        <w:tc>
          <w:tcPr>
            <w:tcW w:w="100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30.7 %</w:t>
            </w:r>
          </w:p>
        </w:tc>
        <w:tc>
          <w:tcPr>
            <w:tcW w:w="340" w:type="dxa"/>
            <w:vAlign w:val="bottom"/>
            <w:tcBorders>
              <w:bottom w:val="single" w:sz="8" w:color="EBFBFF"/>
            </w:tcBorders>
            <w:gridSpan w:val="2"/>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1.71</w:t>
            </w:r>
          </w:p>
        </w:tc>
        <w:tc>
          <w:tcPr>
            <w:tcW w:w="24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w:t>
            </w:r>
          </w:p>
        </w:tc>
        <w:tc>
          <w:tcPr>
            <w:tcW w:w="9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1.32</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29.5 %</w:t>
            </w: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1000" w:type="dxa"/>
            <w:vAlign w:val="bottom"/>
            <w:tcBorders>
              <w:right w:val="single" w:sz="8" w:color="0CD973"/>
            </w:tcBorders>
            <w:shd w:val="clear" w:color="auto" w:fill="0CD973"/>
          </w:tcPr>
          <w:p>
            <w:pPr>
              <w:spacing w:after="0" w:line="20" w:lineRule="exact"/>
              <w:rPr>
                <w:sz w:val="1"/>
                <w:szCs w:val="1"/>
                <w:color w:val="auto"/>
              </w:rPr>
            </w:pPr>
          </w:p>
        </w:tc>
        <w:tc>
          <w:tcPr>
            <w:tcW w:w="120" w:type="dxa"/>
            <w:vAlign w:val="bottom"/>
            <w:tcBorders>
              <w:right w:val="single" w:sz="8" w:color="0CD973"/>
            </w:tcBorders>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-5408295</wp:posOffset>
            </wp:positionV>
            <wp:extent cx="43630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37" w:lineRule="exact"/>
        <w:rPr>
          <w:sz w:val="20"/>
          <w:szCs w:val="20"/>
          <w:color w:val="auto"/>
        </w:rPr>
      </w:pPr>
    </w:p>
    <w:p>
      <w:pPr>
        <w:ind w:left="340" w:hanging="332"/>
        <w:spacing w:after="0" w:line="266" w:lineRule="auto"/>
        <w:tabs>
          <w:tab w:leader="none" w:pos="340" w:val="left"/>
        </w:tabs>
        <w:numPr>
          <w:ilvl w:val="0"/>
          <w:numId w:val="38"/>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gross proft, non-GAAP income from operatons, non-GAAP income before provision for income taxes or non-GAAP net income due to rounding.</w:t>
      </w:r>
    </w:p>
    <w:p>
      <w:pPr>
        <w:ind w:left="340" w:hanging="332"/>
        <w:spacing w:after="0"/>
        <w:tabs>
          <w:tab w:leader="none" w:pos="340" w:val="left"/>
        </w:tabs>
        <w:numPr>
          <w:ilvl w:val="0"/>
          <w:numId w:val="38"/>
        </w:numPr>
        <w:rPr>
          <w:rFonts w:ascii="Arial" w:cs="Arial" w:eastAsia="Arial" w:hAnsi="Arial"/>
          <w:sz w:val="14"/>
          <w:szCs w:val="14"/>
          <w:color w:val="51555C"/>
        </w:rPr>
      </w:pPr>
      <w:r>
        <w:rPr>
          <w:rFonts w:ascii="Arial" w:cs="Arial" w:eastAsia="Arial" w:hAnsi="Arial"/>
          <w:sz w:val="14"/>
          <w:szCs w:val="14"/>
          <w:color w:val="51555C"/>
        </w:rPr>
        <w:t>Includes a $2.0 million noncash impairment of certain intangible assets held for sale during the three and six months ended June 30, 2022.</w:t>
      </w:r>
    </w:p>
    <w:p>
      <w:pPr>
        <w:spacing w:after="0" w:line="14" w:lineRule="exact"/>
        <w:rPr>
          <w:rFonts w:ascii="Arial" w:cs="Arial" w:eastAsia="Arial" w:hAnsi="Arial"/>
          <w:sz w:val="14"/>
          <w:szCs w:val="14"/>
          <w:color w:val="51555C"/>
        </w:rPr>
      </w:pPr>
    </w:p>
    <w:p>
      <w:pPr>
        <w:jc w:val="both"/>
        <w:ind w:left="340" w:hanging="332"/>
        <w:spacing w:after="0" w:line="258" w:lineRule="auto"/>
        <w:tabs>
          <w:tab w:leader="none" w:pos="340" w:val="left"/>
        </w:tabs>
        <w:numPr>
          <w:ilvl w:val="0"/>
          <w:numId w:val="38"/>
        </w:numPr>
        <w:rPr>
          <w:rFonts w:ascii="Arial" w:cs="Arial" w:eastAsia="Arial" w:hAnsi="Arial"/>
          <w:sz w:val="14"/>
          <w:szCs w:val="14"/>
          <w:color w:val="51555C"/>
        </w:rPr>
      </w:pPr>
      <w:r>
        <w:rPr>
          <w:rFonts w:ascii="Arial" w:cs="Arial" w:eastAsia="Arial" w:hAnsi="Arial"/>
          <w:sz w:val="14"/>
          <w:szCs w:val="14"/>
          <w:color w:val="51555C"/>
        </w:rPr>
        <w:t>Includes Security Incident-related costs incurred during the three and six months ended June 30, 2023 of $26.8 million and $44.6 million, respectvely, which includes approximately $19.8 million and $30.0 million, respectvely, in recorded liabilites for loss contngencies, net of insurance recoveries during the same periods of $0.0 million each and during the three and six months ended June 30, 2022 of $8.4 million and $17.4 million, respectvely, net of insurance recoveries during the same periods that were insignifcant and $1.9 million, respectvely. Recorded expenses consisted primarily of payments to third-party service providers and consultants, including legal fees, as well as setlements of customer claims and accruals for certain loss contngencies. Not included in this adjustment were costs associated with enhancements to our cybersecurity program. For full year 2023, we currently expect net pre-tax expense of approximately $20 million to $30 million and net cash outlays of approximately $25 million to $35 million for ongoing legal fees related to the Security Incident. Not included in these ranges are our previous setlements or current accruals for loss contngencies related to the maters discussed below. In line with our policy, legal fees are expensed as incurred. As of June 30, 2023, we have recorded approximately $50.0 million in aggregate liabilites for loss contngencies based primarily on recent negotatons with certain governmental agencies related to the Security Incident that we believe we can reasonably estmate. It is reasonably possible that our estmated or actual losses may change in the near term for those maters and be materially in excess of the amounts accrued, but we are unable at this tme to reasonably estmate the possible additonal loss. There are other Security Incident-related maters, including customer claims, customer consttuent class actons and governmental investgatons, for which we have not recorded a liability for a loss contngency as of June 30, 2023 because we are unable at this tme to reasonably estmate the possible loss or range of loss. Each of these maters could, separately or in the aggregate, result in an adverse judgment, setlement, fne, penalty or other resoluton,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237490</wp:posOffset>
            </wp:positionV>
            <wp:extent cx="66040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39</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4"/>
          <w:szCs w:val="14"/>
          <w:color w:val="51555C"/>
        </w:rPr>
        <w:t>the amount, scope and tming of which we are currently unable to predict, but could have a material adverse impact on our results of operatons, cash fows or fnancial conditon.</w:t>
      </w:r>
    </w:p>
    <w:p>
      <w:pPr>
        <w:spacing w:after="0" w:line="2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51555C"/>
        </w:rPr>
      </w:pPr>
      <w:r>
        <w:rPr>
          <w:rFonts w:ascii="Arial" w:cs="Arial" w:eastAsia="Arial" w:hAnsi="Arial"/>
          <w:sz w:val="14"/>
          <w:szCs w:val="14"/>
          <w:color w:val="51555C"/>
        </w:rPr>
        <w:t>We apply a non-GAAP efectve tax rate of 20.0% when calculatng non-GAAP net income and non-GAAP diluted earnings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organic revenue growth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51555C"/>
        </w:rPr>
        <w:t>In additon, we use non-GAAP organic revenue growth, non-GAAP organic revenue growth on a constant currency basis and non-GAAP organic recurring revenue growth, in analyzing our operatng performance. We believe that these non-GAAP measures are useful to investors, as a supplement to GAAP measures, for evaluatng the periodic growth of our business on a consistent basis. Each of these measures of non-GAAP organic revenue growth excludes incremental acquisiton-related revenue atributable to companies acquired in the current fscal year. For companies, if any, acquired in the immediately preceding fscal year, each of these non-GAAP organic revenue growth measures refects presentaton of full year incremental non-GAAP revenue derived from such companies as if they were combined throughout the prior period. In additon,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tme in both the prior and current periods. We believe this presentaton provides a more comparable representaton of our current business’ organic revenue growth and revenue run-rate.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shd w:val="clear" w:color="auto" w:fill="004054"/>
          </w:tcPr>
          <w:p>
            <w:pPr>
              <w:spacing w:after="0"/>
              <w:rPr>
                <w:sz w:val="14"/>
                <w:szCs w:val="14"/>
                <w:color w:val="auto"/>
              </w:rPr>
            </w:pPr>
          </w:p>
        </w:tc>
        <w:tc>
          <w:tcPr>
            <w:tcW w:w="596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212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right w:val="single" w:sz="8" w:color="004054"/>
            </w:tcBorders>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8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87"/>
              </w:rPr>
              <w:t>Six months ended</w:t>
            </w:r>
          </w:p>
        </w:tc>
      </w:tr>
      <w:tr>
        <w:trPr>
          <w:trHeight w:val="184"/>
        </w:trPr>
        <w:tc>
          <w:tcPr>
            <w:tcW w:w="20" w:type="dxa"/>
            <w:vAlign w:val="bottom"/>
            <w:shd w:val="clear" w:color="auto" w:fill="004054"/>
          </w:tcPr>
          <w:p>
            <w:pPr>
              <w:spacing w:after="0"/>
              <w:rPr>
                <w:sz w:val="15"/>
                <w:szCs w:val="15"/>
                <w:color w:val="auto"/>
              </w:rPr>
            </w:pPr>
          </w:p>
        </w:tc>
        <w:tc>
          <w:tcPr>
            <w:tcW w:w="596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8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Borders>
              <w:right w:val="single" w:sz="8" w:color="004054"/>
            </w:tcBorders>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364"/>
        </w:trPr>
        <w:tc>
          <w:tcPr>
            <w:tcW w:w="20" w:type="dxa"/>
            <w:vAlign w:val="bottom"/>
            <w:shd w:val="clear" w:color="auto" w:fill="004054"/>
          </w:tcPr>
          <w:p>
            <w:pPr>
              <w:spacing w:after="0"/>
              <w:rPr>
                <w:sz w:val="24"/>
                <w:szCs w:val="24"/>
                <w:color w:val="auto"/>
              </w:rPr>
            </w:pPr>
          </w:p>
        </w:tc>
        <w:tc>
          <w:tcPr>
            <w:tcW w:w="596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shd w:val="clear" w:color="auto" w:fill="004054"/>
          </w:tcPr>
          <w:p>
            <w:pPr>
              <w:spacing w:after="0"/>
              <w:rPr>
                <w:sz w:val="24"/>
                <w:szCs w:val="24"/>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00" w:type="dxa"/>
            <w:vAlign w:val="bottom"/>
            <w:shd w:val="clear" w:color="auto" w:fill="004054"/>
          </w:tcPr>
          <w:p>
            <w:pPr>
              <w:spacing w:after="0"/>
              <w:rPr>
                <w:sz w:val="24"/>
                <w:szCs w:val="24"/>
                <w:color w:val="auto"/>
              </w:rPr>
            </w:pPr>
          </w:p>
        </w:tc>
        <w:tc>
          <w:tcPr>
            <w:tcW w:w="8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Borders>
              <w:right w:val="single" w:sz="8" w:color="004054"/>
            </w:tcBorders>
          </w:tcPr>
          <w:p>
            <w:pPr>
              <w:spacing w:after="0"/>
              <w:rPr>
                <w:sz w:val="24"/>
                <w:szCs w:val="24"/>
                <w:color w:val="auto"/>
              </w:rPr>
            </w:pPr>
          </w:p>
        </w:tc>
        <w:tc>
          <w:tcPr>
            <w:tcW w:w="460" w:type="dxa"/>
            <w:vAlign w:val="bottom"/>
            <w:shd w:val="clear" w:color="auto" w:fill="004054"/>
          </w:tcPr>
          <w:p>
            <w:pPr>
              <w:spacing w:after="0"/>
              <w:rPr>
                <w:sz w:val="24"/>
                <w:szCs w:val="24"/>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120" w:type="dxa"/>
            <w:vAlign w:val="bottom"/>
            <w:shd w:val="clear" w:color="auto" w:fill="004054"/>
          </w:tcPr>
          <w:p>
            <w:pPr>
              <w:spacing w:after="0"/>
              <w:rPr>
                <w:sz w:val="24"/>
                <w:szCs w:val="2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r>
      <w:tr>
        <w:trPr>
          <w:trHeight w:val="57"/>
        </w:trPr>
        <w:tc>
          <w:tcPr>
            <w:tcW w:w="20" w:type="dxa"/>
            <w:vAlign w:val="bottom"/>
            <w:tcBorders>
              <w:bottom w:val="single" w:sz="8" w:color="004054"/>
            </w:tcBorders>
            <w:shd w:val="clear" w:color="auto" w:fill="004054"/>
          </w:tcPr>
          <w:p>
            <w:pPr>
              <w:spacing w:after="0"/>
              <w:rPr>
                <w:sz w:val="4"/>
                <w:szCs w:val="4"/>
                <w:color w:val="auto"/>
              </w:rPr>
            </w:pPr>
          </w:p>
        </w:tc>
        <w:tc>
          <w:tcPr>
            <w:tcW w:w="5960" w:type="dxa"/>
            <w:vAlign w:val="bottom"/>
            <w:tcBorders>
              <w:bottom w:val="single" w:sz="8" w:color="004054"/>
            </w:tcBorders>
            <w:shd w:val="clear" w:color="auto" w:fill="004054"/>
          </w:tcPr>
          <w:p>
            <w:pPr>
              <w:spacing w:after="0"/>
              <w:rPr>
                <w:sz w:val="4"/>
                <w:szCs w:val="4"/>
                <w:color w:val="auto"/>
              </w:rPr>
            </w:pPr>
          </w:p>
        </w:tc>
        <w:tc>
          <w:tcPr>
            <w:tcW w:w="480" w:type="dxa"/>
            <w:vAlign w:val="bottom"/>
            <w:tcBorders>
              <w:bottom w:val="single" w:sz="8" w:color="004054"/>
            </w:tcBorders>
            <w:shd w:val="clear" w:color="auto" w:fill="004054"/>
          </w:tcPr>
          <w:p>
            <w:pPr>
              <w:spacing w:after="0"/>
              <w:rPr>
                <w:sz w:val="4"/>
                <w:szCs w:val="4"/>
                <w:color w:val="auto"/>
              </w:rPr>
            </w:pPr>
          </w:p>
        </w:tc>
        <w:tc>
          <w:tcPr>
            <w:tcW w:w="860" w:type="dxa"/>
            <w:vAlign w:val="bottom"/>
            <w:tcBorders>
              <w:bottom w:val="single" w:sz="8" w:color="004054"/>
            </w:tcBorders>
            <w:shd w:val="clear" w:color="auto" w:fill="004054"/>
          </w:tcPr>
          <w:p>
            <w:pPr>
              <w:spacing w:after="0"/>
              <w:rPr>
                <w:sz w:val="4"/>
                <w:szCs w:val="4"/>
                <w:color w:val="auto"/>
              </w:rPr>
            </w:pPr>
          </w:p>
        </w:tc>
        <w:tc>
          <w:tcPr>
            <w:tcW w:w="400" w:type="dxa"/>
            <w:vAlign w:val="bottom"/>
            <w:tcBorders>
              <w:bottom w:val="single" w:sz="8" w:color="004054"/>
            </w:tcBorders>
            <w:shd w:val="clear" w:color="auto" w:fill="004054"/>
          </w:tcPr>
          <w:p>
            <w:pPr>
              <w:spacing w:after="0"/>
              <w:rPr>
                <w:sz w:val="4"/>
                <w:szCs w:val="4"/>
                <w:color w:val="auto"/>
              </w:rPr>
            </w:pPr>
          </w:p>
        </w:tc>
        <w:tc>
          <w:tcPr>
            <w:tcW w:w="860" w:type="dxa"/>
            <w:vAlign w:val="bottom"/>
            <w:tcBorders>
              <w:bottom w:val="single" w:sz="8" w:color="004054"/>
              <w:right w:val="single" w:sz="8" w:color="004054"/>
            </w:tcBorders>
            <w:shd w:val="clear" w:color="auto" w:fill="004054"/>
          </w:tcPr>
          <w:p>
            <w:pPr>
              <w:spacing w:after="0"/>
              <w:rPr>
                <w:sz w:val="4"/>
                <w:szCs w:val="4"/>
                <w:color w:val="auto"/>
              </w:rPr>
            </w:pPr>
          </w:p>
        </w:tc>
        <w:tc>
          <w:tcPr>
            <w:tcW w:w="100" w:type="dxa"/>
            <w:vAlign w:val="bottom"/>
            <w:tcBorders>
              <w:bottom w:val="single" w:sz="8" w:color="EBFBFF"/>
              <w:right w:val="single" w:sz="8" w:color="004054"/>
            </w:tcBorders>
          </w:tcPr>
          <w:p>
            <w:pPr>
              <w:spacing w:after="0"/>
              <w:rPr>
                <w:sz w:val="4"/>
                <w:szCs w:val="4"/>
                <w:color w:val="auto"/>
              </w:rPr>
            </w:pPr>
          </w:p>
        </w:tc>
        <w:tc>
          <w:tcPr>
            <w:tcW w:w="460" w:type="dxa"/>
            <w:vAlign w:val="bottom"/>
            <w:tcBorders>
              <w:bottom w:val="single" w:sz="8" w:color="004054"/>
            </w:tcBorders>
            <w:shd w:val="clear" w:color="auto" w:fill="004054"/>
          </w:tcPr>
          <w:p>
            <w:pPr>
              <w:spacing w:after="0"/>
              <w:rPr>
                <w:sz w:val="4"/>
                <w:szCs w:val="4"/>
                <w:color w:val="auto"/>
              </w:rPr>
            </w:pPr>
          </w:p>
        </w:tc>
        <w:tc>
          <w:tcPr>
            <w:tcW w:w="860" w:type="dxa"/>
            <w:vAlign w:val="bottom"/>
            <w:tcBorders>
              <w:bottom w:val="single" w:sz="8" w:color="004054"/>
            </w:tcBorders>
            <w:shd w:val="clear" w:color="auto" w:fill="004054"/>
          </w:tcPr>
          <w:p>
            <w:pPr>
              <w:spacing w:after="0"/>
              <w:rPr>
                <w:sz w:val="4"/>
                <w:szCs w:val="4"/>
                <w:color w:val="auto"/>
              </w:rPr>
            </w:pPr>
          </w:p>
        </w:tc>
        <w:tc>
          <w:tcPr>
            <w:tcW w:w="120" w:type="dxa"/>
            <w:vAlign w:val="bottom"/>
            <w:tcBorders>
              <w:bottom w:val="single" w:sz="8" w:color="004054"/>
            </w:tcBorders>
            <w:shd w:val="clear" w:color="auto" w:fill="004054"/>
          </w:tcPr>
          <w:p>
            <w:pPr>
              <w:spacing w:after="0"/>
              <w:rPr>
                <w:sz w:val="4"/>
                <w:szCs w:val="4"/>
                <w:color w:val="auto"/>
              </w:rPr>
            </w:pPr>
          </w:p>
        </w:tc>
        <w:tc>
          <w:tcPr>
            <w:tcW w:w="1120" w:type="dxa"/>
            <w:vAlign w:val="bottom"/>
            <w:tcBorders>
              <w:bottom w:val="single" w:sz="8" w:color="004054"/>
            </w:tcBorders>
            <w:shd w:val="clear" w:color="auto" w:fill="004054"/>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revenue</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271.0</w:t>
            </w:r>
          </w:p>
        </w:tc>
        <w:tc>
          <w:tcPr>
            <w:tcW w:w="400" w:type="dxa"/>
            <w:vAlign w:val="bottom"/>
            <w:tcBorders>
              <w:bottom w:val="single" w:sz="8" w:color="EBFBFF"/>
            </w:tcBorders>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EBFBFF"/>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264.9</w:t>
            </w:r>
          </w:p>
        </w:tc>
        <w:tc>
          <w:tcPr>
            <w:tcW w:w="100" w:type="dxa"/>
            <w:vAlign w:val="bottom"/>
            <w:tcBorders>
              <w:bottom w:val="single" w:sz="8" w:color="EBFBFF"/>
              <w:right w:val="single" w:sz="8" w:color="EBFBFF"/>
            </w:tcBorders>
            <w:shd w:val="clear" w:color="auto" w:fill="EBFBFF"/>
          </w:tcPr>
          <w:p>
            <w:pPr>
              <w:spacing w:after="0"/>
              <w:rPr>
                <w:sz w:val="17"/>
                <w:szCs w:val="17"/>
                <w:color w:val="auto"/>
              </w:rPr>
            </w:pPr>
          </w:p>
        </w:tc>
        <w:tc>
          <w:tcPr>
            <w:tcW w:w="460" w:type="dxa"/>
            <w:vAlign w:val="bottom"/>
            <w:tcBorders>
              <w:bottom w:val="single" w:sz="8" w:color="EBFBFF"/>
            </w:tcBorders>
            <w:shd w:val="clear" w:color="auto" w:fill="EBFBFF"/>
          </w:tcPr>
          <w:p>
            <w:pPr>
              <w:jc w:val="right"/>
              <w:ind w:right="308"/>
              <w:spacing w:after="0"/>
              <w:rPr>
                <w:sz w:val="20"/>
                <w:szCs w:val="20"/>
                <w:color w:val="auto"/>
              </w:rPr>
            </w:pPr>
            <w:r>
              <w:rPr>
                <w:rFonts w:ascii="Arial" w:cs="Arial" w:eastAsia="Arial" w:hAnsi="Arial"/>
                <w:sz w:val="14"/>
                <w:szCs w:val="14"/>
                <w:color w:val="51555C"/>
                <w:w w:val="76"/>
              </w:rPr>
              <w:t>$</w:t>
            </w:r>
          </w:p>
        </w:tc>
        <w:tc>
          <w:tcPr>
            <w:tcW w:w="8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532.8</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522.1</w:t>
            </w:r>
          </w:p>
        </w:tc>
      </w:tr>
      <w:tr>
        <w:trPr>
          <w:trHeight w:val="184"/>
        </w:trPr>
        <w:tc>
          <w:tcPr>
            <w:tcW w:w="20" w:type="dxa"/>
            <w:vAlign w:val="bottom"/>
          </w:tcPr>
          <w:p>
            <w:pPr>
              <w:spacing w:after="0"/>
              <w:rPr>
                <w:sz w:val="15"/>
                <w:szCs w:val="15"/>
                <w:color w:val="auto"/>
              </w:rPr>
            </w:pPr>
          </w:p>
        </w:tc>
        <w:tc>
          <w:tcPr>
            <w:tcW w:w="5960" w:type="dxa"/>
            <w:vAlign w:val="bottom"/>
          </w:tcPr>
          <w:p>
            <w:pPr>
              <w:ind w:left="20"/>
              <w:spacing w:after="0"/>
              <w:rPr>
                <w:sz w:val="20"/>
                <w:szCs w:val="20"/>
                <w:color w:val="auto"/>
              </w:rPr>
            </w:pPr>
            <w:r>
              <w:rPr>
                <w:rFonts w:ascii="Arial" w:cs="Arial" w:eastAsia="Arial" w:hAnsi="Arial"/>
                <w:sz w:val="14"/>
                <w:szCs w:val="14"/>
                <w:b w:val="1"/>
                <w:bCs w:val="1"/>
                <w:color w:val="51555C"/>
              </w:rPr>
              <w:t>GAAP revenue growth</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2.3 %</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2.1 %</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Less: Non-GAAP revenue from divested businesses</w:t>
            </w:r>
            <w:r>
              <w:rPr>
                <w:rFonts w:ascii="Arial" w:cs="Arial" w:eastAsia="Arial" w:hAnsi="Arial"/>
                <w:sz w:val="18"/>
                <w:szCs w:val="18"/>
                <w:color w:val="51555C"/>
                <w:vertAlign w:val="superscript"/>
              </w:rPr>
              <w:t>(1)</w:t>
            </w:r>
          </w:p>
        </w:tc>
        <w:tc>
          <w:tcPr>
            <w:tcW w:w="480" w:type="dxa"/>
            <w:vAlign w:val="bottom"/>
            <w:tcBorders>
              <w:bottom w:val="single" w:sz="8" w:color="51555C"/>
            </w:tcBorders>
            <w:shd w:val="clear" w:color="auto" w:fill="EBFBFF"/>
          </w:tcPr>
          <w:p>
            <w:pPr>
              <w:spacing w:after="0"/>
              <w:rPr>
                <w:sz w:val="19"/>
                <w:szCs w:val="19"/>
                <w:color w:val="auto"/>
              </w:rPr>
            </w:pP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400" w:type="dxa"/>
            <w:vAlign w:val="bottom"/>
            <w:tcBorders>
              <w:bottom w:val="single" w:sz="8" w:color="51555C"/>
            </w:tcBorders>
            <w:shd w:val="clear" w:color="auto" w:fill="EBFBFF"/>
          </w:tcPr>
          <w:p>
            <w:pPr>
              <w:spacing w:after="0"/>
              <w:rPr>
                <w:sz w:val="19"/>
                <w:szCs w:val="19"/>
                <w:color w:val="auto"/>
              </w:rPr>
            </w:pPr>
          </w:p>
        </w:tc>
        <w:tc>
          <w:tcPr>
            <w:tcW w:w="860" w:type="dxa"/>
            <w:vAlign w:val="bottom"/>
            <w:tcBorders>
              <w:bottom w:val="single" w:sz="8" w:color="51555C"/>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w:t>
            </w:r>
          </w:p>
        </w:tc>
        <w:tc>
          <w:tcPr>
            <w:tcW w:w="100" w:type="dxa"/>
            <w:vAlign w:val="bottom"/>
            <w:tcBorders>
              <w:right w:val="single" w:sz="8" w:color="EBFBFF"/>
            </w:tcBorders>
            <w:shd w:val="clear" w:color="auto" w:fill="EBFBFF"/>
          </w:tcPr>
          <w:p>
            <w:pPr>
              <w:spacing w:after="0"/>
              <w:rPr>
                <w:sz w:val="19"/>
                <w:szCs w:val="19"/>
                <w:color w:val="auto"/>
              </w:rPr>
            </w:pPr>
          </w:p>
        </w:tc>
        <w:tc>
          <w:tcPr>
            <w:tcW w:w="460" w:type="dxa"/>
            <w:vAlign w:val="bottom"/>
            <w:tcBorders>
              <w:bottom w:val="single" w:sz="8" w:color="51555C"/>
            </w:tcBorders>
            <w:shd w:val="clear" w:color="auto" w:fill="EBFBFF"/>
          </w:tcPr>
          <w:p>
            <w:pPr>
              <w:spacing w:after="0"/>
              <w:rPr>
                <w:sz w:val="19"/>
                <w:szCs w:val="19"/>
                <w:color w:val="auto"/>
              </w:rPr>
            </w:pP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20" w:type="dxa"/>
            <w:vAlign w:val="bottom"/>
            <w:tcBorders>
              <w:bottom w:val="single" w:sz="8" w:color="51555C"/>
            </w:tcBorders>
            <w:shd w:val="clear" w:color="auto" w:fill="EBFBFF"/>
          </w:tcPr>
          <w:p>
            <w:pPr>
              <w:spacing w:after="0"/>
              <w:rPr>
                <w:sz w:val="19"/>
                <w:szCs w:val="19"/>
                <w:color w:val="auto"/>
              </w:rPr>
            </w:pPr>
          </w:p>
        </w:tc>
        <w:tc>
          <w:tcPr>
            <w:tcW w:w="11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(2.6)</w:t>
            </w:r>
          </w:p>
        </w:tc>
      </w:tr>
      <w:tr>
        <w:trPr>
          <w:trHeight w:val="220"/>
        </w:trPr>
        <w:tc>
          <w:tcPr>
            <w:tcW w:w="20" w:type="dxa"/>
            <w:vAlign w:val="bottom"/>
          </w:tcPr>
          <w:p>
            <w:pPr>
              <w:spacing w:after="0"/>
              <w:rPr>
                <w:sz w:val="19"/>
                <w:szCs w:val="19"/>
                <w:color w:val="auto"/>
              </w:rPr>
            </w:pPr>
          </w:p>
        </w:tc>
        <w:tc>
          <w:tcPr>
            <w:tcW w:w="596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(2)</w:t>
            </w:r>
          </w:p>
        </w:tc>
        <w:tc>
          <w:tcPr>
            <w:tcW w:w="480" w:type="dxa"/>
            <w:vAlign w:val="bottom"/>
            <w:tcBorders>
              <w:bottom w:val="single" w:sz="8" w:color="51555C"/>
            </w:tcBorders>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271.0</w:t>
            </w:r>
          </w:p>
        </w:tc>
        <w:tc>
          <w:tcPr>
            <w:tcW w:w="400" w:type="dxa"/>
            <w:vAlign w:val="bottom"/>
            <w:tcBorders>
              <w:bottom w:val="single" w:sz="8" w:color="51555C"/>
            </w:tcBorders>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263.6</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jc w:val="right"/>
              <w:ind w:right="308"/>
              <w:spacing w:after="0"/>
              <w:rPr>
                <w:sz w:val="20"/>
                <w:szCs w:val="20"/>
                <w:color w:val="auto"/>
              </w:rPr>
            </w:pPr>
            <w:r>
              <w:rPr>
                <w:rFonts w:ascii="Arial" w:cs="Arial" w:eastAsia="Arial" w:hAnsi="Arial"/>
                <w:sz w:val="14"/>
                <w:szCs w:val="14"/>
                <w:color w:val="51555C"/>
                <w:w w:val="76"/>
              </w:rPr>
              <w:t>$</w:t>
            </w: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532.8</w:t>
            </w:r>
          </w:p>
        </w:tc>
        <w:tc>
          <w:tcPr>
            <w:tcW w:w="1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519.4</w:t>
            </w:r>
          </w:p>
        </w:tc>
      </w:tr>
      <w:tr>
        <w:trPr>
          <w:trHeight w:val="192"/>
        </w:trPr>
        <w:tc>
          <w:tcPr>
            <w:tcW w:w="20" w:type="dxa"/>
            <w:vAlign w:val="bottom"/>
          </w:tcPr>
          <w:p>
            <w:pPr>
              <w:spacing w:after="0"/>
              <w:rPr>
                <w:sz w:val="16"/>
                <w:szCs w:val="16"/>
                <w:color w:val="auto"/>
              </w:rPr>
            </w:pPr>
          </w:p>
        </w:tc>
        <w:tc>
          <w:tcPr>
            <w:tcW w:w="59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revenue growth</w:t>
            </w:r>
          </w:p>
        </w:tc>
        <w:tc>
          <w:tcPr>
            <w:tcW w:w="48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2.8 %</w:t>
            </w:r>
          </w:p>
        </w:tc>
        <w:tc>
          <w:tcPr>
            <w:tcW w:w="40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right w:val="single" w:sz="8" w:color="EBFBFF"/>
            </w:tcBorders>
            <w:shd w:val="clear" w:color="auto" w:fill="EBFBFF"/>
          </w:tcPr>
          <w:p>
            <w:pPr>
              <w:spacing w:after="0"/>
              <w:rPr>
                <w:sz w:val="16"/>
                <w:szCs w:val="16"/>
                <w:color w:val="auto"/>
              </w:rPr>
            </w:pPr>
          </w:p>
        </w:tc>
        <w:tc>
          <w:tcPr>
            <w:tcW w:w="100" w:type="dxa"/>
            <w:vAlign w:val="bottom"/>
            <w:tcBorders>
              <w:bottom w:val="single" w:sz="8" w:color="EBFBFF"/>
              <w:right w:val="single" w:sz="8" w:color="EBFBFF"/>
            </w:tcBorders>
            <w:shd w:val="clear" w:color="auto" w:fill="EBFBFF"/>
          </w:tcPr>
          <w:p>
            <w:pPr>
              <w:spacing w:after="0"/>
              <w:rPr>
                <w:sz w:val="16"/>
                <w:szCs w:val="16"/>
                <w:color w:val="auto"/>
              </w:rPr>
            </w:pPr>
          </w:p>
        </w:tc>
        <w:tc>
          <w:tcPr>
            <w:tcW w:w="460" w:type="dxa"/>
            <w:vAlign w:val="bottom"/>
            <w:tcBorders>
              <w:bottom w:val="single" w:sz="8" w:color="EBFBFF"/>
            </w:tcBorders>
            <w:shd w:val="clear" w:color="auto" w:fill="EBFBFF"/>
          </w:tcPr>
          <w:p>
            <w:pPr>
              <w:spacing w:after="0"/>
              <w:rPr>
                <w:sz w:val="16"/>
                <w:szCs w:val="16"/>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2.6 %</w:t>
            </w:r>
          </w:p>
        </w:tc>
        <w:tc>
          <w:tcPr>
            <w:tcW w:w="120" w:type="dxa"/>
            <w:vAlign w:val="bottom"/>
            <w:tcBorders>
              <w:bottom w:val="single" w:sz="8" w:color="EBFBFF"/>
            </w:tcBorders>
            <w:shd w:val="clear" w:color="auto" w:fill="EBFBFF"/>
          </w:tcPr>
          <w:p>
            <w:pPr>
              <w:spacing w:after="0"/>
              <w:rPr>
                <w:sz w:val="16"/>
                <w:szCs w:val="16"/>
                <w:color w:val="auto"/>
              </w:rPr>
            </w:pPr>
          </w:p>
        </w:tc>
        <w:tc>
          <w:tcPr>
            <w:tcW w:w="1120" w:type="dxa"/>
            <w:vAlign w:val="bottom"/>
            <w:tcBorders>
              <w:bottom w:val="single" w:sz="8" w:color="EBFBFF"/>
            </w:tcBorders>
            <w:shd w:val="clear" w:color="auto" w:fill="EBFBFF"/>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(2)</w:t>
            </w:r>
          </w:p>
        </w:tc>
        <w:tc>
          <w:tcPr>
            <w:tcW w:w="480" w:type="dxa"/>
            <w:vAlign w:val="bottom"/>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271.0</w:t>
            </w:r>
          </w:p>
        </w:tc>
        <w:tc>
          <w:tcPr>
            <w:tcW w:w="400" w:type="dxa"/>
            <w:vAlign w:val="bottom"/>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Borders>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263.6</w:t>
            </w:r>
          </w:p>
        </w:tc>
        <w:tc>
          <w:tcPr>
            <w:tcW w:w="560" w:type="dxa"/>
            <w:vAlign w:val="bottom"/>
            <w:gridSpan w:val="2"/>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532.8</w:t>
            </w:r>
          </w:p>
        </w:tc>
        <w:tc>
          <w:tcPr>
            <w:tcW w:w="120" w:type="dxa"/>
            <w:vAlign w:val="bottom"/>
            <w:shd w:val="clear" w:color="auto" w:fill="EBFBFF"/>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519.4</w:t>
            </w:r>
          </w:p>
        </w:tc>
      </w:tr>
      <w:tr>
        <w:trPr>
          <w:trHeight w:val="227"/>
        </w:trPr>
        <w:tc>
          <w:tcPr>
            <w:tcW w:w="20" w:type="dxa"/>
            <w:vAlign w:val="bottom"/>
          </w:tcPr>
          <w:p>
            <w:pPr>
              <w:spacing w:after="0"/>
              <w:rPr>
                <w:sz w:val="19"/>
                <w:szCs w:val="19"/>
                <w:color w:val="auto"/>
              </w:rPr>
            </w:pPr>
          </w:p>
        </w:tc>
        <w:tc>
          <w:tcPr>
            <w:tcW w:w="596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Foreign currency impact on Non-GAAP organic revenue</w:t>
            </w:r>
            <w:r>
              <w:rPr>
                <w:rFonts w:ascii="Arial" w:cs="Arial" w:eastAsia="Arial" w:hAnsi="Arial"/>
                <w:sz w:val="18"/>
                <w:szCs w:val="18"/>
                <w:color w:val="51555C"/>
                <w:vertAlign w:val="superscript"/>
              </w:rPr>
              <w:t>(3)</w:t>
            </w:r>
          </w:p>
        </w:tc>
        <w:tc>
          <w:tcPr>
            <w:tcW w:w="48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1.0</w:t>
            </w:r>
          </w:p>
        </w:tc>
        <w:tc>
          <w:tcPr>
            <w:tcW w:w="40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3.7</w:t>
            </w:r>
          </w:p>
        </w:tc>
        <w:tc>
          <w:tcPr>
            <w:tcW w:w="120" w:type="dxa"/>
            <w:vAlign w:val="bottom"/>
            <w:tcBorders>
              <w:bottom w:val="single" w:sz="8" w:color="51555C"/>
            </w:tcBorders>
          </w:tcPr>
          <w:p>
            <w:pPr>
              <w:spacing w:after="0"/>
              <w:rPr>
                <w:sz w:val="19"/>
                <w:szCs w:val="19"/>
                <w:color w:val="auto"/>
              </w:rPr>
            </w:pP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w:t>
            </w:r>
          </w:p>
        </w:tc>
      </w:tr>
      <w:tr>
        <w:trPr>
          <w:trHeight w:val="209"/>
        </w:trPr>
        <w:tc>
          <w:tcPr>
            <w:tcW w:w="20" w:type="dxa"/>
            <w:vAlign w:val="bottom"/>
          </w:tcPr>
          <w:p>
            <w:pPr>
              <w:spacing w:after="0"/>
              <w:rPr>
                <w:sz w:val="18"/>
                <w:szCs w:val="18"/>
                <w:color w:val="auto"/>
              </w:rPr>
            </w:pPr>
          </w:p>
        </w:tc>
        <w:tc>
          <w:tcPr>
            <w:tcW w:w="59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Non-GAAP organic revenue on constant currency basis</w:t>
            </w:r>
            <w:r>
              <w:rPr>
                <w:rFonts w:ascii="Arial" w:cs="Arial" w:eastAsia="Arial" w:hAnsi="Arial"/>
                <w:sz w:val="18"/>
                <w:szCs w:val="18"/>
                <w:color w:val="51555C"/>
                <w:vertAlign w:val="superscript"/>
              </w:rPr>
              <w:t>(3)</w:t>
            </w:r>
          </w:p>
        </w:tc>
        <w:tc>
          <w:tcPr>
            <w:tcW w:w="480" w:type="dxa"/>
            <w:vAlign w:val="bottom"/>
            <w:tcBorders>
              <w:bottom w:val="single" w:sz="8" w:color="51555C"/>
            </w:tcBorders>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272.0</w:t>
            </w:r>
          </w:p>
        </w:tc>
        <w:tc>
          <w:tcPr>
            <w:tcW w:w="400" w:type="dxa"/>
            <w:vAlign w:val="bottom"/>
            <w:tcBorders>
              <w:bottom w:val="single" w:sz="8" w:color="51555C"/>
            </w:tcBorders>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263.6</w:t>
            </w:r>
          </w:p>
        </w:tc>
        <w:tc>
          <w:tcPr>
            <w:tcW w:w="100" w:type="dxa"/>
            <w:vAlign w:val="bottom"/>
            <w:tcBorders>
              <w:bottom w:val="single" w:sz="8" w:color="EBFBFF"/>
              <w:right w:val="single" w:sz="8" w:color="EBFBFF"/>
            </w:tcBorders>
            <w:shd w:val="clear" w:color="auto" w:fill="EBFBFF"/>
          </w:tcPr>
          <w:p>
            <w:pPr>
              <w:spacing w:after="0"/>
              <w:rPr>
                <w:sz w:val="18"/>
                <w:szCs w:val="18"/>
                <w:color w:val="auto"/>
              </w:rPr>
            </w:pPr>
          </w:p>
        </w:tc>
        <w:tc>
          <w:tcPr>
            <w:tcW w:w="460" w:type="dxa"/>
            <w:vAlign w:val="bottom"/>
            <w:tcBorders>
              <w:bottom w:val="single" w:sz="8" w:color="51555C"/>
            </w:tcBorders>
            <w:shd w:val="clear" w:color="auto" w:fill="EBFBFF"/>
          </w:tcPr>
          <w:p>
            <w:pPr>
              <w:jc w:val="right"/>
              <w:ind w:right="308"/>
              <w:spacing w:after="0"/>
              <w:rPr>
                <w:sz w:val="20"/>
                <w:szCs w:val="20"/>
                <w:color w:val="auto"/>
              </w:rPr>
            </w:pPr>
            <w:r>
              <w:rPr>
                <w:rFonts w:ascii="Arial" w:cs="Arial" w:eastAsia="Arial" w:hAnsi="Arial"/>
                <w:sz w:val="14"/>
                <w:szCs w:val="14"/>
                <w:color w:val="51555C"/>
                <w:w w:val="76"/>
              </w:rPr>
              <w:t>$</w:t>
            </w: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536.5</w:t>
            </w:r>
          </w:p>
        </w:tc>
        <w:tc>
          <w:tcPr>
            <w:tcW w:w="1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519.4</w:t>
            </w:r>
          </w:p>
        </w:tc>
      </w:tr>
      <w:tr>
        <w:trPr>
          <w:trHeight w:val="180"/>
        </w:trPr>
        <w:tc>
          <w:tcPr>
            <w:tcW w:w="20" w:type="dxa"/>
            <w:vAlign w:val="bottom"/>
          </w:tcPr>
          <w:p>
            <w:pPr>
              <w:spacing w:after="0"/>
              <w:rPr>
                <w:sz w:val="15"/>
                <w:szCs w:val="15"/>
                <w:color w:val="auto"/>
              </w:rPr>
            </w:pPr>
          </w:p>
        </w:tc>
        <w:tc>
          <w:tcPr>
            <w:tcW w:w="596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revenue growth on constant currency basis</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3.2 %</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3.3 %</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46"/>
        </w:trPr>
        <w:tc>
          <w:tcPr>
            <w:tcW w:w="20" w:type="dxa"/>
            <w:vAlign w:val="bottom"/>
          </w:tcPr>
          <w:p>
            <w:pPr>
              <w:spacing w:after="0"/>
              <w:rPr>
                <w:sz w:val="3"/>
                <w:szCs w:val="3"/>
                <w:color w:val="auto"/>
              </w:rPr>
            </w:pPr>
          </w:p>
        </w:tc>
        <w:tc>
          <w:tcPr>
            <w:tcW w:w="5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EBFBFF"/>
          </w:tcPr>
          <w:p>
            <w:pPr>
              <w:spacing w:after="0"/>
              <w:rPr>
                <w:sz w:val="12"/>
                <w:szCs w:val="12"/>
                <w:color w:val="auto"/>
              </w:rPr>
            </w:pPr>
          </w:p>
        </w:tc>
        <w:tc>
          <w:tcPr>
            <w:tcW w:w="48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400" w:type="dxa"/>
            <w:vAlign w:val="bottom"/>
            <w:shd w:val="clear" w:color="auto" w:fill="EBFBFF"/>
          </w:tcPr>
          <w:p>
            <w:pPr>
              <w:spacing w:after="0"/>
              <w:rPr>
                <w:sz w:val="12"/>
                <w:szCs w:val="12"/>
                <w:color w:val="auto"/>
              </w:rPr>
            </w:pPr>
          </w:p>
        </w:tc>
        <w:tc>
          <w:tcPr>
            <w:tcW w:w="860" w:type="dxa"/>
            <w:vAlign w:val="bottom"/>
            <w:tcBorders>
              <w:right w:val="single" w:sz="8" w:color="EBFBFF"/>
            </w:tcBorders>
            <w:shd w:val="clear" w:color="auto" w:fill="EBFBFF"/>
          </w:tcPr>
          <w:p>
            <w:pPr>
              <w:spacing w:after="0"/>
              <w:rPr>
                <w:sz w:val="12"/>
                <w:szCs w:val="12"/>
                <w:color w:val="auto"/>
              </w:rPr>
            </w:pPr>
          </w:p>
        </w:tc>
        <w:tc>
          <w:tcPr>
            <w:tcW w:w="100" w:type="dxa"/>
            <w:vAlign w:val="bottom"/>
            <w:tcBorders>
              <w:right w:val="single" w:sz="8" w:color="EBFBFF"/>
            </w:tcBorders>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120" w:type="dxa"/>
            <w:vAlign w:val="bottom"/>
            <w:shd w:val="clear" w:color="auto" w:fill="EBFBFF"/>
          </w:tcPr>
          <w:p>
            <w:pPr>
              <w:spacing w:after="0"/>
              <w:rPr>
                <w:sz w:val="12"/>
                <w:szCs w:val="12"/>
                <w:color w:val="auto"/>
              </w:rPr>
            </w:pPr>
          </w:p>
        </w:tc>
        <w:tc>
          <w:tcPr>
            <w:tcW w:w="1120" w:type="dxa"/>
            <w:vAlign w:val="bottom"/>
            <w:shd w:val="clear" w:color="auto" w:fill="EBFBFF"/>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960" w:type="dxa"/>
            <w:vAlign w:val="bottom"/>
          </w:tcPr>
          <w:p>
            <w:pPr>
              <w:ind w:left="20"/>
              <w:spacing w:after="0"/>
              <w:rPr>
                <w:sz w:val="20"/>
                <w:szCs w:val="20"/>
                <w:color w:val="auto"/>
              </w:rPr>
            </w:pPr>
            <w:r>
              <w:rPr>
                <w:rFonts w:ascii="Arial" w:cs="Arial" w:eastAsia="Arial" w:hAnsi="Arial"/>
                <w:sz w:val="14"/>
                <w:szCs w:val="14"/>
                <w:color w:val="51555C"/>
              </w:rPr>
              <w:t>GAAP recurring revenue</w:t>
            </w:r>
          </w:p>
        </w:tc>
        <w:tc>
          <w:tcPr>
            <w:tcW w:w="480" w:type="dxa"/>
            <w:vAlign w:val="bottom"/>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51555C"/>
              </w:rPr>
              <w:t>262.4</w:t>
            </w:r>
          </w:p>
        </w:tc>
        <w:tc>
          <w:tcPr>
            <w:tcW w:w="400" w:type="dxa"/>
            <w:vAlign w:val="bottom"/>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51555C"/>
              </w:rPr>
              <w:t>252.5</w:t>
            </w:r>
          </w:p>
        </w:tc>
        <w:tc>
          <w:tcPr>
            <w:tcW w:w="560" w:type="dxa"/>
            <w:vAlign w:val="bottom"/>
            <w:gridSpan w:val="2"/>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51555C"/>
              </w:rPr>
              <w:t>515.1</w:t>
            </w:r>
          </w:p>
        </w:tc>
        <w:tc>
          <w:tcPr>
            <w:tcW w:w="120" w:type="dxa"/>
            <w:vAlign w:val="bottom"/>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51555C"/>
              </w:rPr>
              <w:t>497.2</w:t>
            </w:r>
          </w:p>
        </w:tc>
      </w:tr>
      <w:tr>
        <w:trPr>
          <w:trHeight w:val="48"/>
        </w:trPr>
        <w:tc>
          <w:tcPr>
            <w:tcW w:w="20" w:type="dxa"/>
            <w:vAlign w:val="bottom"/>
          </w:tcPr>
          <w:p>
            <w:pPr>
              <w:spacing w:after="0"/>
              <w:rPr>
                <w:sz w:val="4"/>
                <w:szCs w:val="4"/>
                <w:color w:val="auto"/>
              </w:rPr>
            </w:pPr>
          </w:p>
        </w:tc>
        <w:tc>
          <w:tcPr>
            <w:tcW w:w="5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59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recurring revenue growth</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3.9 %</w:t>
            </w:r>
          </w:p>
        </w:tc>
        <w:tc>
          <w:tcPr>
            <w:tcW w:w="40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right w:val="single" w:sz="8" w:color="EBFBFF"/>
            </w:tcBorders>
            <w:shd w:val="clear" w:color="auto" w:fill="EBFBFF"/>
          </w:tcPr>
          <w:p>
            <w:pPr>
              <w:spacing w:after="0"/>
              <w:rPr>
                <w:sz w:val="17"/>
                <w:szCs w:val="17"/>
                <w:color w:val="auto"/>
              </w:rPr>
            </w:pPr>
          </w:p>
        </w:tc>
        <w:tc>
          <w:tcPr>
            <w:tcW w:w="100" w:type="dxa"/>
            <w:vAlign w:val="bottom"/>
            <w:tcBorders>
              <w:bottom w:val="single" w:sz="8" w:color="EBFBFF"/>
              <w:right w:val="single" w:sz="8" w:color="EBFBFF"/>
            </w:tcBorders>
            <w:shd w:val="clear" w:color="auto" w:fill="EBFBFF"/>
          </w:tcPr>
          <w:p>
            <w:pPr>
              <w:spacing w:after="0"/>
              <w:rPr>
                <w:sz w:val="17"/>
                <w:szCs w:val="17"/>
                <w:color w:val="auto"/>
              </w:rPr>
            </w:pPr>
          </w:p>
        </w:tc>
        <w:tc>
          <w:tcPr>
            <w:tcW w:w="46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3.6 %</w:t>
            </w:r>
          </w:p>
        </w:tc>
        <w:tc>
          <w:tcPr>
            <w:tcW w:w="120" w:type="dxa"/>
            <w:vAlign w:val="bottom"/>
            <w:tcBorders>
              <w:bottom w:val="single" w:sz="8" w:color="EBFBFF"/>
            </w:tcBorders>
            <w:shd w:val="clear" w:color="auto" w:fill="EBFBFF"/>
          </w:tcPr>
          <w:p>
            <w:pPr>
              <w:spacing w:after="0"/>
              <w:rPr>
                <w:sz w:val="17"/>
                <w:szCs w:val="17"/>
                <w:color w:val="auto"/>
              </w:rPr>
            </w:pPr>
          </w:p>
        </w:tc>
        <w:tc>
          <w:tcPr>
            <w:tcW w:w="1120" w:type="dxa"/>
            <w:vAlign w:val="bottom"/>
            <w:tcBorders>
              <w:bottom w:val="single" w:sz="8" w:color="EBFBFF"/>
            </w:tcBorders>
            <w:shd w:val="clear" w:color="auto" w:fill="EBFB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960" w:type="dxa"/>
            <w:vAlign w:val="bottom"/>
            <w:tcBorders>
              <w:bottom w:val="single" w:sz="8" w:color="EBFBFF"/>
            </w:tcBorders>
          </w:tcPr>
          <w:p>
            <w:pPr>
              <w:ind w:left="120"/>
              <w:spacing w:after="0"/>
              <w:rPr>
                <w:sz w:val="20"/>
                <w:szCs w:val="20"/>
                <w:color w:val="auto"/>
              </w:rPr>
            </w:pPr>
            <w:r>
              <w:rPr>
                <w:rFonts w:ascii="Arial" w:cs="Arial" w:eastAsia="Arial" w:hAnsi="Arial"/>
                <w:sz w:val="14"/>
                <w:szCs w:val="14"/>
                <w:color w:val="51555C"/>
              </w:rPr>
              <w:t>Less: Non-GAAP recurring revenue from divested businesses</w:t>
            </w:r>
            <w:r>
              <w:rPr>
                <w:rFonts w:ascii="Arial" w:cs="Arial" w:eastAsia="Arial" w:hAnsi="Arial"/>
                <w:sz w:val="18"/>
                <w:szCs w:val="18"/>
                <w:color w:val="51555C"/>
                <w:vertAlign w:val="superscript"/>
              </w:rPr>
              <w:t>(1)</w:t>
            </w:r>
          </w:p>
        </w:tc>
        <w:tc>
          <w:tcPr>
            <w:tcW w:w="48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w:t>
            </w:r>
          </w:p>
        </w:tc>
        <w:tc>
          <w:tcPr>
            <w:tcW w:w="40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(1.3)</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w:t>
            </w:r>
          </w:p>
        </w:tc>
        <w:tc>
          <w:tcPr>
            <w:tcW w:w="120" w:type="dxa"/>
            <w:vAlign w:val="bottom"/>
            <w:tcBorders>
              <w:bottom w:val="single" w:sz="8" w:color="51555C"/>
            </w:tcBorders>
          </w:tcPr>
          <w:p>
            <w:pPr>
              <w:spacing w:after="0"/>
              <w:rPr>
                <w:sz w:val="19"/>
                <w:szCs w:val="19"/>
                <w:color w:val="auto"/>
              </w:rPr>
            </w:pP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(2.5)</w:t>
            </w:r>
          </w:p>
        </w:tc>
      </w:tr>
      <w:tr>
        <w:trPr>
          <w:trHeight w:val="226"/>
        </w:trPr>
        <w:tc>
          <w:tcPr>
            <w:tcW w:w="20" w:type="dxa"/>
            <w:vAlign w:val="bottom"/>
          </w:tcPr>
          <w:p>
            <w:pPr>
              <w:spacing w:after="0"/>
              <w:rPr>
                <w:sz w:val="19"/>
                <w:szCs w:val="19"/>
                <w:color w:val="auto"/>
              </w:rPr>
            </w:pPr>
          </w:p>
        </w:tc>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(2)</w:t>
            </w:r>
          </w:p>
        </w:tc>
        <w:tc>
          <w:tcPr>
            <w:tcW w:w="480" w:type="dxa"/>
            <w:vAlign w:val="bottom"/>
            <w:tcBorders>
              <w:bottom w:val="single" w:sz="8" w:color="51555C"/>
            </w:tcBorders>
            <w:shd w:val="clear" w:color="auto" w:fill="EBFBFF"/>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262.4</w:t>
            </w:r>
          </w:p>
        </w:tc>
        <w:tc>
          <w:tcPr>
            <w:tcW w:w="400" w:type="dxa"/>
            <w:vAlign w:val="bottom"/>
            <w:tcBorders>
              <w:bottom w:val="single" w:sz="8" w:color="51555C"/>
            </w:tcBorders>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251.2</w:t>
            </w:r>
          </w:p>
        </w:tc>
        <w:tc>
          <w:tcPr>
            <w:tcW w:w="100" w:type="dxa"/>
            <w:vAlign w:val="bottom"/>
            <w:tcBorders>
              <w:right w:val="single" w:sz="8" w:color="EBFBFF"/>
            </w:tcBorders>
            <w:shd w:val="clear" w:color="auto" w:fill="EBFBFF"/>
          </w:tcPr>
          <w:p>
            <w:pPr>
              <w:spacing w:after="0"/>
              <w:rPr>
                <w:sz w:val="19"/>
                <w:szCs w:val="19"/>
                <w:color w:val="auto"/>
              </w:rPr>
            </w:pPr>
          </w:p>
        </w:tc>
        <w:tc>
          <w:tcPr>
            <w:tcW w:w="460" w:type="dxa"/>
            <w:vAlign w:val="bottom"/>
            <w:tcBorders>
              <w:bottom w:val="single" w:sz="8" w:color="51555C"/>
            </w:tcBorders>
            <w:shd w:val="clear" w:color="auto" w:fill="EBFBFF"/>
          </w:tcPr>
          <w:p>
            <w:pPr>
              <w:jc w:val="right"/>
              <w:ind w:right="308"/>
              <w:spacing w:after="0"/>
              <w:rPr>
                <w:sz w:val="20"/>
                <w:szCs w:val="20"/>
                <w:color w:val="auto"/>
              </w:rPr>
            </w:pPr>
            <w:r>
              <w:rPr>
                <w:rFonts w:ascii="Arial" w:cs="Arial" w:eastAsia="Arial" w:hAnsi="Arial"/>
                <w:sz w:val="14"/>
                <w:szCs w:val="14"/>
                <w:color w:val="51555C"/>
                <w:w w:val="76"/>
              </w:rPr>
              <w:t>$</w:t>
            </w: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515.1</w:t>
            </w:r>
          </w:p>
        </w:tc>
        <w:tc>
          <w:tcPr>
            <w:tcW w:w="1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494.6</w:t>
            </w:r>
          </w:p>
        </w:tc>
      </w:tr>
      <w:tr>
        <w:trPr>
          <w:trHeight w:val="177"/>
        </w:trPr>
        <w:tc>
          <w:tcPr>
            <w:tcW w:w="20" w:type="dxa"/>
            <w:vAlign w:val="bottom"/>
          </w:tcPr>
          <w:p>
            <w:pPr>
              <w:spacing w:after="0"/>
              <w:rPr>
                <w:sz w:val="15"/>
                <w:szCs w:val="15"/>
                <w:color w:val="auto"/>
              </w:rPr>
            </w:pPr>
          </w:p>
        </w:tc>
        <w:tc>
          <w:tcPr>
            <w:tcW w:w="596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recurring revenue growth</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4.4 %</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4.1 %</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EBFBFF"/>
          </w:tcPr>
          <w:p>
            <w:pPr>
              <w:spacing w:after="0"/>
              <w:rPr>
                <w:sz w:val="12"/>
                <w:szCs w:val="12"/>
                <w:color w:val="auto"/>
              </w:rPr>
            </w:pPr>
          </w:p>
        </w:tc>
        <w:tc>
          <w:tcPr>
            <w:tcW w:w="48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400" w:type="dxa"/>
            <w:vAlign w:val="bottom"/>
            <w:shd w:val="clear" w:color="auto" w:fill="EBFBFF"/>
          </w:tcPr>
          <w:p>
            <w:pPr>
              <w:spacing w:after="0"/>
              <w:rPr>
                <w:sz w:val="12"/>
                <w:szCs w:val="12"/>
                <w:color w:val="auto"/>
              </w:rPr>
            </w:pPr>
          </w:p>
        </w:tc>
        <w:tc>
          <w:tcPr>
            <w:tcW w:w="860" w:type="dxa"/>
            <w:vAlign w:val="bottom"/>
            <w:tcBorders>
              <w:right w:val="single" w:sz="8" w:color="EBFBFF"/>
            </w:tcBorders>
            <w:shd w:val="clear" w:color="auto" w:fill="EBFBFF"/>
          </w:tcPr>
          <w:p>
            <w:pPr>
              <w:spacing w:after="0"/>
              <w:rPr>
                <w:sz w:val="12"/>
                <w:szCs w:val="12"/>
                <w:color w:val="auto"/>
              </w:rPr>
            </w:pPr>
          </w:p>
        </w:tc>
        <w:tc>
          <w:tcPr>
            <w:tcW w:w="100" w:type="dxa"/>
            <w:vAlign w:val="bottom"/>
            <w:tcBorders>
              <w:right w:val="single" w:sz="8" w:color="EBFBFF"/>
            </w:tcBorders>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120" w:type="dxa"/>
            <w:vAlign w:val="bottom"/>
            <w:shd w:val="clear" w:color="auto" w:fill="EBFBFF"/>
          </w:tcPr>
          <w:p>
            <w:pPr>
              <w:spacing w:after="0"/>
              <w:rPr>
                <w:sz w:val="12"/>
                <w:szCs w:val="12"/>
                <w:color w:val="auto"/>
              </w:rPr>
            </w:pPr>
          </w:p>
        </w:tc>
        <w:tc>
          <w:tcPr>
            <w:tcW w:w="1120" w:type="dxa"/>
            <w:vAlign w:val="bottom"/>
            <w:shd w:val="clear" w:color="auto" w:fill="EBFBFF"/>
          </w:tcPr>
          <w:p>
            <w:pPr>
              <w:spacing w:after="0"/>
              <w:rPr>
                <w:sz w:val="12"/>
                <w:szCs w:val="12"/>
                <w:color w:val="auto"/>
              </w:rPr>
            </w:pPr>
          </w:p>
        </w:tc>
      </w:tr>
      <w:tr>
        <w:trPr>
          <w:trHeight w:val="226"/>
        </w:trPr>
        <w:tc>
          <w:tcPr>
            <w:tcW w:w="20" w:type="dxa"/>
            <w:vAlign w:val="bottom"/>
          </w:tcPr>
          <w:p>
            <w:pPr>
              <w:spacing w:after="0"/>
              <w:rPr>
                <w:sz w:val="19"/>
                <w:szCs w:val="19"/>
                <w:color w:val="auto"/>
              </w:rPr>
            </w:pPr>
          </w:p>
        </w:tc>
        <w:tc>
          <w:tcPr>
            <w:tcW w:w="5960" w:type="dxa"/>
            <w:vAlign w:val="bottom"/>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(2)</w:t>
            </w:r>
          </w:p>
        </w:tc>
        <w:tc>
          <w:tcPr>
            <w:tcW w:w="480" w:type="dxa"/>
            <w:vAlign w:val="bottom"/>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51555C"/>
              </w:rPr>
              <w:t>262.4</w:t>
            </w:r>
          </w:p>
        </w:tc>
        <w:tc>
          <w:tcPr>
            <w:tcW w:w="400" w:type="dxa"/>
            <w:vAlign w:val="bottom"/>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51555C"/>
              </w:rPr>
              <w:t>251.2</w:t>
            </w:r>
          </w:p>
        </w:tc>
        <w:tc>
          <w:tcPr>
            <w:tcW w:w="560" w:type="dxa"/>
            <w:vAlign w:val="bottom"/>
            <w:gridSpan w:val="2"/>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51555C"/>
              </w:rPr>
              <w:t>515.1</w:t>
            </w:r>
          </w:p>
        </w:tc>
        <w:tc>
          <w:tcPr>
            <w:tcW w:w="120" w:type="dxa"/>
            <w:vAlign w:val="bottom"/>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51555C"/>
              </w:rPr>
              <w:t>494.6</w:t>
            </w:r>
          </w:p>
        </w:tc>
      </w:tr>
      <w:tr>
        <w:trPr>
          <w:trHeight w:val="233"/>
        </w:trPr>
        <w:tc>
          <w:tcPr>
            <w:tcW w:w="20" w:type="dxa"/>
            <w:vAlign w:val="bottom"/>
          </w:tcPr>
          <w:p>
            <w:pPr>
              <w:spacing w:after="0"/>
              <w:rPr>
                <w:sz w:val="20"/>
                <w:szCs w:val="20"/>
                <w:color w:val="auto"/>
              </w:rPr>
            </w:pPr>
          </w:p>
        </w:tc>
        <w:tc>
          <w:tcPr>
            <w:tcW w:w="59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Foreign currency impact on non-GAAP organic recurring revenue</w:t>
            </w:r>
            <w:r>
              <w:rPr>
                <w:rFonts w:ascii="Arial" w:cs="Arial" w:eastAsia="Arial" w:hAnsi="Arial"/>
                <w:sz w:val="18"/>
                <w:szCs w:val="18"/>
                <w:color w:val="51555C"/>
                <w:vertAlign w:val="superscript"/>
              </w:rPr>
              <w:t>(3)</w:t>
            </w:r>
          </w:p>
        </w:tc>
        <w:tc>
          <w:tcPr>
            <w:tcW w:w="480" w:type="dxa"/>
            <w:vAlign w:val="bottom"/>
            <w:tcBorders>
              <w:bottom w:val="single" w:sz="8" w:color="51555C"/>
            </w:tcBorders>
            <w:shd w:val="clear" w:color="auto" w:fill="EBFBFF"/>
          </w:tcPr>
          <w:p>
            <w:pPr>
              <w:spacing w:after="0"/>
              <w:rPr>
                <w:sz w:val="20"/>
                <w:szCs w:val="20"/>
                <w:color w:val="auto"/>
              </w:rPr>
            </w:pP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0.9</w:t>
            </w:r>
          </w:p>
        </w:tc>
        <w:tc>
          <w:tcPr>
            <w:tcW w:w="400" w:type="dxa"/>
            <w:vAlign w:val="bottom"/>
            <w:tcBorders>
              <w:bottom w:val="single" w:sz="8" w:color="51555C"/>
            </w:tcBorders>
            <w:shd w:val="clear" w:color="auto" w:fill="EBFBFF"/>
          </w:tcPr>
          <w:p>
            <w:pPr>
              <w:spacing w:after="0"/>
              <w:rPr>
                <w:sz w:val="20"/>
                <w:szCs w:val="20"/>
                <w:color w:val="auto"/>
              </w:rPr>
            </w:pPr>
          </w:p>
        </w:tc>
        <w:tc>
          <w:tcPr>
            <w:tcW w:w="860" w:type="dxa"/>
            <w:vAlign w:val="bottom"/>
            <w:tcBorders>
              <w:bottom w:val="single" w:sz="8" w:color="51555C"/>
              <w:right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w:t>
            </w:r>
          </w:p>
        </w:tc>
        <w:tc>
          <w:tcPr>
            <w:tcW w:w="100" w:type="dxa"/>
            <w:vAlign w:val="bottom"/>
            <w:tcBorders>
              <w:right w:val="single" w:sz="8" w:color="EBFBFF"/>
            </w:tcBorders>
            <w:shd w:val="clear" w:color="auto" w:fill="EBFBFF"/>
          </w:tcPr>
          <w:p>
            <w:pPr>
              <w:spacing w:after="0"/>
              <w:rPr>
                <w:sz w:val="20"/>
                <w:szCs w:val="20"/>
                <w:color w:val="auto"/>
              </w:rPr>
            </w:pPr>
          </w:p>
        </w:tc>
        <w:tc>
          <w:tcPr>
            <w:tcW w:w="460" w:type="dxa"/>
            <w:vAlign w:val="bottom"/>
            <w:tcBorders>
              <w:bottom w:val="single" w:sz="8" w:color="51555C"/>
            </w:tcBorders>
            <w:shd w:val="clear" w:color="auto" w:fill="EBFBFF"/>
          </w:tcPr>
          <w:p>
            <w:pPr>
              <w:spacing w:after="0"/>
              <w:rPr>
                <w:sz w:val="20"/>
                <w:szCs w:val="20"/>
                <w:color w:val="auto"/>
              </w:rPr>
            </w:pPr>
          </w:p>
        </w:tc>
        <w:tc>
          <w:tcPr>
            <w:tcW w:w="86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3.4</w:t>
            </w:r>
          </w:p>
        </w:tc>
        <w:tc>
          <w:tcPr>
            <w:tcW w:w="120" w:type="dxa"/>
            <w:vAlign w:val="bottom"/>
            <w:tcBorders>
              <w:bottom w:val="single" w:sz="8" w:color="51555C"/>
            </w:tcBorders>
            <w:shd w:val="clear" w:color="auto" w:fill="EBFBFF"/>
          </w:tcPr>
          <w:p>
            <w:pPr>
              <w:spacing w:after="0"/>
              <w:rPr>
                <w:sz w:val="20"/>
                <w:szCs w:val="20"/>
                <w:color w:val="auto"/>
              </w:rPr>
            </w:pPr>
          </w:p>
        </w:tc>
        <w:tc>
          <w:tcPr>
            <w:tcW w:w="11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w:t>
            </w:r>
          </w:p>
        </w:tc>
      </w:tr>
      <w:tr>
        <w:trPr>
          <w:trHeight w:val="207"/>
        </w:trPr>
        <w:tc>
          <w:tcPr>
            <w:tcW w:w="20" w:type="dxa"/>
            <w:vAlign w:val="bottom"/>
          </w:tcPr>
          <w:p>
            <w:pPr>
              <w:spacing w:after="0"/>
              <w:rPr>
                <w:sz w:val="17"/>
                <w:szCs w:val="17"/>
                <w:color w:val="auto"/>
              </w:rPr>
            </w:pPr>
          </w:p>
        </w:tc>
        <w:tc>
          <w:tcPr>
            <w:tcW w:w="5960" w:type="dxa"/>
            <w:vAlign w:val="bottom"/>
          </w:tcPr>
          <w:p>
            <w:pPr>
              <w:ind w:left="20"/>
              <w:spacing w:after="0" w:line="204" w:lineRule="exact"/>
              <w:rPr>
                <w:sz w:val="20"/>
                <w:szCs w:val="20"/>
                <w:color w:val="auto"/>
              </w:rPr>
            </w:pPr>
            <w:r>
              <w:rPr>
                <w:rFonts w:ascii="Arial" w:cs="Arial" w:eastAsia="Arial" w:hAnsi="Arial"/>
                <w:sz w:val="14"/>
                <w:szCs w:val="14"/>
                <w:color w:val="51555C"/>
              </w:rPr>
              <w:t>Non-GAAP organic recurring revenue on constant currency basis</w:t>
            </w:r>
            <w:r>
              <w:rPr>
                <w:rFonts w:ascii="Arial" w:cs="Arial" w:eastAsia="Arial" w:hAnsi="Arial"/>
                <w:sz w:val="18"/>
                <w:szCs w:val="18"/>
                <w:color w:val="51555C"/>
                <w:vertAlign w:val="superscript"/>
              </w:rPr>
              <w:t>(3)</w:t>
            </w:r>
          </w:p>
        </w:tc>
        <w:tc>
          <w:tcPr>
            <w:tcW w:w="480" w:type="dxa"/>
            <w:vAlign w:val="bottom"/>
            <w:tcBorders>
              <w:bottom w:val="single" w:sz="8" w:color="51555C"/>
            </w:tcBorders>
          </w:tcPr>
          <w:p>
            <w:pPr>
              <w:jc w:val="right"/>
              <w:ind w:right="30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263.3</w:t>
            </w:r>
          </w:p>
        </w:tc>
        <w:tc>
          <w:tcPr>
            <w:tcW w:w="400" w:type="dxa"/>
            <w:vAlign w:val="bottom"/>
            <w:tcBorders>
              <w:bottom w:val="single" w:sz="8" w:color="51555C"/>
            </w:tcBorders>
          </w:tcPr>
          <w:p>
            <w:pPr>
              <w:jc w:val="right"/>
              <w:ind w:right="228"/>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251.2</w:t>
            </w:r>
          </w:p>
        </w:tc>
        <w:tc>
          <w:tcPr>
            <w:tcW w:w="100" w:type="dxa"/>
            <w:vAlign w:val="bottom"/>
          </w:tcPr>
          <w:p>
            <w:pPr>
              <w:spacing w:after="0"/>
              <w:rPr>
                <w:sz w:val="17"/>
                <w:szCs w:val="17"/>
                <w:color w:val="auto"/>
              </w:rPr>
            </w:pPr>
          </w:p>
        </w:tc>
        <w:tc>
          <w:tcPr>
            <w:tcW w:w="460" w:type="dxa"/>
            <w:vAlign w:val="bottom"/>
            <w:tcBorders>
              <w:bottom w:val="single" w:sz="8" w:color="51555C"/>
            </w:tcBorders>
          </w:tcPr>
          <w:p>
            <w:pPr>
              <w:jc w:val="right"/>
              <w:ind w:right="308"/>
              <w:spacing w:after="0"/>
              <w:rPr>
                <w:sz w:val="20"/>
                <w:szCs w:val="20"/>
                <w:color w:val="auto"/>
              </w:rPr>
            </w:pPr>
            <w:r>
              <w:rPr>
                <w:rFonts w:ascii="Arial" w:cs="Arial" w:eastAsia="Arial" w:hAnsi="Arial"/>
                <w:sz w:val="14"/>
                <w:szCs w:val="14"/>
                <w:color w:val="51555C"/>
                <w:w w:val="76"/>
              </w:rPr>
              <w:t>$</w:t>
            </w:r>
          </w:p>
        </w:tc>
        <w:tc>
          <w:tcPr>
            <w:tcW w:w="86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518.5</w:t>
            </w:r>
          </w:p>
        </w:tc>
        <w:tc>
          <w:tcPr>
            <w:tcW w:w="1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w w:val="76"/>
              </w:rPr>
              <w:t>$</w:t>
            </w:r>
          </w:p>
        </w:tc>
        <w:tc>
          <w:tcPr>
            <w:tcW w:w="11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494.6</w:t>
            </w:r>
          </w:p>
        </w:tc>
      </w:tr>
      <w:tr>
        <w:trPr>
          <w:trHeight w:val="206"/>
        </w:trPr>
        <w:tc>
          <w:tcPr>
            <w:tcW w:w="20" w:type="dxa"/>
            <w:vAlign w:val="bottom"/>
          </w:tcPr>
          <w:p>
            <w:pPr>
              <w:spacing w:after="0"/>
              <w:rPr>
                <w:sz w:val="17"/>
                <w:szCs w:val="17"/>
                <w:color w:val="auto"/>
              </w:rPr>
            </w:pPr>
          </w:p>
        </w:tc>
        <w:tc>
          <w:tcPr>
            <w:tcW w:w="59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recurring revenue growth on constant currency basis</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4.8 %</w:t>
            </w:r>
          </w:p>
        </w:tc>
        <w:tc>
          <w:tcPr>
            <w:tcW w:w="40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right w:val="single" w:sz="8" w:color="EBFBFF"/>
            </w:tcBorders>
            <w:shd w:val="clear" w:color="auto" w:fill="EBFBFF"/>
          </w:tcPr>
          <w:p>
            <w:pPr>
              <w:spacing w:after="0"/>
              <w:rPr>
                <w:sz w:val="17"/>
                <w:szCs w:val="17"/>
                <w:color w:val="auto"/>
              </w:rPr>
            </w:pPr>
          </w:p>
        </w:tc>
        <w:tc>
          <w:tcPr>
            <w:tcW w:w="100" w:type="dxa"/>
            <w:vAlign w:val="bottom"/>
            <w:tcBorders>
              <w:bottom w:val="single" w:sz="8" w:color="EBFBFF"/>
              <w:right w:val="single" w:sz="8" w:color="EBFBFF"/>
            </w:tcBorders>
            <w:shd w:val="clear" w:color="auto" w:fill="EBFBFF"/>
          </w:tcPr>
          <w:p>
            <w:pPr>
              <w:spacing w:after="0"/>
              <w:rPr>
                <w:sz w:val="17"/>
                <w:szCs w:val="17"/>
                <w:color w:val="auto"/>
              </w:rPr>
            </w:pPr>
          </w:p>
        </w:tc>
        <w:tc>
          <w:tcPr>
            <w:tcW w:w="46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4.8 %</w:t>
            </w:r>
          </w:p>
        </w:tc>
        <w:tc>
          <w:tcPr>
            <w:tcW w:w="120" w:type="dxa"/>
            <w:vAlign w:val="bottom"/>
            <w:tcBorders>
              <w:bottom w:val="single" w:sz="8" w:color="EBFBFF"/>
            </w:tcBorders>
            <w:shd w:val="clear" w:color="auto" w:fill="EBFBFF"/>
          </w:tcPr>
          <w:p>
            <w:pPr>
              <w:spacing w:after="0"/>
              <w:rPr>
                <w:sz w:val="17"/>
                <w:szCs w:val="17"/>
                <w:color w:val="auto"/>
              </w:rPr>
            </w:pPr>
          </w:p>
        </w:tc>
        <w:tc>
          <w:tcPr>
            <w:tcW w:w="1120" w:type="dxa"/>
            <w:vAlign w:val="bottom"/>
            <w:tcBorders>
              <w:bottom w:val="single" w:sz="8" w:color="EBFBFF"/>
            </w:tcBorders>
            <w:shd w:val="clear" w:color="auto" w:fill="EBFB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86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tcBorders>
              <w:right w:val="single" w:sz="8" w:color="0CD973"/>
            </w:tcBorders>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-3171190</wp:posOffset>
            </wp:positionV>
            <wp:extent cx="33172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7" w:lineRule="exact"/>
        <w:rPr>
          <w:sz w:val="20"/>
          <w:szCs w:val="20"/>
          <w:color w:val="auto"/>
        </w:rPr>
      </w:pPr>
    </w:p>
    <w:p>
      <w:pPr>
        <w:ind w:left="340" w:hanging="332"/>
        <w:spacing w:after="0" w:line="266" w:lineRule="auto"/>
        <w:tabs>
          <w:tab w:leader="none" w:pos="340" w:val="left"/>
        </w:tabs>
        <w:numPr>
          <w:ilvl w:val="0"/>
          <w:numId w:val="40"/>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tme in both the prior and current periods.</w:t>
      </w:r>
    </w:p>
    <w:p>
      <w:pPr>
        <w:jc w:val="both"/>
        <w:ind w:left="340" w:hanging="332"/>
        <w:spacing w:after="0" w:line="254" w:lineRule="auto"/>
        <w:tabs>
          <w:tab w:leader="none" w:pos="340" w:val="left"/>
        </w:tabs>
        <w:numPr>
          <w:ilvl w:val="0"/>
          <w:numId w:val="40"/>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respectve prior period quarterly fnancial informaton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hanging="332"/>
        <w:spacing w:after="0" w:line="262" w:lineRule="auto"/>
        <w:tabs>
          <w:tab w:leader="none" w:pos="340" w:val="left"/>
        </w:tabs>
        <w:numPr>
          <w:ilvl w:val="0"/>
          <w:numId w:val="40"/>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352"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40</w:t>
      </w:r>
      <w:r>
        <w:rPr>
          <w:sz w:val="20"/>
          <w:szCs w:val="20"/>
          <w:color w:val="auto"/>
        </w:rPr>
        <w:tab/>
      </w:r>
      <w:r>
        <w:rPr>
          <w:sz w:val="1"/>
          <w:szCs w:val="1"/>
          <w:color w:val="auto"/>
        </w:rPr>
        <w:drawing>
          <wp:inline distT="0" distB="0" distL="0" distR="0">
            <wp:extent cx="651510" cy="1714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Rule of 40</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51555C"/>
        </w:rPr>
        <w:t>We previously defned Rule of 40 as non-GAAP organic revenue growth plus non-GAAP adjusted EBITDA margin. Non-GAAP adjusted EBITDA is defned as GAAP net income plus interest, net; income tax provision (beneft); depreciaton; amortzaton of intangible assets from business combinatons; amortzaton of sofware and content development costs; stock-based compensaton; employee severance; acquisiton and dispositon-related costs; restructuring and other real estate actvites; Security Incident-related costs, net of insurance; and impairment of capitalized sofware development costs. Beginning in the fscal quarter ended June 30, 2022, we now also include in non-GAAP adjusted EBITDA impairment of capitalized sofware development costs because we believe it is not directly related to our operatng performance in any partcular period.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420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17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right w:val="single" w:sz="8" w:color="004054"/>
            </w:tcBorders>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700" w:type="dxa"/>
            <w:vAlign w:val="bottom"/>
            <w:shd w:val="clear" w:color="auto" w:fill="004054"/>
          </w:tcPr>
          <w:p>
            <w:pPr>
              <w:spacing w:after="0"/>
              <w:rPr>
                <w:sz w:val="15"/>
                <w:szCs w:val="15"/>
                <w:color w:val="auto"/>
              </w:rPr>
            </w:pPr>
          </w:p>
        </w:tc>
        <w:tc>
          <w:tcPr>
            <w:tcW w:w="11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w w:val="86"/>
              </w:rPr>
              <w:t>Six months ended</w:t>
            </w:r>
          </w:p>
        </w:tc>
      </w:tr>
      <w:tr>
        <w:trPr>
          <w:trHeight w:val="184"/>
        </w:trPr>
        <w:tc>
          <w:tcPr>
            <w:tcW w:w="20" w:type="dxa"/>
            <w:vAlign w:val="bottom"/>
            <w:shd w:val="clear" w:color="auto" w:fill="004054"/>
          </w:tcPr>
          <w:p>
            <w:pPr>
              <w:spacing w:after="0"/>
              <w:rPr>
                <w:sz w:val="15"/>
                <w:szCs w:val="15"/>
                <w:color w:val="auto"/>
              </w:rPr>
            </w:pPr>
          </w:p>
        </w:tc>
        <w:tc>
          <w:tcPr>
            <w:tcW w:w="420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6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Borders>
              <w:right w:val="single" w:sz="8" w:color="004054"/>
            </w:tcBorders>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8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7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79"/>
        </w:trPr>
        <w:tc>
          <w:tcPr>
            <w:tcW w:w="20" w:type="dxa"/>
            <w:vAlign w:val="bottom"/>
            <w:tcBorders>
              <w:bottom w:val="single" w:sz="8" w:color="004054"/>
            </w:tcBorders>
            <w:shd w:val="clear" w:color="auto" w:fill="004054"/>
          </w:tcPr>
          <w:p>
            <w:pPr>
              <w:spacing w:after="0"/>
              <w:rPr>
                <w:sz w:val="24"/>
                <w:szCs w:val="24"/>
                <w:color w:val="auto"/>
              </w:rPr>
            </w:pPr>
          </w:p>
        </w:tc>
        <w:tc>
          <w:tcPr>
            <w:tcW w:w="420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004054"/>
            </w:tcBorders>
            <w:shd w:val="clear" w:color="auto" w:fill="004054"/>
          </w:tcPr>
          <w:p>
            <w:pPr>
              <w:spacing w:after="0"/>
              <w:rPr>
                <w:sz w:val="24"/>
                <w:szCs w:val="24"/>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60" w:type="dxa"/>
            <w:vAlign w:val="bottom"/>
            <w:tcBorders>
              <w:bottom w:val="single" w:sz="8" w:color="004054"/>
            </w:tcBorders>
            <w:shd w:val="clear" w:color="auto" w:fill="004054"/>
          </w:tcPr>
          <w:p>
            <w:pPr>
              <w:spacing w:after="0"/>
              <w:rPr>
                <w:sz w:val="24"/>
                <w:szCs w:val="24"/>
                <w:color w:val="auto"/>
              </w:rPr>
            </w:pPr>
          </w:p>
        </w:tc>
        <w:tc>
          <w:tcPr>
            <w:tcW w:w="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right w:val="single" w:sz="8" w:color="004054"/>
            </w:tcBorders>
          </w:tcPr>
          <w:p>
            <w:pPr>
              <w:spacing w:after="0"/>
              <w:rPr>
                <w:sz w:val="24"/>
                <w:szCs w:val="24"/>
                <w:color w:val="auto"/>
              </w:rPr>
            </w:pPr>
          </w:p>
        </w:tc>
        <w:tc>
          <w:tcPr>
            <w:tcW w:w="440" w:type="dxa"/>
            <w:vAlign w:val="bottom"/>
            <w:tcBorders>
              <w:bottom w:val="single" w:sz="8" w:color="004054"/>
            </w:tcBorders>
            <w:shd w:val="clear" w:color="auto" w:fill="004054"/>
          </w:tcPr>
          <w:p>
            <w:pPr>
              <w:spacing w:after="0"/>
              <w:rPr>
                <w:sz w:val="24"/>
                <w:szCs w:val="24"/>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460" w:type="dxa"/>
            <w:vAlign w:val="bottom"/>
            <w:tcBorders>
              <w:bottom w:val="single" w:sz="8" w:color="004054"/>
            </w:tcBorders>
            <w:shd w:val="clear" w:color="auto" w:fill="004054"/>
          </w:tcPr>
          <w:p>
            <w:pPr>
              <w:spacing w:after="0"/>
              <w:rPr>
                <w:sz w:val="24"/>
                <w:szCs w:val="24"/>
                <w:color w:val="auto"/>
              </w:rPr>
            </w:pPr>
          </w:p>
        </w:tc>
        <w:tc>
          <w:tcPr>
            <w:tcW w:w="7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 w:type="dxa"/>
            <w:vAlign w:val="bottom"/>
            <w:tcBorders>
              <w:bottom w:val="single" w:sz="8" w:color="004054"/>
            </w:tcBorders>
            <w:shd w:val="clear" w:color="auto" w:fill="004054"/>
          </w:tcPr>
          <w:p>
            <w:pPr>
              <w:spacing w:after="0"/>
              <w:rPr>
                <w:sz w:val="24"/>
                <w:szCs w:val="24"/>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10"/>
        </w:trPr>
        <w:tc>
          <w:tcPr>
            <w:tcW w:w="20" w:type="dxa"/>
            <w:vAlign w:val="bottom"/>
          </w:tcPr>
          <w:p>
            <w:pPr>
              <w:spacing w:after="0"/>
              <w:rPr>
                <w:sz w:val="18"/>
                <w:szCs w:val="18"/>
                <w:color w:val="auto"/>
              </w:rPr>
            </w:pPr>
          </w:p>
        </w:tc>
        <w:tc>
          <w:tcPr>
            <w:tcW w:w="42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net income (loss)</w:t>
            </w:r>
          </w:p>
        </w:tc>
        <w:tc>
          <w:tcPr>
            <w:tcW w:w="420" w:type="dxa"/>
            <w:vAlign w:val="bottom"/>
            <w:tcBorders>
              <w:bottom w:val="single" w:sz="8" w:color="EBFBFF"/>
            </w:tcBorders>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2.1</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(3.4)</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(161.5)%</w:t>
            </w:r>
          </w:p>
        </w:tc>
        <w:tc>
          <w:tcPr>
            <w:tcW w:w="100" w:type="dxa"/>
            <w:vAlign w:val="bottom"/>
            <w:tcBorders>
              <w:bottom w:val="single" w:sz="8" w:color="EBFBFF"/>
              <w:right w:val="single" w:sz="8" w:color="EBFBFF"/>
            </w:tcBorders>
            <w:shd w:val="clear" w:color="auto" w:fill="EBFBFF"/>
          </w:tcPr>
          <w:p>
            <w:pPr>
              <w:spacing w:after="0"/>
              <w:rPr>
                <w:sz w:val="18"/>
                <w:szCs w:val="18"/>
                <w:color w:val="auto"/>
              </w:rPr>
            </w:pPr>
          </w:p>
        </w:tc>
        <w:tc>
          <w:tcPr>
            <w:tcW w:w="440" w:type="dxa"/>
            <w:vAlign w:val="bottom"/>
            <w:tcBorders>
              <w:bottom w:val="single" w:sz="8" w:color="EBFBFF"/>
            </w:tcBorders>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8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(12.6)</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(13.8)</w:t>
            </w:r>
          </w:p>
        </w:tc>
        <w:tc>
          <w:tcPr>
            <w:tcW w:w="11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4"/>
                <w:szCs w:val="14"/>
                <w:color w:val="51555C"/>
              </w:rPr>
              <w:t>(8.9)%</w:t>
            </w:r>
          </w:p>
        </w:tc>
      </w:tr>
      <w:tr>
        <w:trPr>
          <w:trHeight w:val="182"/>
        </w:trPr>
        <w:tc>
          <w:tcPr>
            <w:tcW w:w="2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09"/>
        </w:trPr>
        <w:tc>
          <w:tcPr>
            <w:tcW w:w="20" w:type="dxa"/>
            <w:vAlign w:val="bottom"/>
          </w:tcPr>
          <w:p>
            <w:pPr>
              <w:spacing w:after="0"/>
              <w:rPr>
                <w:sz w:val="18"/>
                <w:szCs w:val="18"/>
                <w:color w:val="auto"/>
              </w:rPr>
            </w:pPr>
          </w:p>
        </w:tc>
        <w:tc>
          <w:tcPr>
            <w:tcW w:w="42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Interest, net</w:t>
            </w:r>
          </w:p>
        </w:tc>
        <w:tc>
          <w:tcPr>
            <w:tcW w:w="42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8.9</w:t>
            </w:r>
          </w:p>
        </w:tc>
        <w:tc>
          <w:tcPr>
            <w:tcW w:w="460" w:type="dxa"/>
            <w:vAlign w:val="bottom"/>
            <w:tcBorders>
              <w:bottom w:val="single" w:sz="8" w:color="EBFBFF"/>
            </w:tcBorders>
            <w:shd w:val="clear" w:color="auto" w:fill="EBFBFF"/>
          </w:tcPr>
          <w:p>
            <w:pPr>
              <w:spacing w:after="0"/>
              <w:rPr>
                <w:sz w:val="18"/>
                <w:szCs w:val="18"/>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8.9</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 %</w:t>
            </w:r>
          </w:p>
        </w:tc>
        <w:tc>
          <w:tcPr>
            <w:tcW w:w="100" w:type="dxa"/>
            <w:vAlign w:val="bottom"/>
            <w:tcBorders>
              <w:bottom w:val="single" w:sz="8" w:color="EBFBFF"/>
              <w:right w:val="single" w:sz="8" w:color="EBFBFF"/>
            </w:tcBorders>
            <w:shd w:val="clear" w:color="auto" w:fill="EBFBFF"/>
          </w:tcPr>
          <w:p>
            <w:pPr>
              <w:spacing w:after="0"/>
              <w:rPr>
                <w:sz w:val="18"/>
                <w:szCs w:val="18"/>
                <w:color w:val="auto"/>
              </w:rPr>
            </w:pPr>
          </w:p>
        </w:tc>
        <w:tc>
          <w:tcPr>
            <w:tcW w:w="44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18.3</w:t>
            </w:r>
          </w:p>
        </w:tc>
        <w:tc>
          <w:tcPr>
            <w:tcW w:w="460" w:type="dxa"/>
            <w:vAlign w:val="bottom"/>
            <w:tcBorders>
              <w:bottom w:val="single" w:sz="8" w:color="EBFBFF"/>
            </w:tcBorders>
            <w:shd w:val="clear" w:color="auto" w:fill="EBFBFF"/>
          </w:tcPr>
          <w:p>
            <w:pPr>
              <w:spacing w:after="0"/>
              <w:rPr>
                <w:sz w:val="18"/>
                <w:szCs w:val="18"/>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16.3</w:t>
            </w:r>
          </w:p>
        </w:tc>
        <w:tc>
          <w:tcPr>
            <w:tcW w:w="11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4"/>
                <w:szCs w:val="14"/>
                <w:color w:val="51555C"/>
              </w:rPr>
              <w:t>11.9 %</w:t>
            </w:r>
          </w:p>
        </w:tc>
      </w:tr>
      <w:tr>
        <w:trPr>
          <w:trHeight w:val="182"/>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Less: GAAP income tax beneft</w:t>
            </w:r>
          </w:p>
        </w:tc>
        <w:tc>
          <w:tcPr>
            <w:tcW w:w="4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51555C"/>
              </w:rPr>
              <w:t>(10.2)</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51555C"/>
              </w:rPr>
              <w:t>(2.4)</w:t>
            </w:r>
          </w:p>
        </w:tc>
        <w:tc>
          <w:tcPr>
            <w:tcW w:w="1080" w:type="dxa"/>
            <w:vAlign w:val="bottom"/>
          </w:tcPr>
          <w:p>
            <w:pPr>
              <w:jc w:val="right"/>
              <w:spacing w:after="0"/>
              <w:rPr>
                <w:sz w:val="20"/>
                <w:szCs w:val="20"/>
                <w:color w:val="auto"/>
              </w:rPr>
            </w:pPr>
            <w:r>
              <w:rPr>
                <w:rFonts w:ascii="Arial" w:cs="Arial" w:eastAsia="Arial" w:hAnsi="Arial"/>
                <w:sz w:val="14"/>
                <w:szCs w:val="14"/>
                <w:color w:val="51555C"/>
              </w:rPr>
              <w:t>330.9 %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51555C"/>
              </w:rPr>
              <w:t>(14.1)</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51555C"/>
              </w:rPr>
              <w:t>(4.4)</w:t>
            </w:r>
          </w:p>
        </w:tc>
        <w:tc>
          <w:tcPr>
            <w:tcW w:w="1100" w:type="dxa"/>
            <w:vAlign w:val="bottom"/>
            <w:gridSpan w:val="2"/>
          </w:tcPr>
          <w:p>
            <w:pPr>
              <w:jc w:val="right"/>
              <w:spacing w:after="0"/>
              <w:rPr>
                <w:sz w:val="20"/>
                <w:szCs w:val="20"/>
                <w:color w:val="auto"/>
              </w:rPr>
            </w:pPr>
            <w:r>
              <w:rPr>
                <w:rFonts w:ascii="Arial" w:cs="Arial" w:eastAsia="Arial" w:hAnsi="Arial"/>
                <w:sz w:val="14"/>
                <w:szCs w:val="14"/>
                <w:color w:val="51555C"/>
              </w:rPr>
              <w:t>219.2 %</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42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Depreciaton</w:t>
            </w:r>
          </w:p>
        </w:tc>
        <w:tc>
          <w:tcPr>
            <w:tcW w:w="420" w:type="dxa"/>
            <w:vAlign w:val="bottom"/>
            <w:tcBorders>
              <w:bottom w:val="single" w:sz="8" w:color="EBFBFF"/>
            </w:tcBorders>
            <w:shd w:val="clear" w:color="auto" w:fill="EBFBFF"/>
          </w:tcPr>
          <w:p>
            <w:pPr>
              <w:spacing w:after="0"/>
              <w:rPr>
                <w:sz w:val="17"/>
                <w:szCs w:val="17"/>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3.3</w:t>
            </w:r>
          </w:p>
        </w:tc>
        <w:tc>
          <w:tcPr>
            <w:tcW w:w="460" w:type="dxa"/>
            <w:vAlign w:val="bottom"/>
            <w:tcBorders>
              <w:bottom w:val="single" w:sz="8" w:color="EBFBFF"/>
            </w:tcBorders>
            <w:shd w:val="clear" w:color="auto" w:fill="EBFBFF"/>
          </w:tcPr>
          <w:p>
            <w:pPr>
              <w:spacing w:after="0"/>
              <w:rPr>
                <w:sz w:val="17"/>
                <w:szCs w:val="17"/>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3.6</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(8.7)%</w:t>
            </w:r>
          </w:p>
        </w:tc>
        <w:tc>
          <w:tcPr>
            <w:tcW w:w="100" w:type="dxa"/>
            <w:vAlign w:val="bottom"/>
            <w:tcBorders>
              <w:bottom w:val="single" w:sz="8" w:color="EBFBFF"/>
              <w:right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6.6</w:t>
            </w:r>
          </w:p>
        </w:tc>
        <w:tc>
          <w:tcPr>
            <w:tcW w:w="460" w:type="dxa"/>
            <w:vAlign w:val="bottom"/>
            <w:tcBorders>
              <w:bottom w:val="single" w:sz="8" w:color="EBFBFF"/>
            </w:tcBorders>
            <w:shd w:val="clear" w:color="auto" w:fill="EBFBFF"/>
          </w:tcPr>
          <w:p>
            <w:pPr>
              <w:spacing w:after="0"/>
              <w:rPr>
                <w:sz w:val="17"/>
                <w:szCs w:val="17"/>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7.1</w:t>
            </w:r>
          </w:p>
        </w:tc>
        <w:tc>
          <w:tcPr>
            <w:tcW w:w="11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4"/>
                <w:szCs w:val="14"/>
                <w:color w:val="51555C"/>
              </w:rPr>
              <w:t>(7.2)%</w:t>
            </w:r>
          </w:p>
        </w:tc>
      </w:tr>
      <w:tr>
        <w:trPr>
          <w:trHeight w:val="182"/>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Add: Amortzaton of intangibles from business combinatons</w:t>
            </w:r>
          </w:p>
        </w:tc>
        <w:tc>
          <w:tcPr>
            <w:tcW w:w="4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13.9</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51555C"/>
              </w:rPr>
              <w:t>13.2</w:t>
            </w:r>
          </w:p>
        </w:tc>
        <w:tc>
          <w:tcPr>
            <w:tcW w:w="1080" w:type="dxa"/>
            <w:vAlign w:val="bottom"/>
          </w:tcPr>
          <w:p>
            <w:pPr>
              <w:jc w:val="right"/>
              <w:spacing w:after="0"/>
              <w:rPr>
                <w:sz w:val="20"/>
                <w:szCs w:val="20"/>
                <w:color w:val="auto"/>
              </w:rPr>
            </w:pPr>
            <w:r>
              <w:rPr>
                <w:rFonts w:ascii="Arial" w:cs="Arial" w:eastAsia="Arial" w:hAnsi="Arial"/>
                <w:sz w:val="14"/>
                <w:szCs w:val="14"/>
                <w:color w:val="51555C"/>
              </w:rPr>
              <w:t>5.4 %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27.8</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51555C"/>
              </w:rPr>
              <w:t>26.5</w:t>
            </w:r>
          </w:p>
        </w:tc>
        <w:tc>
          <w:tcPr>
            <w:tcW w:w="1100" w:type="dxa"/>
            <w:vAlign w:val="bottom"/>
            <w:gridSpan w:val="2"/>
          </w:tcPr>
          <w:p>
            <w:pPr>
              <w:jc w:val="right"/>
              <w:spacing w:after="0"/>
              <w:rPr>
                <w:sz w:val="20"/>
                <w:szCs w:val="20"/>
                <w:color w:val="auto"/>
              </w:rPr>
            </w:pPr>
            <w:r>
              <w:rPr>
                <w:rFonts w:ascii="Arial" w:cs="Arial" w:eastAsia="Arial" w:hAnsi="Arial"/>
                <w:sz w:val="14"/>
                <w:szCs w:val="14"/>
                <w:color w:val="51555C"/>
              </w:rPr>
              <w:t>4.9 %</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Add: Amortzaton of sofware and content development costs</w:t>
            </w:r>
            <w:r>
              <w:rPr>
                <w:rFonts w:ascii="Arial" w:cs="Arial" w:eastAsia="Arial" w:hAnsi="Arial"/>
                <w:sz w:val="18"/>
                <w:szCs w:val="18"/>
                <w:color w:val="51555C"/>
                <w:vertAlign w:val="superscript"/>
              </w:rPr>
              <w:t>(1)</w:t>
            </w:r>
          </w:p>
        </w:tc>
        <w:tc>
          <w:tcPr>
            <w:tcW w:w="420" w:type="dxa"/>
            <w:vAlign w:val="bottom"/>
            <w:shd w:val="clear" w:color="auto" w:fill="EBFBFF"/>
          </w:tcPr>
          <w:p>
            <w:pPr>
              <w:spacing w:after="0"/>
              <w:rPr>
                <w:sz w:val="19"/>
                <w:szCs w:val="19"/>
                <w:color w:val="auto"/>
              </w:rPr>
            </w:pPr>
          </w:p>
        </w:tc>
        <w:tc>
          <w:tcPr>
            <w:tcW w:w="80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10.9</w:t>
            </w:r>
          </w:p>
        </w:tc>
        <w:tc>
          <w:tcPr>
            <w:tcW w:w="460" w:type="dxa"/>
            <w:vAlign w:val="bottom"/>
            <w:shd w:val="clear" w:color="auto" w:fill="EBFBFF"/>
          </w:tcPr>
          <w:p>
            <w:pPr>
              <w:spacing w:after="0"/>
              <w:rPr>
                <w:sz w:val="19"/>
                <w:szCs w:val="19"/>
                <w:color w:val="auto"/>
              </w:rPr>
            </w:pPr>
          </w:p>
        </w:tc>
        <w:tc>
          <w:tcPr>
            <w:tcW w:w="6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9.5</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15.2 %</w:t>
            </w:r>
          </w:p>
        </w:tc>
        <w:tc>
          <w:tcPr>
            <w:tcW w:w="100" w:type="dxa"/>
            <w:vAlign w:val="bottom"/>
            <w:tcBorders>
              <w:right w:val="single" w:sz="8" w:color="EBFBFF"/>
            </w:tcBorders>
            <w:shd w:val="clear" w:color="auto" w:fill="EBFBFF"/>
          </w:tcPr>
          <w:p>
            <w:pPr>
              <w:spacing w:after="0"/>
              <w:rPr>
                <w:sz w:val="19"/>
                <w:szCs w:val="19"/>
                <w:color w:val="auto"/>
              </w:rPr>
            </w:pPr>
          </w:p>
        </w:tc>
        <w:tc>
          <w:tcPr>
            <w:tcW w:w="440" w:type="dxa"/>
            <w:vAlign w:val="bottom"/>
            <w:shd w:val="clear" w:color="auto" w:fill="EBFBFF"/>
          </w:tcPr>
          <w:p>
            <w:pPr>
              <w:spacing w:after="0"/>
              <w:rPr>
                <w:sz w:val="19"/>
                <w:szCs w:val="19"/>
                <w:color w:val="auto"/>
              </w:rPr>
            </w:pPr>
          </w:p>
        </w:tc>
        <w:tc>
          <w:tcPr>
            <w:tcW w:w="80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21.5</w:t>
            </w:r>
          </w:p>
        </w:tc>
        <w:tc>
          <w:tcPr>
            <w:tcW w:w="460" w:type="dxa"/>
            <w:vAlign w:val="bottom"/>
            <w:shd w:val="clear" w:color="auto" w:fill="EBFBFF"/>
          </w:tcPr>
          <w:p>
            <w:pPr>
              <w:spacing w:after="0"/>
              <w:rPr>
                <w:sz w:val="19"/>
                <w:szCs w:val="19"/>
                <w:color w:val="auto"/>
              </w:rPr>
            </w:pPr>
          </w:p>
        </w:tc>
        <w:tc>
          <w:tcPr>
            <w:tcW w:w="7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18.7</w:t>
            </w:r>
          </w:p>
        </w:tc>
        <w:tc>
          <w:tcPr>
            <w:tcW w:w="1100" w:type="dxa"/>
            <w:vAlign w:val="bottom"/>
            <w:gridSpan w:val="2"/>
            <w:shd w:val="clear" w:color="auto" w:fill="EBFBFF"/>
          </w:tcPr>
          <w:p>
            <w:pPr>
              <w:jc w:val="right"/>
              <w:spacing w:after="0"/>
              <w:rPr>
                <w:sz w:val="20"/>
                <w:szCs w:val="20"/>
                <w:color w:val="auto"/>
              </w:rPr>
            </w:pPr>
            <w:r>
              <w:rPr>
                <w:rFonts w:ascii="Arial" w:cs="Arial" w:eastAsia="Arial" w:hAnsi="Arial"/>
                <w:sz w:val="14"/>
                <w:szCs w:val="14"/>
                <w:color w:val="51555C"/>
              </w:rPr>
              <w:t>15.0 %</w:t>
            </w:r>
          </w:p>
        </w:tc>
      </w:tr>
      <w:tr>
        <w:trPr>
          <w:trHeight w:val="220"/>
        </w:trPr>
        <w:tc>
          <w:tcPr>
            <w:tcW w:w="20" w:type="dxa"/>
            <w:vAlign w:val="bottom"/>
          </w:tcPr>
          <w:p>
            <w:pPr>
              <w:spacing w:after="0"/>
              <w:rPr>
                <w:sz w:val="19"/>
                <w:szCs w:val="19"/>
                <w:color w:val="auto"/>
              </w:rPr>
            </w:pPr>
          </w:p>
        </w:tc>
        <w:tc>
          <w:tcPr>
            <w:tcW w:w="4200" w:type="dxa"/>
            <w:vAlign w:val="bottom"/>
            <w:tcBorders>
              <w:bottom w:val="single" w:sz="8" w:color="EBFBFF"/>
            </w:tcBorders>
          </w:tcPr>
          <w:p>
            <w:pPr>
              <w:ind w:left="22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420" w:type="dxa"/>
            <w:vAlign w:val="bottom"/>
            <w:tcBorders>
              <w:top w:val="single" w:sz="8" w:color="51555C"/>
              <w:bottom w:val="single" w:sz="8" w:color="51555C"/>
            </w:tcBorders>
          </w:tcPr>
          <w:p>
            <w:pPr>
              <w:spacing w:after="0"/>
              <w:rPr>
                <w:sz w:val="19"/>
                <w:szCs w:val="19"/>
                <w:color w:val="auto"/>
              </w:rPr>
            </w:pPr>
          </w:p>
        </w:tc>
        <w:tc>
          <w:tcPr>
            <w:tcW w:w="800" w:type="dxa"/>
            <w:vAlign w:val="bottom"/>
            <w:tcBorders>
              <w:top w:val="single" w:sz="8" w:color="51555C"/>
              <w:bottom w:val="single" w:sz="8" w:color="51555C"/>
            </w:tcBorders>
          </w:tcPr>
          <w:p>
            <w:pPr>
              <w:jc w:val="right"/>
              <w:ind w:right="68"/>
              <w:spacing w:after="0"/>
              <w:rPr>
                <w:sz w:val="20"/>
                <w:szCs w:val="20"/>
                <w:color w:val="auto"/>
              </w:rPr>
            </w:pPr>
            <w:r>
              <w:rPr>
                <w:rFonts w:ascii="Arial" w:cs="Arial" w:eastAsia="Arial" w:hAnsi="Arial"/>
                <w:sz w:val="14"/>
                <w:szCs w:val="14"/>
                <w:color w:val="51555C"/>
              </w:rPr>
              <w:t>26.8</w:t>
            </w:r>
          </w:p>
        </w:tc>
        <w:tc>
          <w:tcPr>
            <w:tcW w:w="460" w:type="dxa"/>
            <w:vAlign w:val="bottom"/>
            <w:tcBorders>
              <w:top w:val="single" w:sz="8" w:color="51555C"/>
              <w:bottom w:val="single" w:sz="8" w:color="51555C"/>
            </w:tcBorders>
          </w:tcPr>
          <w:p>
            <w:pPr>
              <w:spacing w:after="0"/>
              <w:rPr>
                <w:sz w:val="19"/>
                <w:szCs w:val="19"/>
                <w:color w:val="auto"/>
              </w:rPr>
            </w:pPr>
          </w:p>
        </w:tc>
        <w:tc>
          <w:tcPr>
            <w:tcW w:w="66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4"/>
                <w:szCs w:val="14"/>
                <w:color w:val="51555C"/>
              </w:rPr>
              <w:t>32.8</w:t>
            </w:r>
          </w:p>
        </w:tc>
        <w:tc>
          <w:tcPr>
            <w:tcW w:w="108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(18.3)%</w:t>
            </w:r>
          </w:p>
        </w:tc>
        <w:tc>
          <w:tcPr>
            <w:tcW w:w="100" w:type="dxa"/>
            <w:vAlign w:val="bottom"/>
            <w:tcBorders>
              <w:bottom w:val="single" w:sz="8" w:color="EBFBFF"/>
            </w:tcBorders>
          </w:tcPr>
          <w:p>
            <w:pPr>
              <w:spacing w:after="0"/>
              <w:rPr>
                <w:sz w:val="19"/>
                <w:szCs w:val="19"/>
                <w:color w:val="auto"/>
              </w:rPr>
            </w:pPr>
          </w:p>
        </w:tc>
        <w:tc>
          <w:tcPr>
            <w:tcW w:w="440" w:type="dxa"/>
            <w:vAlign w:val="bottom"/>
            <w:tcBorders>
              <w:top w:val="single" w:sz="8" w:color="51555C"/>
              <w:bottom w:val="single" w:sz="8" w:color="51555C"/>
            </w:tcBorders>
          </w:tcPr>
          <w:p>
            <w:pPr>
              <w:spacing w:after="0"/>
              <w:rPr>
                <w:sz w:val="19"/>
                <w:szCs w:val="19"/>
                <w:color w:val="auto"/>
              </w:rPr>
            </w:pPr>
          </w:p>
        </w:tc>
        <w:tc>
          <w:tcPr>
            <w:tcW w:w="800" w:type="dxa"/>
            <w:vAlign w:val="bottom"/>
            <w:tcBorders>
              <w:top w:val="single" w:sz="8" w:color="51555C"/>
              <w:bottom w:val="single" w:sz="8" w:color="51555C"/>
            </w:tcBorders>
          </w:tcPr>
          <w:p>
            <w:pPr>
              <w:jc w:val="right"/>
              <w:ind w:right="68"/>
              <w:spacing w:after="0"/>
              <w:rPr>
                <w:sz w:val="20"/>
                <w:szCs w:val="20"/>
                <w:color w:val="auto"/>
              </w:rPr>
            </w:pPr>
            <w:r>
              <w:rPr>
                <w:rFonts w:ascii="Arial" w:cs="Arial" w:eastAsia="Arial" w:hAnsi="Arial"/>
                <w:sz w:val="14"/>
                <w:szCs w:val="14"/>
                <w:color w:val="51555C"/>
              </w:rPr>
              <w:t>60.1</w:t>
            </w:r>
          </w:p>
        </w:tc>
        <w:tc>
          <w:tcPr>
            <w:tcW w:w="460" w:type="dxa"/>
            <w:vAlign w:val="bottom"/>
            <w:tcBorders>
              <w:top w:val="single" w:sz="8" w:color="51555C"/>
              <w:bottom w:val="single" w:sz="8" w:color="51555C"/>
            </w:tcBorders>
          </w:tcPr>
          <w:p>
            <w:pPr>
              <w:spacing w:after="0"/>
              <w:rPr>
                <w:sz w:val="19"/>
                <w:szCs w:val="19"/>
                <w:color w:val="auto"/>
              </w:rPr>
            </w:pPr>
          </w:p>
        </w:tc>
        <w:tc>
          <w:tcPr>
            <w:tcW w:w="70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4"/>
                <w:szCs w:val="14"/>
                <w:color w:val="51555C"/>
              </w:rPr>
              <w:t>64.3</w:t>
            </w:r>
          </w:p>
        </w:tc>
        <w:tc>
          <w:tcPr>
            <w:tcW w:w="20" w:type="dxa"/>
            <w:vAlign w:val="bottom"/>
            <w:tcBorders>
              <w:top w:val="single" w:sz="8" w:color="51555C"/>
              <w:bottom w:val="single" w:sz="8" w:color="51555C"/>
            </w:tcBorders>
          </w:tcPr>
          <w:p>
            <w:pPr>
              <w:spacing w:after="0"/>
              <w:rPr>
                <w:sz w:val="19"/>
                <w:szCs w:val="19"/>
                <w:color w:val="auto"/>
              </w:rPr>
            </w:pPr>
          </w:p>
        </w:tc>
        <w:tc>
          <w:tcPr>
            <w:tcW w:w="108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(6.4)%</w:t>
            </w:r>
          </w:p>
        </w:tc>
      </w:tr>
      <w:tr>
        <w:trPr>
          <w:trHeight w:val="226"/>
        </w:trPr>
        <w:tc>
          <w:tcPr>
            <w:tcW w:w="20" w:type="dxa"/>
            <w:vAlign w:val="bottom"/>
          </w:tcPr>
          <w:p>
            <w:pPr>
              <w:spacing w:after="0"/>
              <w:rPr>
                <w:sz w:val="19"/>
                <w:szCs w:val="19"/>
                <w:color w:val="auto"/>
              </w:rPr>
            </w:pPr>
          </w:p>
        </w:tc>
        <w:tc>
          <w:tcPr>
            <w:tcW w:w="42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EBITDA</w:t>
            </w:r>
            <w:r>
              <w:rPr>
                <w:rFonts w:ascii="Arial" w:cs="Arial" w:eastAsia="Arial" w:hAnsi="Arial"/>
                <w:sz w:val="18"/>
                <w:szCs w:val="18"/>
                <w:color w:val="51555C"/>
                <w:vertAlign w:val="superscript"/>
              </w:rPr>
              <w:t>(2)</w:t>
            </w:r>
          </w:p>
        </w:tc>
        <w:tc>
          <w:tcPr>
            <w:tcW w:w="420" w:type="dxa"/>
            <w:vAlign w:val="bottom"/>
            <w:tcBorders>
              <w:bottom w:val="single" w:sz="8" w:color="51555C"/>
            </w:tcBorders>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80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28.9</w:t>
            </w:r>
          </w:p>
        </w:tc>
        <w:tc>
          <w:tcPr>
            <w:tcW w:w="460" w:type="dxa"/>
            <w:vAlign w:val="bottom"/>
            <w:tcBorders>
              <w:bottom w:val="single" w:sz="8" w:color="51555C"/>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6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29.4</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(1.6)%</w:t>
            </w:r>
          </w:p>
        </w:tc>
        <w:tc>
          <w:tcPr>
            <w:tcW w:w="100" w:type="dxa"/>
            <w:vAlign w:val="bottom"/>
            <w:tcBorders>
              <w:right w:val="single" w:sz="8" w:color="EBFBFF"/>
            </w:tcBorders>
            <w:shd w:val="clear" w:color="auto" w:fill="EBFBFF"/>
          </w:tcPr>
          <w:p>
            <w:pPr>
              <w:spacing w:after="0"/>
              <w:rPr>
                <w:sz w:val="19"/>
                <w:szCs w:val="19"/>
                <w:color w:val="auto"/>
              </w:rPr>
            </w:pPr>
          </w:p>
        </w:tc>
        <w:tc>
          <w:tcPr>
            <w:tcW w:w="440" w:type="dxa"/>
            <w:vAlign w:val="bottom"/>
            <w:tcBorders>
              <w:bottom w:val="single" w:sz="8" w:color="51555C"/>
            </w:tcBorders>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80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47.5</w:t>
            </w:r>
          </w:p>
        </w:tc>
        <w:tc>
          <w:tcPr>
            <w:tcW w:w="460" w:type="dxa"/>
            <w:vAlign w:val="bottom"/>
            <w:tcBorders>
              <w:bottom w:val="single" w:sz="8" w:color="51555C"/>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50.5</w:t>
            </w:r>
          </w:p>
        </w:tc>
        <w:tc>
          <w:tcPr>
            <w:tcW w:w="20" w:type="dxa"/>
            <w:vAlign w:val="bottom"/>
            <w:tcBorders>
              <w:bottom w:val="single" w:sz="8" w:color="51555C"/>
            </w:tcBorders>
            <w:shd w:val="clear" w:color="auto" w:fill="EBFBFF"/>
          </w:tcPr>
          <w:p>
            <w:pPr>
              <w:spacing w:after="0"/>
              <w:rPr>
                <w:sz w:val="19"/>
                <w:szCs w:val="19"/>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(5.8)%</w:t>
            </w:r>
          </w:p>
        </w:tc>
      </w:tr>
      <w:tr>
        <w:trPr>
          <w:trHeight w:val="175"/>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Non-GAAP EBITDA margin</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1555C"/>
              </w:rPr>
              <w:t>10.7 %</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1555C"/>
              </w:rPr>
              <w:t>8.9 %</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EBFBFF"/>
          </w:tcPr>
          <w:p>
            <w:pPr>
              <w:spacing w:after="0"/>
              <w:rPr>
                <w:sz w:val="12"/>
                <w:szCs w:val="12"/>
                <w:color w:val="auto"/>
              </w:rPr>
            </w:pPr>
          </w:p>
        </w:tc>
        <w:tc>
          <w:tcPr>
            <w:tcW w:w="420" w:type="dxa"/>
            <w:vAlign w:val="bottom"/>
            <w:shd w:val="clear" w:color="auto" w:fill="EBFBFF"/>
          </w:tcPr>
          <w:p>
            <w:pPr>
              <w:spacing w:after="0"/>
              <w:rPr>
                <w:sz w:val="12"/>
                <w:szCs w:val="12"/>
                <w:color w:val="auto"/>
              </w:rPr>
            </w:pPr>
          </w:p>
        </w:tc>
        <w:tc>
          <w:tcPr>
            <w:tcW w:w="80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660" w:type="dxa"/>
            <w:vAlign w:val="bottom"/>
            <w:shd w:val="clear" w:color="auto" w:fill="EBFBFF"/>
          </w:tcPr>
          <w:p>
            <w:pPr>
              <w:spacing w:after="0"/>
              <w:rPr>
                <w:sz w:val="12"/>
                <w:szCs w:val="12"/>
                <w:color w:val="auto"/>
              </w:rPr>
            </w:pPr>
          </w:p>
        </w:tc>
        <w:tc>
          <w:tcPr>
            <w:tcW w:w="1080" w:type="dxa"/>
            <w:vAlign w:val="bottom"/>
            <w:shd w:val="clear" w:color="auto" w:fill="EBFBFF"/>
          </w:tcPr>
          <w:p>
            <w:pPr>
              <w:spacing w:after="0"/>
              <w:rPr>
                <w:sz w:val="12"/>
                <w:szCs w:val="12"/>
                <w:color w:val="auto"/>
              </w:rPr>
            </w:pPr>
          </w:p>
        </w:tc>
        <w:tc>
          <w:tcPr>
            <w:tcW w:w="100" w:type="dxa"/>
            <w:vAlign w:val="bottom"/>
            <w:tcBorders>
              <w:right w:val="single" w:sz="8" w:color="EBFBFF"/>
            </w:tcBorders>
            <w:shd w:val="clear" w:color="auto" w:fill="EBFBFF"/>
          </w:tcPr>
          <w:p>
            <w:pPr>
              <w:spacing w:after="0"/>
              <w:rPr>
                <w:sz w:val="12"/>
                <w:szCs w:val="12"/>
                <w:color w:val="auto"/>
              </w:rPr>
            </w:pPr>
          </w:p>
        </w:tc>
        <w:tc>
          <w:tcPr>
            <w:tcW w:w="440" w:type="dxa"/>
            <w:vAlign w:val="bottom"/>
            <w:shd w:val="clear" w:color="auto" w:fill="EBFBFF"/>
          </w:tcPr>
          <w:p>
            <w:pPr>
              <w:spacing w:after="0"/>
              <w:rPr>
                <w:sz w:val="12"/>
                <w:szCs w:val="12"/>
                <w:color w:val="auto"/>
              </w:rPr>
            </w:pPr>
          </w:p>
        </w:tc>
        <w:tc>
          <w:tcPr>
            <w:tcW w:w="80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700" w:type="dxa"/>
            <w:vAlign w:val="bottom"/>
            <w:shd w:val="clear" w:color="auto" w:fill="EBFBFF"/>
          </w:tcPr>
          <w:p>
            <w:pPr>
              <w:spacing w:after="0"/>
              <w:rPr>
                <w:sz w:val="12"/>
                <w:szCs w:val="12"/>
                <w:color w:val="auto"/>
              </w:rPr>
            </w:pPr>
          </w:p>
        </w:tc>
        <w:tc>
          <w:tcPr>
            <w:tcW w:w="20" w:type="dxa"/>
            <w:vAlign w:val="bottom"/>
            <w:shd w:val="clear" w:color="auto" w:fill="EBFBFF"/>
          </w:tcPr>
          <w:p>
            <w:pPr>
              <w:spacing w:after="0"/>
              <w:rPr>
                <w:sz w:val="12"/>
                <w:szCs w:val="12"/>
                <w:color w:val="auto"/>
              </w:rPr>
            </w:pPr>
          </w:p>
        </w:tc>
        <w:tc>
          <w:tcPr>
            <w:tcW w:w="1080" w:type="dxa"/>
            <w:vAlign w:val="bottom"/>
            <w:shd w:val="clear" w:color="auto" w:fill="EBFBFF"/>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20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Stock-based compensaton expense</w:t>
            </w:r>
          </w:p>
        </w:tc>
        <w:tc>
          <w:tcPr>
            <w:tcW w:w="42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33.4</w:t>
            </w:r>
          </w:p>
        </w:tc>
        <w:tc>
          <w:tcPr>
            <w:tcW w:w="460" w:type="dxa"/>
            <w:vAlign w:val="bottom"/>
            <w:tcBorders>
              <w:bottom w:val="single" w:sz="8" w:color="EBFBFF"/>
            </w:tcBorders>
            <w:shd w:val="clear" w:color="auto" w:fill="EBFBFF"/>
          </w:tcPr>
          <w:p>
            <w:pPr>
              <w:spacing w:after="0"/>
              <w:rPr>
                <w:sz w:val="18"/>
                <w:szCs w:val="18"/>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27.9</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19.8 %</w:t>
            </w:r>
          </w:p>
        </w:tc>
        <w:tc>
          <w:tcPr>
            <w:tcW w:w="100" w:type="dxa"/>
            <w:vAlign w:val="bottom"/>
            <w:tcBorders>
              <w:bottom w:val="single" w:sz="8" w:color="EBFBFF"/>
              <w:right w:val="single" w:sz="8" w:color="EBFBFF"/>
            </w:tcBorders>
            <w:shd w:val="clear" w:color="auto" w:fill="EBFBFF"/>
          </w:tcPr>
          <w:p>
            <w:pPr>
              <w:spacing w:after="0"/>
              <w:rPr>
                <w:sz w:val="18"/>
                <w:szCs w:val="18"/>
                <w:color w:val="auto"/>
              </w:rPr>
            </w:pPr>
          </w:p>
        </w:tc>
        <w:tc>
          <w:tcPr>
            <w:tcW w:w="44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63.3</w:t>
            </w:r>
          </w:p>
        </w:tc>
        <w:tc>
          <w:tcPr>
            <w:tcW w:w="460" w:type="dxa"/>
            <w:vAlign w:val="bottom"/>
            <w:tcBorders>
              <w:bottom w:val="single" w:sz="8" w:color="EBFBFF"/>
            </w:tcBorders>
            <w:shd w:val="clear" w:color="auto" w:fill="EBFBFF"/>
          </w:tcPr>
          <w:p>
            <w:pPr>
              <w:spacing w:after="0"/>
              <w:rPr>
                <w:sz w:val="18"/>
                <w:szCs w:val="18"/>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55.7</w:t>
            </w:r>
          </w:p>
        </w:tc>
        <w:tc>
          <w:tcPr>
            <w:tcW w:w="11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4"/>
                <w:szCs w:val="14"/>
                <w:color w:val="51555C"/>
              </w:rPr>
              <w:t>13.6 %</w:t>
            </w:r>
          </w:p>
        </w:tc>
      </w:tr>
      <w:tr>
        <w:trPr>
          <w:trHeight w:val="182"/>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Add: Employee severance</w:t>
            </w:r>
          </w:p>
        </w:tc>
        <w:tc>
          <w:tcPr>
            <w:tcW w:w="4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0.6</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51555C"/>
              </w:rPr>
              <w:t>0.5</w:t>
            </w:r>
          </w:p>
        </w:tc>
        <w:tc>
          <w:tcPr>
            <w:tcW w:w="1080" w:type="dxa"/>
            <w:vAlign w:val="bottom"/>
          </w:tcPr>
          <w:p>
            <w:pPr>
              <w:jc w:val="right"/>
              <w:spacing w:after="0"/>
              <w:rPr>
                <w:sz w:val="20"/>
                <w:szCs w:val="20"/>
                <w:color w:val="auto"/>
              </w:rPr>
            </w:pPr>
            <w:r>
              <w:rPr>
                <w:rFonts w:ascii="Arial" w:cs="Arial" w:eastAsia="Arial" w:hAnsi="Arial"/>
                <w:sz w:val="14"/>
                <w:szCs w:val="14"/>
                <w:color w:val="51555C"/>
              </w:rPr>
              <w:t>36.8 %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5.0</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51555C"/>
              </w:rPr>
              <w:t>0.5</w:t>
            </w:r>
          </w:p>
        </w:tc>
        <w:tc>
          <w:tcPr>
            <w:tcW w:w="1100" w:type="dxa"/>
            <w:vAlign w:val="bottom"/>
            <w:gridSpan w:val="2"/>
          </w:tcPr>
          <w:p>
            <w:pPr>
              <w:jc w:val="right"/>
              <w:spacing w:after="0"/>
              <w:rPr>
                <w:sz w:val="20"/>
                <w:szCs w:val="20"/>
                <w:color w:val="auto"/>
              </w:rPr>
            </w:pPr>
            <w:r>
              <w:rPr>
                <w:rFonts w:ascii="Arial" w:cs="Arial" w:eastAsia="Arial" w:hAnsi="Arial"/>
                <w:sz w:val="14"/>
                <w:szCs w:val="14"/>
                <w:color w:val="51555C"/>
              </w:rPr>
              <w:t>972.3 %</w:t>
            </w:r>
          </w:p>
        </w:tc>
      </w:tr>
      <w:tr>
        <w:trPr>
          <w:trHeight w:val="34"/>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Add: Acquisiton and dispositon-related costs</w:t>
            </w:r>
            <w:r>
              <w:rPr>
                <w:rFonts w:ascii="Arial" w:cs="Arial" w:eastAsia="Arial" w:hAnsi="Arial"/>
                <w:sz w:val="18"/>
                <w:szCs w:val="18"/>
                <w:color w:val="51555C"/>
                <w:vertAlign w:val="superscript"/>
              </w:rPr>
              <w:t>(3)</w:t>
            </w:r>
          </w:p>
        </w:tc>
        <w:tc>
          <w:tcPr>
            <w:tcW w:w="420" w:type="dxa"/>
            <w:vAlign w:val="bottom"/>
            <w:shd w:val="clear" w:color="auto" w:fill="EBFBFF"/>
          </w:tcPr>
          <w:p>
            <w:pPr>
              <w:spacing w:after="0"/>
              <w:rPr>
                <w:sz w:val="19"/>
                <w:szCs w:val="19"/>
                <w:color w:val="auto"/>
              </w:rPr>
            </w:pPr>
          </w:p>
        </w:tc>
        <w:tc>
          <w:tcPr>
            <w:tcW w:w="800" w:type="dxa"/>
            <w:vAlign w:val="bottom"/>
            <w:shd w:val="clear" w:color="auto" w:fill="EBFBFF"/>
          </w:tcPr>
          <w:p>
            <w:pPr>
              <w:jc w:val="right"/>
              <w:ind w:right="48"/>
              <w:spacing w:after="0"/>
              <w:rPr>
                <w:sz w:val="20"/>
                <w:szCs w:val="20"/>
                <w:color w:val="auto"/>
              </w:rPr>
            </w:pPr>
            <w:r>
              <w:rPr>
                <w:rFonts w:ascii="Arial" w:cs="Arial" w:eastAsia="Arial" w:hAnsi="Arial"/>
                <w:sz w:val="14"/>
                <w:szCs w:val="14"/>
                <w:color w:val="51555C"/>
              </w:rPr>
              <w:t>(0.8)</w:t>
            </w:r>
          </w:p>
        </w:tc>
        <w:tc>
          <w:tcPr>
            <w:tcW w:w="460" w:type="dxa"/>
            <w:vAlign w:val="bottom"/>
            <w:shd w:val="clear" w:color="auto" w:fill="EBFBFF"/>
          </w:tcPr>
          <w:p>
            <w:pPr>
              <w:spacing w:after="0"/>
              <w:rPr>
                <w:sz w:val="19"/>
                <w:szCs w:val="19"/>
                <w:color w:val="auto"/>
              </w:rPr>
            </w:pPr>
          </w:p>
        </w:tc>
        <w:tc>
          <w:tcPr>
            <w:tcW w:w="6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2.3</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(137.0)%</w:t>
            </w:r>
          </w:p>
        </w:tc>
        <w:tc>
          <w:tcPr>
            <w:tcW w:w="100" w:type="dxa"/>
            <w:vAlign w:val="bottom"/>
            <w:tcBorders>
              <w:right w:val="single" w:sz="8" w:color="EBFBFF"/>
            </w:tcBorders>
            <w:shd w:val="clear" w:color="auto" w:fill="EBFBFF"/>
          </w:tcPr>
          <w:p>
            <w:pPr>
              <w:spacing w:after="0"/>
              <w:rPr>
                <w:sz w:val="19"/>
                <w:szCs w:val="19"/>
                <w:color w:val="auto"/>
              </w:rPr>
            </w:pPr>
          </w:p>
        </w:tc>
        <w:tc>
          <w:tcPr>
            <w:tcW w:w="440" w:type="dxa"/>
            <w:vAlign w:val="bottom"/>
            <w:shd w:val="clear" w:color="auto" w:fill="EBFBFF"/>
          </w:tcPr>
          <w:p>
            <w:pPr>
              <w:spacing w:after="0"/>
              <w:rPr>
                <w:sz w:val="19"/>
                <w:szCs w:val="19"/>
                <w:color w:val="auto"/>
              </w:rPr>
            </w:pPr>
          </w:p>
        </w:tc>
        <w:tc>
          <w:tcPr>
            <w:tcW w:w="800" w:type="dxa"/>
            <w:vAlign w:val="bottom"/>
            <w:shd w:val="clear" w:color="auto" w:fill="EBFBFF"/>
          </w:tcPr>
          <w:p>
            <w:pPr>
              <w:jc w:val="right"/>
              <w:ind w:right="28"/>
              <w:spacing w:after="0"/>
              <w:rPr>
                <w:sz w:val="20"/>
                <w:szCs w:val="20"/>
                <w:color w:val="auto"/>
              </w:rPr>
            </w:pPr>
            <w:r>
              <w:rPr>
                <w:rFonts w:ascii="Arial" w:cs="Arial" w:eastAsia="Arial" w:hAnsi="Arial"/>
                <w:sz w:val="14"/>
                <w:szCs w:val="14"/>
                <w:color w:val="51555C"/>
              </w:rPr>
              <w:t>(0.2)</w:t>
            </w:r>
          </w:p>
        </w:tc>
        <w:tc>
          <w:tcPr>
            <w:tcW w:w="460" w:type="dxa"/>
            <w:vAlign w:val="bottom"/>
            <w:shd w:val="clear" w:color="auto" w:fill="EBFBFF"/>
          </w:tcPr>
          <w:p>
            <w:pPr>
              <w:spacing w:after="0"/>
              <w:rPr>
                <w:sz w:val="19"/>
                <w:szCs w:val="19"/>
                <w:color w:val="auto"/>
              </w:rPr>
            </w:pPr>
          </w:p>
        </w:tc>
        <w:tc>
          <w:tcPr>
            <w:tcW w:w="7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3.2</w:t>
            </w:r>
          </w:p>
        </w:tc>
        <w:tc>
          <w:tcPr>
            <w:tcW w:w="1100" w:type="dxa"/>
            <w:vAlign w:val="bottom"/>
            <w:gridSpan w:val="2"/>
            <w:shd w:val="clear" w:color="auto" w:fill="EBFBFF"/>
          </w:tcPr>
          <w:p>
            <w:pPr>
              <w:jc w:val="right"/>
              <w:spacing w:after="0"/>
              <w:rPr>
                <w:sz w:val="20"/>
                <w:szCs w:val="20"/>
                <w:color w:val="auto"/>
              </w:rPr>
            </w:pPr>
            <w:r>
              <w:rPr>
                <w:rFonts w:ascii="Arial" w:cs="Arial" w:eastAsia="Arial" w:hAnsi="Arial"/>
                <w:sz w:val="14"/>
                <w:szCs w:val="14"/>
                <w:color w:val="51555C"/>
              </w:rPr>
              <w:t>(107.1)%</w:t>
            </w:r>
          </w:p>
        </w:tc>
      </w:tr>
      <w:tr>
        <w:trPr>
          <w:trHeight w:val="182"/>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Add: Restructuring and other real estate actvites</w:t>
            </w:r>
          </w:p>
        </w:tc>
        <w:tc>
          <w:tcPr>
            <w:tcW w:w="4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spacing w:after="0"/>
              <w:rPr>
                <w:sz w:val="20"/>
                <w:szCs w:val="20"/>
                <w:color w:val="auto"/>
              </w:rPr>
            </w:pPr>
            <w:r>
              <w:rPr>
                <w:rFonts w:ascii="Arial" w:cs="Arial" w:eastAsia="Arial" w:hAnsi="Arial"/>
                <w:sz w:val="14"/>
                <w:szCs w:val="14"/>
                <w:color w:val="51555C"/>
              </w:rPr>
              <w:t>—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51555C"/>
              </w:rPr>
              <w:t>0.1</w:t>
            </w:r>
          </w:p>
        </w:tc>
        <w:tc>
          <w:tcPr>
            <w:tcW w:w="1100" w:type="dxa"/>
            <w:vAlign w:val="bottom"/>
            <w:gridSpan w:val="2"/>
          </w:tcPr>
          <w:p>
            <w:pPr>
              <w:jc w:val="right"/>
              <w:spacing w:after="0"/>
              <w:rPr>
                <w:sz w:val="20"/>
                <w:szCs w:val="20"/>
                <w:color w:val="auto"/>
              </w:rPr>
            </w:pPr>
            <w:r>
              <w:rPr>
                <w:rFonts w:ascii="Arial" w:cs="Arial" w:eastAsia="Arial" w:hAnsi="Arial"/>
                <w:sz w:val="14"/>
                <w:szCs w:val="14"/>
                <w:color w:val="51555C"/>
              </w:rPr>
              <w:t>(100.0)%</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EBFBFF"/>
          </w:tcPr>
          <w:p>
            <w:pPr>
              <w:ind w:left="120"/>
              <w:spacing w:after="0"/>
              <w:rPr>
                <w:sz w:val="20"/>
                <w:szCs w:val="20"/>
                <w:color w:val="auto"/>
              </w:rPr>
            </w:pPr>
            <w:r>
              <w:rPr>
                <w:rFonts w:ascii="Arial" w:cs="Arial" w:eastAsia="Arial" w:hAnsi="Arial"/>
                <w:sz w:val="14"/>
                <w:szCs w:val="14"/>
                <w:color w:val="51555C"/>
              </w:rPr>
              <w:t>Add: Security Incident-related costs, net of insurance</w:t>
            </w:r>
            <w:r>
              <w:rPr>
                <w:rFonts w:ascii="Arial" w:cs="Arial" w:eastAsia="Arial" w:hAnsi="Arial"/>
                <w:sz w:val="18"/>
                <w:szCs w:val="18"/>
                <w:color w:val="51555C"/>
                <w:vertAlign w:val="superscript"/>
              </w:rPr>
              <w:t>(3)</w:t>
            </w:r>
          </w:p>
        </w:tc>
        <w:tc>
          <w:tcPr>
            <w:tcW w:w="420" w:type="dxa"/>
            <w:vAlign w:val="bottom"/>
            <w:shd w:val="clear" w:color="auto" w:fill="EBFBFF"/>
          </w:tcPr>
          <w:p>
            <w:pPr>
              <w:spacing w:after="0"/>
              <w:rPr>
                <w:sz w:val="19"/>
                <w:szCs w:val="19"/>
                <w:color w:val="auto"/>
              </w:rPr>
            </w:pPr>
          </w:p>
        </w:tc>
        <w:tc>
          <w:tcPr>
            <w:tcW w:w="80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26.8</w:t>
            </w:r>
          </w:p>
        </w:tc>
        <w:tc>
          <w:tcPr>
            <w:tcW w:w="460" w:type="dxa"/>
            <w:vAlign w:val="bottom"/>
            <w:shd w:val="clear" w:color="auto" w:fill="EBFBFF"/>
          </w:tcPr>
          <w:p>
            <w:pPr>
              <w:spacing w:after="0"/>
              <w:rPr>
                <w:sz w:val="19"/>
                <w:szCs w:val="19"/>
                <w:color w:val="auto"/>
              </w:rPr>
            </w:pPr>
          </w:p>
        </w:tc>
        <w:tc>
          <w:tcPr>
            <w:tcW w:w="6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8.3</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220.8 %</w:t>
            </w:r>
          </w:p>
        </w:tc>
        <w:tc>
          <w:tcPr>
            <w:tcW w:w="100" w:type="dxa"/>
            <w:vAlign w:val="bottom"/>
            <w:tcBorders>
              <w:right w:val="single" w:sz="8" w:color="EBFBFF"/>
            </w:tcBorders>
            <w:shd w:val="clear" w:color="auto" w:fill="EBFBFF"/>
          </w:tcPr>
          <w:p>
            <w:pPr>
              <w:spacing w:after="0"/>
              <w:rPr>
                <w:sz w:val="19"/>
                <w:szCs w:val="19"/>
                <w:color w:val="auto"/>
              </w:rPr>
            </w:pPr>
          </w:p>
        </w:tc>
        <w:tc>
          <w:tcPr>
            <w:tcW w:w="440" w:type="dxa"/>
            <w:vAlign w:val="bottom"/>
            <w:shd w:val="clear" w:color="auto" w:fill="EBFBFF"/>
          </w:tcPr>
          <w:p>
            <w:pPr>
              <w:spacing w:after="0"/>
              <w:rPr>
                <w:sz w:val="19"/>
                <w:szCs w:val="19"/>
                <w:color w:val="auto"/>
              </w:rPr>
            </w:pPr>
          </w:p>
        </w:tc>
        <w:tc>
          <w:tcPr>
            <w:tcW w:w="80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44.6</w:t>
            </w:r>
          </w:p>
        </w:tc>
        <w:tc>
          <w:tcPr>
            <w:tcW w:w="460" w:type="dxa"/>
            <w:vAlign w:val="bottom"/>
            <w:shd w:val="clear" w:color="auto" w:fill="EBFBFF"/>
          </w:tcPr>
          <w:p>
            <w:pPr>
              <w:spacing w:after="0"/>
              <w:rPr>
                <w:sz w:val="19"/>
                <w:szCs w:val="19"/>
                <w:color w:val="auto"/>
              </w:rPr>
            </w:pPr>
          </w:p>
        </w:tc>
        <w:tc>
          <w:tcPr>
            <w:tcW w:w="7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15.5</w:t>
            </w:r>
          </w:p>
        </w:tc>
        <w:tc>
          <w:tcPr>
            <w:tcW w:w="1100" w:type="dxa"/>
            <w:vAlign w:val="bottom"/>
            <w:gridSpan w:val="2"/>
            <w:shd w:val="clear" w:color="auto" w:fill="EBFBFF"/>
          </w:tcPr>
          <w:p>
            <w:pPr>
              <w:jc w:val="right"/>
              <w:spacing w:after="0"/>
              <w:rPr>
                <w:sz w:val="20"/>
                <w:szCs w:val="20"/>
                <w:color w:val="auto"/>
              </w:rPr>
            </w:pPr>
            <w:r>
              <w:rPr>
                <w:rFonts w:ascii="Arial" w:cs="Arial" w:eastAsia="Arial" w:hAnsi="Arial"/>
                <w:sz w:val="14"/>
                <w:szCs w:val="14"/>
                <w:color w:val="51555C"/>
              </w:rPr>
              <w:t>186.6 %</w:t>
            </w:r>
          </w:p>
        </w:tc>
      </w:tr>
      <w:tr>
        <w:trPr>
          <w:trHeight w:val="182"/>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Add: Impairment of capitalized sofware development costs</w:t>
            </w:r>
          </w:p>
        </w:tc>
        <w:tc>
          <w:tcPr>
            <w:tcW w:w="4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51555C"/>
              </w:rPr>
              <w:t>2.3</w:t>
            </w:r>
          </w:p>
        </w:tc>
        <w:tc>
          <w:tcPr>
            <w:tcW w:w="1080" w:type="dxa"/>
            <w:vAlign w:val="bottom"/>
          </w:tcPr>
          <w:p>
            <w:pPr>
              <w:jc w:val="right"/>
              <w:spacing w:after="0"/>
              <w:rPr>
                <w:sz w:val="20"/>
                <w:szCs w:val="20"/>
                <w:color w:val="auto"/>
              </w:rPr>
            </w:pPr>
            <w:r>
              <w:rPr>
                <w:rFonts w:ascii="Arial" w:cs="Arial" w:eastAsia="Arial" w:hAnsi="Arial"/>
                <w:sz w:val="14"/>
                <w:szCs w:val="14"/>
                <w:color w:val="51555C"/>
              </w:rPr>
              <w:t>(100.0)%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51555C"/>
              </w:rPr>
              <w:t>2.3</w:t>
            </w:r>
          </w:p>
        </w:tc>
        <w:tc>
          <w:tcPr>
            <w:tcW w:w="1100" w:type="dxa"/>
            <w:vAlign w:val="bottom"/>
            <w:gridSpan w:val="2"/>
          </w:tcPr>
          <w:p>
            <w:pPr>
              <w:jc w:val="right"/>
              <w:spacing w:after="0"/>
              <w:rPr>
                <w:sz w:val="20"/>
                <w:szCs w:val="20"/>
                <w:color w:val="auto"/>
              </w:rPr>
            </w:pPr>
            <w:r>
              <w:rPr>
                <w:rFonts w:ascii="Arial" w:cs="Arial" w:eastAsia="Arial" w:hAnsi="Arial"/>
                <w:sz w:val="14"/>
                <w:szCs w:val="14"/>
                <w:color w:val="51555C"/>
              </w:rPr>
              <w:t>(100.0)%</w:t>
            </w:r>
          </w:p>
        </w:tc>
      </w:tr>
      <w:tr>
        <w:trPr>
          <w:trHeight w:val="48"/>
        </w:trPr>
        <w:tc>
          <w:tcPr>
            <w:tcW w:w="20" w:type="dxa"/>
            <w:vAlign w:val="bottom"/>
          </w:tcPr>
          <w:p>
            <w:pPr>
              <w:spacing w:after="0"/>
              <w:rPr>
                <w:sz w:val="4"/>
                <w:szCs w:val="4"/>
                <w:color w:val="auto"/>
              </w:rPr>
            </w:pPr>
          </w:p>
        </w:tc>
        <w:tc>
          <w:tcPr>
            <w:tcW w:w="4200" w:type="dxa"/>
            <w:vAlign w:val="bottom"/>
            <w:tcBorders>
              <w:bottom w:val="single" w:sz="8" w:color="EBFBFF"/>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80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660" w:type="dxa"/>
            <w:vAlign w:val="bottom"/>
            <w:tcBorders>
              <w:bottom w:val="single" w:sz="8" w:color="51555C"/>
            </w:tcBorders>
          </w:tcPr>
          <w:p>
            <w:pPr>
              <w:spacing w:after="0"/>
              <w:rPr>
                <w:sz w:val="4"/>
                <w:szCs w:val="4"/>
                <w:color w:val="auto"/>
              </w:rPr>
            </w:pPr>
          </w:p>
        </w:tc>
        <w:tc>
          <w:tcPr>
            <w:tcW w:w="1080" w:type="dxa"/>
            <w:vAlign w:val="bottom"/>
            <w:tcBorders>
              <w:bottom w:val="single" w:sz="8" w:color="EBFBFF"/>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440" w:type="dxa"/>
            <w:vAlign w:val="bottom"/>
            <w:tcBorders>
              <w:bottom w:val="single" w:sz="8" w:color="51555C"/>
            </w:tcBorders>
          </w:tcPr>
          <w:p>
            <w:pPr>
              <w:spacing w:after="0"/>
              <w:rPr>
                <w:sz w:val="4"/>
                <w:szCs w:val="4"/>
                <w:color w:val="auto"/>
              </w:rPr>
            </w:pPr>
          </w:p>
        </w:tc>
        <w:tc>
          <w:tcPr>
            <w:tcW w:w="80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700" w:type="dxa"/>
            <w:vAlign w:val="bottom"/>
            <w:tcBorders>
              <w:bottom w:val="single" w:sz="8" w:color="51555C"/>
            </w:tcBorders>
          </w:tcPr>
          <w:p>
            <w:pPr>
              <w:spacing w:after="0"/>
              <w:rPr>
                <w:sz w:val="4"/>
                <w:szCs w:val="4"/>
                <w:color w:val="auto"/>
              </w:rPr>
            </w:pPr>
          </w:p>
        </w:tc>
        <w:tc>
          <w:tcPr>
            <w:tcW w:w="20" w:type="dxa"/>
            <w:vAlign w:val="bottom"/>
            <w:tcBorders>
              <w:bottom w:val="single" w:sz="8" w:color="51555C"/>
            </w:tcBorders>
          </w:tcPr>
          <w:p>
            <w:pPr>
              <w:spacing w:after="0"/>
              <w:rPr>
                <w:sz w:val="4"/>
                <w:szCs w:val="4"/>
                <w:color w:val="auto"/>
              </w:rPr>
            </w:pPr>
          </w:p>
        </w:tc>
        <w:tc>
          <w:tcPr>
            <w:tcW w:w="1080" w:type="dxa"/>
            <w:vAlign w:val="bottom"/>
            <w:tcBorders>
              <w:bottom w:val="single" w:sz="8" w:color="EBFBFF"/>
            </w:tcBorders>
          </w:tcPr>
          <w:p>
            <w:pPr>
              <w:spacing w:after="0"/>
              <w:rPr>
                <w:sz w:val="4"/>
                <w:szCs w:val="4"/>
                <w:color w:val="auto"/>
              </w:rPr>
            </w:pPr>
          </w:p>
        </w:tc>
      </w:tr>
      <w:tr>
        <w:trPr>
          <w:trHeight w:val="207"/>
        </w:trPr>
        <w:tc>
          <w:tcPr>
            <w:tcW w:w="20" w:type="dxa"/>
            <w:vAlign w:val="bottom"/>
          </w:tcPr>
          <w:p>
            <w:pPr>
              <w:spacing w:after="0"/>
              <w:rPr>
                <w:sz w:val="17"/>
                <w:szCs w:val="17"/>
                <w:color w:val="auto"/>
              </w:rPr>
            </w:pPr>
          </w:p>
        </w:tc>
        <w:tc>
          <w:tcPr>
            <w:tcW w:w="4200" w:type="dxa"/>
            <w:vAlign w:val="bottom"/>
            <w:tcBorders>
              <w:bottom w:val="single" w:sz="8" w:color="EBFBFF"/>
            </w:tcBorders>
            <w:shd w:val="clear" w:color="auto" w:fill="EBFBFF"/>
          </w:tcPr>
          <w:p>
            <w:pPr>
              <w:ind w:left="220"/>
              <w:spacing w:after="0" w:line="204" w:lineRule="exact"/>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420" w:type="dxa"/>
            <w:vAlign w:val="bottom"/>
            <w:tcBorders>
              <w:bottom w:val="single" w:sz="8" w:color="51555C"/>
            </w:tcBorders>
            <w:shd w:val="clear" w:color="auto" w:fill="EBFBFF"/>
          </w:tcPr>
          <w:p>
            <w:pPr>
              <w:spacing w:after="0"/>
              <w:rPr>
                <w:sz w:val="17"/>
                <w:szCs w:val="17"/>
                <w:color w:val="auto"/>
              </w:rPr>
            </w:pPr>
          </w:p>
        </w:tc>
        <w:tc>
          <w:tcPr>
            <w:tcW w:w="80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59.9</w:t>
            </w:r>
          </w:p>
        </w:tc>
        <w:tc>
          <w:tcPr>
            <w:tcW w:w="460" w:type="dxa"/>
            <w:vAlign w:val="bottom"/>
            <w:tcBorders>
              <w:bottom w:val="single" w:sz="8" w:color="51555C"/>
            </w:tcBorders>
            <w:shd w:val="clear" w:color="auto" w:fill="EBFBFF"/>
          </w:tcPr>
          <w:p>
            <w:pPr>
              <w:spacing w:after="0"/>
              <w:rPr>
                <w:sz w:val="17"/>
                <w:szCs w:val="17"/>
                <w:color w:val="auto"/>
              </w:rPr>
            </w:pPr>
          </w:p>
        </w:tc>
        <w:tc>
          <w:tcPr>
            <w:tcW w:w="6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41.2</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45.4 %</w:t>
            </w:r>
          </w:p>
        </w:tc>
        <w:tc>
          <w:tcPr>
            <w:tcW w:w="100" w:type="dxa"/>
            <w:vAlign w:val="bottom"/>
            <w:tcBorders>
              <w:bottom w:val="single" w:sz="8" w:color="EBFBFF"/>
              <w:right w:val="single" w:sz="8" w:color="EBFBFF"/>
            </w:tcBorders>
            <w:shd w:val="clear" w:color="auto" w:fill="EBFBFF"/>
          </w:tcPr>
          <w:p>
            <w:pPr>
              <w:spacing w:after="0"/>
              <w:rPr>
                <w:sz w:val="17"/>
                <w:szCs w:val="17"/>
                <w:color w:val="auto"/>
              </w:rPr>
            </w:pPr>
          </w:p>
        </w:tc>
        <w:tc>
          <w:tcPr>
            <w:tcW w:w="440" w:type="dxa"/>
            <w:vAlign w:val="bottom"/>
            <w:tcBorders>
              <w:bottom w:val="single" w:sz="8" w:color="51555C"/>
            </w:tcBorders>
            <w:shd w:val="clear" w:color="auto" w:fill="EBFBFF"/>
          </w:tcPr>
          <w:p>
            <w:pPr>
              <w:spacing w:after="0"/>
              <w:rPr>
                <w:sz w:val="17"/>
                <w:szCs w:val="17"/>
                <w:color w:val="auto"/>
              </w:rPr>
            </w:pPr>
          </w:p>
        </w:tc>
        <w:tc>
          <w:tcPr>
            <w:tcW w:w="800" w:type="dxa"/>
            <w:vAlign w:val="bottom"/>
            <w:tcBorders>
              <w:bottom w:val="single" w:sz="8" w:color="51555C"/>
            </w:tcBorders>
            <w:shd w:val="clear" w:color="auto" w:fill="EBFBFF"/>
          </w:tcPr>
          <w:p>
            <w:pPr>
              <w:jc w:val="right"/>
              <w:ind w:right="68"/>
              <w:spacing w:after="0"/>
              <w:rPr>
                <w:sz w:val="20"/>
                <w:szCs w:val="20"/>
                <w:color w:val="auto"/>
              </w:rPr>
            </w:pPr>
            <w:r>
              <w:rPr>
                <w:rFonts w:ascii="Arial" w:cs="Arial" w:eastAsia="Arial" w:hAnsi="Arial"/>
                <w:sz w:val="14"/>
                <w:szCs w:val="14"/>
                <w:color w:val="51555C"/>
              </w:rPr>
              <w:t>112.6</w:t>
            </w:r>
          </w:p>
        </w:tc>
        <w:tc>
          <w:tcPr>
            <w:tcW w:w="460" w:type="dxa"/>
            <w:vAlign w:val="bottom"/>
            <w:tcBorders>
              <w:bottom w:val="single" w:sz="8" w:color="51555C"/>
            </w:tcBorders>
            <w:shd w:val="clear" w:color="auto" w:fill="EBFBFF"/>
          </w:tcPr>
          <w:p>
            <w:pPr>
              <w:spacing w:after="0"/>
              <w:rPr>
                <w:sz w:val="17"/>
                <w:szCs w:val="17"/>
                <w:color w:val="auto"/>
              </w:rPr>
            </w:pPr>
          </w:p>
        </w:tc>
        <w:tc>
          <w:tcPr>
            <w:tcW w:w="7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77.3</w:t>
            </w:r>
          </w:p>
        </w:tc>
        <w:tc>
          <w:tcPr>
            <w:tcW w:w="20" w:type="dxa"/>
            <w:vAlign w:val="bottom"/>
            <w:tcBorders>
              <w:bottom w:val="single" w:sz="8" w:color="51555C"/>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45.6 %</w:t>
            </w:r>
          </w:p>
        </w:tc>
      </w:tr>
      <w:tr>
        <w:trPr>
          <w:trHeight w:val="223"/>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4"/>
                <w:szCs w:val="14"/>
                <w:color w:val="51555C"/>
              </w:rPr>
              <w:t>Non-GAAP Adjusted EBITDA</w:t>
            </w:r>
            <w:r>
              <w:rPr>
                <w:rFonts w:ascii="Arial" w:cs="Arial" w:eastAsia="Arial" w:hAnsi="Arial"/>
                <w:sz w:val="18"/>
                <w:szCs w:val="18"/>
                <w:color w:val="51555C"/>
                <w:vertAlign w:val="superscript"/>
              </w:rPr>
              <w:t>(2)</w:t>
            </w:r>
          </w:p>
        </w:tc>
        <w:tc>
          <w:tcPr>
            <w:tcW w:w="420" w:type="dxa"/>
            <w:vAlign w:val="bottom"/>
          </w:tcPr>
          <w:p>
            <w:pPr>
              <w:jc w:val="right"/>
              <w:ind w:right="248"/>
              <w:spacing w:after="0"/>
              <w:rPr>
                <w:sz w:val="20"/>
                <w:szCs w:val="20"/>
                <w:color w:val="auto"/>
              </w:rPr>
            </w:pPr>
            <w:r>
              <w:rPr>
                <w:rFonts w:ascii="Arial" w:cs="Arial" w:eastAsia="Arial" w:hAnsi="Arial"/>
                <w:sz w:val="14"/>
                <w:szCs w:val="14"/>
                <w:color w:val="51555C"/>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88.8</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660" w:type="dxa"/>
            <w:vAlign w:val="bottom"/>
          </w:tcPr>
          <w:p>
            <w:pPr>
              <w:jc w:val="right"/>
              <w:spacing w:after="0"/>
              <w:rPr>
                <w:sz w:val="20"/>
                <w:szCs w:val="20"/>
                <w:color w:val="auto"/>
              </w:rPr>
            </w:pPr>
            <w:r>
              <w:rPr>
                <w:rFonts w:ascii="Arial" w:cs="Arial" w:eastAsia="Arial" w:hAnsi="Arial"/>
                <w:sz w:val="14"/>
                <w:szCs w:val="14"/>
                <w:color w:val="51555C"/>
              </w:rPr>
              <w:t>70.6</w:t>
            </w:r>
          </w:p>
        </w:tc>
        <w:tc>
          <w:tcPr>
            <w:tcW w:w="1080" w:type="dxa"/>
            <w:vAlign w:val="bottom"/>
          </w:tcPr>
          <w:p>
            <w:pPr>
              <w:jc w:val="right"/>
              <w:spacing w:after="0"/>
              <w:rPr>
                <w:sz w:val="20"/>
                <w:szCs w:val="20"/>
                <w:color w:val="auto"/>
              </w:rPr>
            </w:pPr>
            <w:r>
              <w:rPr>
                <w:rFonts w:ascii="Arial" w:cs="Arial" w:eastAsia="Arial" w:hAnsi="Arial"/>
                <w:sz w:val="14"/>
                <w:szCs w:val="14"/>
                <w:color w:val="51555C"/>
              </w:rPr>
              <w:t>25.9 %</w:t>
            </w:r>
          </w:p>
        </w:tc>
        <w:tc>
          <w:tcPr>
            <w:tcW w:w="540" w:type="dxa"/>
            <w:vAlign w:val="bottom"/>
            <w:gridSpan w:val="2"/>
          </w:tcPr>
          <w:p>
            <w:pPr>
              <w:jc w:val="right"/>
              <w:ind w:right="268"/>
              <w:spacing w:after="0"/>
              <w:rPr>
                <w:sz w:val="20"/>
                <w:szCs w:val="20"/>
                <w:color w:val="auto"/>
              </w:rPr>
            </w:pPr>
            <w:r>
              <w:rPr>
                <w:rFonts w:ascii="Arial" w:cs="Arial" w:eastAsia="Arial" w:hAnsi="Arial"/>
                <w:sz w:val="14"/>
                <w:szCs w:val="14"/>
                <w:color w:val="51555C"/>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51555C"/>
              </w:rPr>
              <w:t>160.1</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tcPr>
          <w:p>
            <w:pPr>
              <w:jc w:val="right"/>
              <w:spacing w:after="0"/>
              <w:rPr>
                <w:sz w:val="20"/>
                <w:szCs w:val="20"/>
                <w:color w:val="auto"/>
              </w:rPr>
            </w:pPr>
            <w:r>
              <w:rPr>
                <w:rFonts w:ascii="Arial" w:cs="Arial" w:eastAsia="Arial" w:hAnsi="Arial"/>
                <w:sz w:val="14"/>
                <w:szCs w:val="14"/>
                <w:color w:val="51555C"/>
              </w:rPr>
              <w:t>127.8</w:t>
            </w:r>
          </w:p>
        </w:tc>
        <w:tc>
          <w:tcPr>
            <w:tcW w:w="1100" w:type="dxa"/>
            <w:vAlign w:val="bottom"/>
            <w:gridSpan w:val="2"/>
          </w:tcPr>
          <w:p>
            <w:pPr>
              <w:jc w:val="right"/>
              <w:spacing w:after="0"/>
              <w:rPr>
                <w:sz w:val="20"/>
                <w:szCs w:val="20"/>
                <w:color w:val="auto"/>
              </w:rPr>
            </w:pPr>
            <w:r>
              <w:rPr>
                <w:rFonts w:ascii="Arial" w:cs="Arial" w:eastAsia="Arial" w:hAnsi="Arial"/>
                <w:sz w:val="14"/>
                <w:szCs w:val="14"/>
                <w:color w:val="51555C"/>
              </w:rPr>
              <w:t>25.3 %</w:t>
            </w:r>
          </w:p>
        </w:tc>
      </w:tr>
      <w:tr>
        <w:trPr>
          <w:trHeight w:val="206"/>
        </w:trPr>
        <w:tc>
          <w:tcPr>
            <w:tcW w:w="20" w:type="dxa"/>
            <w:vAlign w:val="bottom"/>
          </w:tcPr>
          <w:p>
            <w:pPr>
              <w:spacing w:after="0"/>
              <w:rPr>
                <w:sz w:val="17"/>
                <w:szCs w:val="17"/>
                <w:color w:val="auto"/>
              </w:rPr>
            </w:pPr>
          </w:p>
        </w:tc>
        <w:tc>
          <w:tcPr>
            <w:tcW w:w="420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b w:val="1"/>
                <w:bCs w:val="1"/>
                <w:color w:val="51555C"/>
              </w:rPr>
              <w:t>Non-GAAP Adjusted EBITDA margin</w:t>
            </w:r>
          </w:p>
        </w:tc>
        <w:tc>
          <w:tcPr>
            <w:tcW w:w="420" w:type="dxa"/>
            <w:vAlign w:val="bottom"/>
            <w:tcBorders>
              <w:top w:val="single" w:sz="8" w:color="51555C"/>
              <w:bottom w:val="single" w:sz="8" w:color="EBFBFF"/>
            </w:tcBorders>
            <w:shd w:val="clear" w:color="auto" w:fill="EBFBFF"/>
          </w:tcPr>
          <w:p>
            <w:pPr>
              <w:spacing w:after="0"/>
              <w:rPr>
                <w:sz w:val="17"/>
                <w:szCs w:val="17"/>
                <w:color w:val="auto"/>
              </w:rPr>
            </w:pPr>
          </w:p>
        </w:tc>
        <w:tc>
          <w:tcPr>
            <w:tcW w:w="80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32.8 %</w:t>
            </w:r>
          </w:p>
        </w:tc>
        <w:tc>
          <w:tcPr>
            <w:tcW w:w="460" w:type="dxa"/>
            <w:vAlign w:val="bottom"/>
            <w:tcBorders>
              <w:top w:val="single" w:sz="8" w:color="51555C"/>
              <w:bottom w:val="single" w:sz="8" w:color="EBFBFF"/>
            </w:tcBorders>
            <w:shd w:val="clear" w:color="auto" w:fill="EBFBFF"/>
          </w:tcPr>
          <w:p>
            <w:pPr>
              <w:spacing w:after="0"/>
              <w:rPr>
                <w:sz w:val="17"/>
                <w:szCs w:val="17"/>
                <w:color w:val="auto"/>
              </w:rPr>
            </w:pPr>
          </w:p>
        </w:tc>
        <w:tc>
          <w:tcPr>
            <w:tcW w:w="660" w:type="dxa"/>
            <w:vAlign w:val="bottom"/>
            <w:tcBorders>
              <w:top w:val="single" w:sz="8" w:color="51555C"/>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right w:val="single" w:sz="8" w:color="EBFBFF"/>
            </w:tcBorders>
            <w:shd w:val="clear" w:color="auto" w:fill="EBFBFF"/>
          </w:tcPr>
          <w:p>
            <w:pPr>
              <w:spacing w:after="0"/>
              <w:rPr>
                <w:sz w:val="17"/>
                <w:szCs w:val="17"/>
                <w:color w:val="auto"/>
              </w:rPr>
            </w:pPr>
          </w:p>
        </w:tc>
        <w:tc>
          <w:tcPr>
            <w:tcW w:w="440" w:type="dxa"/>
            <w:vAlign w:val="bottom"/>
            <w:tcBorders>
              <w:top w:val="single" w:sz="8" w:color="51555C"/>
              <w:bottom w:val="single" w:sz="8" w:color="EBFBFF"/>
            </w:tcBorders>
            <w:shd w:val="clear" w:color="auto" w:fill="EBFBFF"/>
          </w:tcPr>
          <w:p>
            <w:pPr>
              <w:spacing w:after="0"/>
              <w:rPr>
                <w:sz w:val="17"/>
                <w:szCs w:val="17"/>
                <w:color w:val="auto"/>
              </w:rPr>
            </w:pPr>
          </w:p>
        </w:tc>
        <w:tc>
          <w:tcPr>
            <w:tcW w:w="80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30.1 %</w:t>
            </w:r>
          </w:p>
        </w:tc>
        <w:tc>
          <w:tcPr>
            <w:tcW w:w="460" w:type="dxa"/>
            <w:vAlign w:val="bottom"/>
            <w:tcBorders>
              <w:top w:val="single" w:sz="8" w:color="51555C"/>
              <w:bottom w:val="single" w:sz="8" w:color="EBFBFF"/>
            </w:tcBorders>
            <w:shd w:val="clear" w:color="auto" w:fill="EBFBFF"/>
          </w:tcPr>
          <w:p>
            <w:pPr>
              <w:spacing w:after="0"/>
              <w:rPr>
                <w:sz w:val="17"/>
                <w:szCs w:val="17"/>
                <w:color w:val="auto"/>
              </w:rPr>
            </w:pPr>
          </w:p>
        </w:tc>
        <w:tc>
          <w:tcPr>
            <w:tcW w:w="700" w:type="dxa"/>
            <w:vAlign w:val="bottom"/>
            <w:tcBorders>
              <w:top w:val="single" w:sz="8" w:color="51555C"/>
              <w:bottom w:val="single" w:sz="8" w:color="EBFBFF"/>
            </w:tcBorders>
            <w:shd w:val="clear" w:color="auto" w:fill="EBFBFF"/>
          </w:tcPr>
          <w:p>
            <w:pPr>
              <w:spacing w:after="0"/>
              <w:rPr>
                <w:sz w:val="17"/>
                <w:szCs w:val="17"/>
                <w:color w:val="auto"/>
              </w:rPr>
            </w:pPr>
          </w:p>
        </w:tc>
        <w:tc>
          <w:tcPr>
            <w:tcW w:w="20" w:type="dxa"/>
            <w:vAlign w:val="bottom"/>
            <w:tcBorders>
              <w:top w:val="single" w:sz="8" w:color="51555C"/>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spacing w:after="0"/>
              <w:rPr>
                <w:sz w:val="17"/>
                <w:szCs w:val="17"/>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Rule of 40</w:t>
            </w:r>
            <w:r>
              <w:rPr>
                <w:rFonts w:ascii="Arial" w:cs="Arial" w:eastAsia="Arial" w:hAnsi="Arial"/>
                <w:sz w:val="18"/>
                <w:szCs w:val="18"/>
                <w:b w:val="1"/>
                <w:bCs w:val="1"/>
                <w:color w:val="51555C"/>
                <w:vertAlign w:val="superscript"/>
              </w:rPr>
              <w:t>(4)</w:t>
            </w:r>
          </w:p>
        </w:tc>
        <w:tc>
          <w:tcPr>
            <w:tcW w:w="420" w:type="dxa"/>
            <w:vAlign w:val="bottom"/>
            <w:shd w:val="clear" w:color="auto" w:fill="EBFBFF"/>
          </w:tcPr>
          <w:p>
            <w:pPr>
              <w:spacing w:after="0"/>
              <w:rPr>
                <w:sz w:val="18"/>
                <w:szCs w:val="18"/>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35.6 %</w:t>
            </w:r>
          </w:p>
        </w:tc>
        <w:tc>
          <w:tcPr>
            <w:tcW w:w="460" w:type="dxa"/>
            <w:vAlign w:val="bottom"/>
            <w:shd w:val="clear" w:color="auto" w:fill="EBFBFF"/>
          </w:tcPr>
          <w:p>
            <w:pPr>
              <w:spacing w:after="0"/>
              <w:rPr>
                <w:sz w:val="18"/>
                <w:szCs w:val="18"/>
                <w:color w:val="auto"/>
              </w:rPr>
            </w:pPr>
          </w:p>
        </w:tc>
        <w:tc>
          <w:tcPr>
            <w:tcW w:w="66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100" w:type="dxa"/>
            <w:vAlign w:val="bottom"/>
            <w:tcBorders>
              <w:right w:val="single" w:sz="8" w:color="EBFBFF"/>
            </w:tcBorders>
            <w:shd w:val="clear" w:color="auto" w:fill="EBFBFF"/>
          </w:tcPr>
          <w:p>
            <w:pPr>
              <w:spacing w:after="0"/>
              <w:rPr>
                <w:sz w:val="18"/>
                <w:szCs w:val="18"/>
                <w:color w:val="auto"/>
              </w:rPr>
            </w:pPr>
          </w:p>
        </w:tc>
        <w:tc>
          <w:tcPr>
            <w:tcW w:w="440" w:type="dxa"/>
            <w:vAlign w:val="bottom"/>
            <w:shd w:val="clear" w:color="auto" w:fill="EBFBFF"/>
          </w:tcPr>
          <w:p>
            <w:pPr>
              <w:spacing w:after="0"/>
              <w:rPr>
                <w:sz w:val="18"/>
                <w:szCs w:val="18"/>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32.7 %</w:t>
            </w:r>
          </w:p>
        </w:tc>
        <w:tc>
          <w:tcPr>
            <w:tcW w:w="460" w:type="dxa"/>
            <w:vAlign w:val="bottom"/>
            <w:shd w:val="clear" w:color="auto" w:fill="EBFBFF"/>
          </w:tcPr>
          <w:p>
            <w:pPr>
              <w:spacing w:after="0"/>
              <w:rPr>
                <w:sz w:val="18"/>
                <w:szCs w:val="18"/>
                <w:color w:val="auto"/>
              </w:rPr>
            </w:pPr>
          </w:p>
        </w:tc>
        <w:tc>
          <w:tcPr>
            <w:tcW w:w="700" w:type="dxa"/>
            <w:vAlign w:val="bottom"/>
            <w:shd w:val="clear" w:color="auto" w:fill="EBFBFF"/>
          </w:tcPr>
          <w:p>
            <w:pPr>
              <w:spacing w:after="0"/>
              <w:rPr>
                <w:sz w:val="18"/>
                <w:szCs w:val="18"/>
                <w:color w:val="auto"/>
              </w:rPr>
            </w:pPr>
          </w:p>
        </w:tc>
        <w:tc>
          <w:tcPr>
            <w:tcW w:w="2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Non-GAAP adjusted EBITDA</w:t>
            </w:r>
          </w:p>
        </w:tc>
        <w:tc>
          <w:tcPr>
            <w:tcW w:w="42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88.8</w:t>
            </w:r>
          </w:p>
        </w:tc>
        <w:tc>
          <w:tcPr>
            <w:tcW w:w="460" w:type="dxa"/>
            <w:vAlign w:val="bottom"/>
            <w:tcBorders>
              <w:bottom w:val="single" w:sz="8" w:color="EBFBFF"/>
            </w:tcBorders>
            <w:shd w:val="clear" w:color="auto" w:fill="EBFBFF"/>
          </w:tcPr>
          <w:p>
            <w:pPr>
              <w:spacing w:after="0"/>
              <w:rPr>
                <w:sz w:val="18"/>
                <w:szCs w:val="18"/>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70.6</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25.9 %</w:t>
            </w:r>
          </w:p>
        </w:tc>
        <w:tc>
          <w:tcPr>
            <w:tcW w:w="100" w:type="dxa"/>
            <w:vAlign w:val="bottom"/>
            <w:tcBorders>
              <w:bottom w:val="single" w:sz="8" w:color="EBFBFF"/>
              <w:right w:val="single" w:sz="8" w:color="EBFBFF"/>
            </w:tcBorders>
            <w:shd w:val="clear" w:color="auto" w:fill="EBFBFF"/>
          </w:tcPr>
          <w:p>
            <w:pPr>
              <w:spacing w:after="0"/>
              <w:rPr>
                <w:sz w:val="18"/>
                <w:szCs w:val="18"/>
                <w:color w:val="auto"/>
              </w:rPr>
            </w:pPr>
          </w:p>
        </w:tc>
        <w:tc>
          <w:tcPr>
            <w:tcW w:w="44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160.1</w:t>
            </w:r>
          </w:p>
        </w:tc>
        <w:tc>
          <w:tcPr>
            <w:tcW w:w="460" w:type="dxa"/>
            <w:vAlign w:val="bottom"/>
            <w:tcBorders>
              <w:bottom w:val="single" w:sz="8" w:color="EBFBFF"/>
            </w:tcBorders>
            <w:shd w:val="clear" w:color="auto" w:fill="EBFBFF"/>
          </w:tcPr>
          <w:p>
            <w:pPr>
              <w:spacing w:after="0"/>
              <w:rPr>
                <w:sz w:val="18"/>
                <w:szCs w:val="18"/>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127.8</w:t>
            </w:r>
          </w:p>
        </w:tc>
        <w:tc>
          <w:tcPr>
            <w:tcW w:w="110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4"/>
                <w:szCs w:val="14"/>
                <w:color w:val="51555C"/>
              </w:rPr>
              <w:t>25.3 %</w:t>
            </w:r>
          </w:p>
        </w:tc>
      </w:tr>
      <w:tr>
        <w:trPr>
          <w:trHeight w:val="227"/>
        </w:trPr>
        <w:tc>
          <w:tcPr>
            <w:tcW w:w="20" w:type="dxa"/>
            <w:vAlign w:val="bottom"/>
          </w:tcPr>
          <w:p>
            <w:pPr>
              <w:spacing w:after="0"/>
              <w:rPr>
                <w:sz w:val="19"/>
                <w:szCs w:val="19"/>
                <w:color w:val="auto"/>
              </w:rPr>
            </w:pPr>
          </w:p>
        </w:tc>
        <w:tc>
          <w:tcPr>
            <w:tcW w:w="4200" w:type="dxa"/>
            <w:vAlign w:val="bottom"/>
          </w:tcPr>
          <w:p>
            <w:pPr>
              <w:ind w:left="120"/>
              <w:spacing w:after="0"/>
              <w:rPr>
                <w:sz w:val="20"/>
                <w:szCs w:val="20"/>
                <w:color w:val="auto"/>
              </w:rPr>
            </w:pPr>
            <w:r>
              <w:rPr>
                <w:rFonts w:ascii="Arial" w:cs="Arial" w:eastAsia="Arial" w:hAnsi="Arial"/>
                <w:sz w:val="14"/>
                <w:szCs w:val="14"/>
                <w:color w:val="51555C"/>
              </w:rPr>
              <w:t>Foreign currency impact on Non-GAAP adjusted EBITDA</w:t>
            </w:r>
            <w:r>
              <w:rPr>
                <w:rFonts w:ascii="Arial" w:cs="Arial" w:eastAsia="Arial" w:hAnsi="Arial"/>
                <w:sz w:val="18"/>
                <w:szCs w:val="18"/>
                <w:color w:val="51555C"/>
                <w:vertAlign w:val="superscript"/>
              </w:rPr>
              <w:t>(5)</w:t>
            </w:r>
          </w:p>
        </w:tc>
        <w:tc>
          <w:tcPr>
            <w:tcW w:w="420" w:type="dxa"/>
            <w:vAlign w:val="bottom"/>
            <w:tcBorders>
              <w:bottom w:val="single" w:sz="8" w:color="51555C"/>
            </w:tcBorders>
          </w:tcPr>
          <w:p>
            <w:pPr>
              <w:spacing w:after="0"/>
              <w:rPr>
                <w:sz w:val="19"/>
                <w:szCs w:val="19"/>
                <w:color w:val="auto"/>
              </w:rPr>
            </w:pPr>
          </w:p>
        </w:tc>
        <w:tc>
          <w:tcPr>
            <w:tcW w:w="80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0.6</w:t>
            </w:r>
          </w:p>
        </w:tc>
        <w:tc>
          <w:tcPr>
            <w:tcW w:w="460" w:type="dxa"/>
            <w:vAlign w:val="bottom"/>
            <w:tcBorders>
              <w:bottom w:val="single" w:sz="8" w:color="51555C"/>
            </w:tcBorders>
          </w:tcPr>
          <w:p>
            <w:pPr>
              <w:spacing w:after="0"/>
              <w:rPr>
                <w:sz w:val="19"/>
                <w:szCs w:val="19"/>
                <w:color w:val="auto"/>
              </w:rPr>
            </w:pPr>
          </w:p>
        </w:tc>
        <w:tc>
          <w:tcPr>
            <w:tcW w:w="6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1.7</w:t>
            </w:r>
          </w:p>
        </w:tc>
        <w:tc>
          <w:tcPr>
            <w:tcW w:w="1080" w:type="dxa"/>
            <w:vAlign w:val="bottom"/>
          </w:tcPr>
          <w:p>
            <w:pPr>
              <w:jc w:val="right"/>
              <w:spacing w:after="0"/>
              <w:rPr>
                <w:sz w:val="20"/>
                <w:szCs w:val="20"/>
                <w:color w:val="auto"/>
              </w:rPr>
            </w:pPr>
            <w:r>
              <w:rPr>
                <w:rFonts w:ascii="Arial" w:cs="Arial" w:eastAsia="Arial" w:hAnsi="Arial"/>
                <w:sz w:val="14"/>
                <w:szCs w:val="14"/>
                <w:color w:val="51555C"/>
              </w:rPr>
              <w:t>(65.2)%</w:t>
            </w:r>
          </w:p>
        </w:tc>
        <w:tc>
          <w:tcPr>
            <w:tcW w:w="100" w:type="dxa"/>
            <w:vAlign w:val="bottom"/>
          </w:tcPr>
          <w:p>
            <w:pPr>
              <w:spacing w:after="0"/>
              <w:rPr>
                <w:sz w:val="19"/>
                <w:szCs w:val="19"/>
                <w:color w:val="auto"/>
              </w:rPr>
            </w:pPr>
          </w:p>
        </w:tc>
        <w:tc>
          <w:tcPr>
            <w:tcW w:w="440" w:type="dxa"/>
            <w:vAlign w:val="bottom"/>
            <w:tcBorders>
              <w:bottom w:val="single" w:sz="8" w:color="51555C"/>
            </w:tcBorders>
          </w:tcPr>
          <w:p>
            <w:pPr>
              <w:spacing w:after="0"/>
              <w:rPr>
                <w:sz w:val="19"/>
                <w:szCs w:val="19"/>
                <w:color w:val="auto"/>
              </w:rPr>
            </w:pPr>
          </w:p>
        </w:tc>
        <w:tc>
          <w:tcPr>
            <w:tcW w:w="800" w:type="dxa"/>
            <w:vAlign w:val="bottom"/>
            <w:tcBorders>
              <w:bottom w:val="single" w:sz="8" w:color="51555C"/>
            </w:tcBorders>
          </w:tcPr>
          <w:p>
            <w:pPr>
              <w:jc w:val="right"/>
              <w:ind w:right="68"/>
              <w:spacing w:after="0"/>
              <w:rPr>
                <w:sz w:val="20"/>
                <w:szCs w:val="20"/>
                <w:color w:val="auto"/>
              </w:rPr>
            </w:pPr>
            <w:r>
              <w:rPr>
                <w:rFonts w:ascii="Arial" w:cs="Arial" w:eastAsia="Arial" w:hAnsi="Arial"/>
                <w:sz w:val="14"/>
                <w:szCs w:val="14"/>
                <w:color w:val="51555C"/>
              </w:rPr>
              <w:t>1.9</w:t>
            </w:r>
          </w:p>
        </w:tc>
        <w:tc>
          <w:tcPr>
            <w:tcW w:w="460" w:type="dxa"/>
            <w:vAlign w:val="bottom"/>
            <w:tcBorders>
              <w:bottom w:val="single" w:sz="8" w:color="51555C"/>
            </w:tcBorders>
          </w:tcPr>
          <w:p>
            <w:pPr>
              <w:spacing w:after="0"/>
              <w:rPr>
                <w:sz w:val="19"/>
                <w:szCs w:val="19"/>
                <w:color w:val="auto"/>
              </w:rPr>
            </w:pPr>
          </w:p>
        </w:tc>
        <w:tc>
          <w:tcPr>
            <w:tcW w:w="70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2.2</w:t>
            </w:r>
          </w:p>
        </w:tc>
        <w:tc>
          <w:tcPr>
            <w:tcW w:w="20" w:type="dxa"/>
            <w:vAlign w:val="bottom"/>
            <w:tcBorders>
              <w:bottom w:val="single" w:sz="8" w:color="51555C"/>
            </w:tcBorders>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(13.1)%</w:t>
            </w:r>
          </w:p>
        </w:tc>
      </w:tr>
      <w:tr>
        <w:trPr>
          <w:trHeight w:val="226"/>
        </w:trPr>
        <w:tc>
          <w:tcPr>
            <w:tcW w:w="20" w:type="dxa"/>
            <w:vAlign w:val="bottom"/>
          </w:tcPr>
          <w:p>
            <w:pPr>
              <w:spacing w:after="0"/>
              <w:rPr>
                <w:sz w:val="19"/>
                <w:szCs w:val="19"/>
                <w:color w:val="auto"/>
              </w:rPr>
            </w:pPr>
          </w:p>
        </w:tc>
        <w:tc>
          <w:tcPr>
            <w:tcW w:w="420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adjusted EBITDA on constant currency basis</w:t>
            </w:r>
            <w:r>
              <w:rPr>
                <w:rFonts w:ascii="Arial" w:cs="Arial" w:eastAsia="Arial" w:hAnsi="Arial"/>
                <w:sz w:val="18"/>
                <w:szCs w:val="18"/>
                <w:color w:val="51555C"/>
                <w:vertAlign w:val="superscript"/>
              </w:rPr>
              <w:t>(5)</w:t>
            </w:r>
          </w:p>
        </w:tc>
        <w:tc>
          <w:tcPr>
            <w:tcW w:w="420" w:type="dxa"/>
            <w:vAlign w:val="bottom"/>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80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89.4</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6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72.2</w:t>
            </w: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23.8 %</w:t>
            </w:r>
          </w:p>
        </w:tc>
        <w:tc>
          <w:tcPr>
            <w:tcW w:w="540" w:type="dxa"/>
            <w:vAlign w:val="bottom"/>
            <w:gridSpan w:val="2"/>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800" w:type="dxa"/>
            <w:vAlign w:val="bottom"/>
            <w:shd w:val="clear" w:color="auto" w:fill="EBFBFF"/>
          </w:tcPr>
          <w:p>
            <w:pPr>
              <w:jc w:val="right"/>
              <w:ind w:right="68"/>
              <w:spacing w:after="0"/>
              <w:rPr>
                <w:sz w:val="20"/>
                <w:szCs w:val="20"/>
                <w:color w:val="auto"/>
              </w:rPr>
            </w:pPr>
            <w:r>
              <w:rPr>
                <w:rFonts w:ascii="Arial" w:cs="Arial" w:eastAsia="Arial" w:hAnsi="Arial"/>
                <w:sz w:val="14"/>
                <w:szCs w:val="14"/>
                <w:color w:val="51555C"/>
              </w:rPr>
              <w:t>162.0</w:t>
            </w:r>
          </w:p>
        </w:tc>
        <w:tc>
          <w:tcPr>
            <w:tcW w:w="460" w:type="dxa"/>
            <w:vAlign w:val="bottom"/>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129.9</w:t>
            </w:r>
          </w:p>
        </w:tc>
        <w:tc>
          <w:tcPr>
            <w:tcW w:w="1100" w:type="dxa"/>
            <w:vAlign w:val="bottom"/>
            <w:gridSpan w:val="2"/>
            <w:shd w:val="clear" w:color="auto" w:fill="EBFBFF"/>
          </w:tcPr>
          <w:p>
            <w:pPr>
              <w:jc w:val="right"/>
              <w:spacing w:after="0"/>
              <w:rPr>
                <w:sz w:val="20"/>
                <w:szCs w:val="20"/>
                <w:color w:val="auto"/>
              </w:rPr>
            </w:pPr>
            <w:r>
              <w:rPr>
                <w:rFonts w:ascii="Arial" w:cs="Arial" w:eastAsia="Arial" w:hAnsi="Arial"/>
                <w:sz w:val="14"/>
                <w:szCs w:val="14"/>
                <w:color w:val="51555C"/>
              </w:rPr>
              <w:t>24.7 %</w:t>
            </w:r>
          </w:p>
        </w:tc>
      </w:tr>
      <w:tr>
        <w:trPr>
          <w:trHeight w:val="177"/>
        </w:trPr>
        <w:tc>
          <w:tcPr>
            <w:tcW w:w="20" w:type="dxa"/>
            <w:vAlign w:val="bottom"/>
          </w:tcPr>
          <w:p>
            <w:pPr>
              <w:spacing w:after="0"/>
              <w:rPr>
                <w:sz w:val="15"/>
                <w:szCs w:val="15"/>
                <w:color w:val="auto"/>
              </w:rPr>
            </w:pPr>
          </w:p>
        </w:tc>
        <w:tc>
          <w:tcPr>
            <w:tcW w:w="4200" w:type="dxa"/>
            <w:vAlign w:val="bottom"/>
          </w:tcPr>
          <w:p>
            <w:pPr>
              <w:ind w:left="120"/>
              <w:spacing w:after="0"/>
              <w:rPr>
                <w:sz w:val="20"/>
                <w:szCs w:val="20"/>
                <w:color w:val="auto"/>
              </w:rPr>
            </w:pPr>
            <w:r>
              <w:rPr>
                <w:rFonts w:ascii="Arial" w:cs="Arial" w:eastAsia="Arial" w:hAnsi="Arial"/>
                <w:sz w:val="14"/>
                <w:szCs w:val="14"/>
                <w:b w:val="1"/>
                <w:bCs w:val="1"/>
                <w:color w:val="51555C"/>
                <w:w w:val="95"/>
              </w:rPr>
              <w:t>Non-GAAP adjusted EBITDA margin on constant currency basis</w:t>
            </w:r>
          </w:p>
        </w:tc>
        <w:tc>
          <w:tcPr>
            <w:tcW w:w="420" w:type="dxa"/>
            <w:vAlign w:val="bottom"/>
            <w:tcBorders>
              <w:top w:val="single" w:sz="8" w:color="51555C"/>
            </w:tcBorders>
          </w:tcPr>
          <w:p>
            <w:pPr>
              <w:spacing w:after="0"/>
              <w:rPr>
                <w:sz w:val="15"/>
                <w:szCs w:val="15"/>
                <w:color w:val="auto"/>
              </w:rPr>
            </w:pPr>
          </w:p>
        </w:tc>
        <w:tc>
          <w:tcPr>
            <w:tcW w:w="8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32.9 %</w:t>
            </w:r>
          </w:p>
        </w:tc>
        <w:tc>
          <w:tcPr>
            <w:tcW w:w="460" w:type="dxa"/>
            <w:vAlign w:val="bottom"/>
            <w:tcBorders>
              <w:top w:val="single" w:sz="8" w:color="51555C"/>
            </w:tcBorders>
          </w:tcPr>
          <w:p>
            <w:pPr>
              <w:spacing w:after="0"/>
              <w:rPr>
                <w:sz w:val="15"/>
                <w:szCs w:val="15"/>
                <w:color w:val="auto"/>
              </w:rPr>
            </w:pPr>
          </w:p>
        </w:tc>
        <w:tc>
          <w:tcPr>
            <w:tcW w:w="660" w:type="dxa"/>
            <w:vAlign w:val="bottom"/>
            <w:tcBorders>
              <w:top w:val="single" w:sz="8" w:color="51555C"/>
            </w:tcBorders>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51555C"/>
            </w:tcBorders>
          </w:tcPr>
          <w:p>
            <w:pPr>
              <w:spacing w:after="0"/>
              <w:rPr>
                <w:sz w:val="15"/>
                <w:szCs w:val="15"/>
                <w:color w:val="auto"/>
              </w:rPr>
            </w:pPr>
          </w:p>
        </w:tc>
        <w:tc>
          <w:tcPr>
            <w:tcW w:w="8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30.2 %</w:t>
            </w:r>
          </w:p>
        </w:tc>
        <w:tc>
          <w:tcPr>
            <w:tcW w:w="460" w:type="dxa"/>
            <w:vAlign w:val="bottom"/>
            <w:tcBorders>
              <w:top w:val="single" w:sz="8" w:color="51555C"/>
            </w:tcBorders>
          </w:tcPr>
          <w:p>
            <w:pPr>
              <w:spacing w:after="0"/>
              <w:rPr>
                <w:sz w:val="15"/>
                <w:szCs w:val="15"/>
                <w:color w:val="auto"/>
              </w:rPr>
            </w:pPr>
          </w:p>
        </w:tc>
        <w:tc>
          <w:tcPr>
            <w:tcW w:w="700" w:type="dxa"/>
            <w:vAlign w:val="bottom"/>
            <w:tcBorders>
              <w:top w:val="single" w:sz="8" w:color="51555C"/>
            </w:tcBorders>
          </w:tcPr>
          <w:p>
            <w:pPr>
              <w:spacing w:after="0"/>
              <w:rPr>
                <w:sz w:val="15"/>
                <w:szCs w:val="15"/>
                <w:color w:val="auto"/>
              </w:rPr>
            </w:pPr>
          </w:p>
        </w:tc>
        <w:tc>
          <w:tcPr>
            <w:tcW w:w="20" w:type="dxa"/>
            <w:vAlign w:val="bottom"/>
            <w:tcBorders>
              <w:top w:val="single" w:sz="8" w:color="51555C"/>
            </w:tcBorders>
          </w:tcPr>
          <w:p>
            <w:pPr>
              <w:spacing w:after="0"/>
              <w:rPr>
                <w:sz w:val="15"/>
                <w:szCs w:val="15"/>
                <w:color w:val="auto"/>
              </w:rPr>
            </w:pPr>
          </w:p>
        </w:tc>
        <w:tc>
          <w:tcPr>
            <w:tcW w:w="1080" w:type="dxa"/>
            <w:vAlign w:val="bottom"/>
          </w:tcPr>
          <w:p>
            <w:pPr>
              <w:spacing w:after="0"/>
              <w:rPr>
                <w:sz w:val="15"/>
                <w:szCs w:val="15"/>
                <w:color w:val="auto"/>
              </w:rPr>
            </w:pPr>
          </w:p>
        </w:tc>
      </w:tr>
      <w:tr>
        <w:trPr>
          <w:trHeight w:val="46"/>
        </w:trPr>
        <w:tc>
          <w:tcPr>
            <w:tcW w:w="20" w:type="dxa"/>
            <w:vAlign w:val="bottom"/>
          </w:tcPr>
          <w:p>
            <w:pPr>
              <w:spacing w:after="0"/>
              <w:rPr>
                <w:sz w:val="3"/>
                <w:szCs w:val="3"/>
                <w:color w:val="auto"/>
              </w:rPr>
            </w:pPr>
          </w:p>
        </w:tc>
        <w:tc>
          <w:tcPr>
            <w:tcW w:w="4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81"/>
        </w:trPr>
        <w:tc>
          <w:tcPr>
            <w:tcW w:w="20" w:type="dxa"/>
            <w:vAlign w:val="bottom"/>
          </w:tcPr>
          <w:p>
            <w:pPr>
              <w:spacing w:after="0"/>
              <w:rPr>
                <w:sz w:val="7"/>
                <w:szCs w:val="7"/>
                <w:color w:val="auto"/>
              </w:rPr>
            </w:pPr>
          </w:p>
        </w:tc>
        <w:tc>
          <w:tcPr>
            <w:tcW w:w="4200" w:type="dxa"/>
            <w:vAlign w:val="bottom"/>
            <w:shd w:val="clear" w:color="auto" w:fill="EBFBFF"/>
          </w:tcPr>
          <w:p>
            <w:pPr>
              <w:spacing w:after="0"/>
              <w:rPr>
                <w:sz w:val="7"/>
                <w:szCs w:val="7"/>
                <w:color w:val="auto"/>
              </w:rPr>
            </w:pPr>
          </w:p>
        </w:tc>
        <w:tc>
          <w:tcPr>
            <w:tcW w:w="420" w:type="dxa"/>
            <w:vAlign w:val="bottom"/>
            <w:shd w:val="clear" w:color="auto" w:fill="EBFBFF"/>
          </w:tcPr>
          <w:p>
            <w:pPr>
              <w:spacing w:after="0"/>
              <w:rPr>
                <w:sz w:val="7"/>
                <w:szCs w:val="7"/>
                <w:color w:val="auto"/>
              </w:rPr>
            </w:pPr>
          </w:p>
        </w:tc>
        <w:tc>
          <w:tcPr>
            <w:tcW w:w="800" w:type="dxa"/>
            <w:vAlign w:val="bottom"/>
            <w:shd w:val="clear" w:color="auto" w:fill="EBFBFF"/>
          </w:tcPr>
          <w:p>
            <w:pPr>
              <w:spacing w:after="0"/>
              <w:rPr>
                <w:sz w:val="7"/>
                <w:szCs w:val="7"/>
                <w:color w:val="auto"/>
              </w:rPr>
            </w:pPr>
          </w:p>
        </w:tc>
        <w:tc>
          <w:tcPr>
            <w:tcW w:w="460" w:type="dxa"/>
            <w:vAlign w:val="bottom"/>
            <w:shd w:val="clear" w:color="auto" w:fill="EBFBFF"/>
          </w:tcPr>
          <w:p>
            <w:pPr>
              <w:spacing w:after="0"/>
              <w:rPr>
                <w:sz w:val="7"/>
                <w:szCs w:val="7"/>
                <w:color w:val="auto"/>
              </w:rPr>
            </w:pPr>
          </w:p>
        </w:tc>
        <w:tc>
          <w:tcPr>
            <w:tcW w:w="660" w:type="dxa"/>
            <w:vAlign w:val="bottom"/>
            <w:shd w:val="clear" w:color="auto" w:fill="EBFBFF"/>
          </w:tcPr>
          <w:p>
            <w:pPr>
              <w:spacing w:after="0"/>
              <w:rPr>
                <w:sz w:val="7"/>
                <w:szCs w:val="7"/>
                <w:color w:val="auto"/>
              </w:rPr>
            </w:pPr>
          </w:p>
        </w:tc>
        <w:tc>
          <w:tcPr>
            <w:tcW w:w="1080" w:type="dxa"/>
            <w:vAlign w:val="bottom"/>
            <w:shd w:val="clear" w:color="auto" w:fill="EBFBFF"/>
          </w:tcPr>
          <w:p>
            <w:pPr>
              <w:spacing w:after="0"/>
              <w:rPr>
                <w:sz w:val="7"/>
                <w:szCs w:val="7"/>
                <w:color w:val="auto"/>
              </w:rPr>
            </w:pPr>
          </w:p>
        </w:tc>
        <w:tc>
          <w:tcPr>
            <w:tcW w:w="100" w:type="dxa"/>
            <w:vAlign w:val="bottom"/>
            <w:tcBorders>
              <w:right w:val="single" w:sz="8" w:color="EBFBFF"/>
            </w:tcBorders>
            <w:shd w:val="clear" w:color="auto" w:fill="EBFBFF"/>
          </w:tcPr>
          <w:p>
            <w:pPr>
              <w:spacing w:after="0"/>
              <w:rPr>
                <w:sz w:val="7"/>
                <w:szCs w:val="7"/>
                <w:color w:val="auto"/>
              </w:rPr>
            </w:pPr>
          </w:p>
        </w:tc>
        <w:tc>
          <w:tcPr>
            <w:tcW w:w="440" w:type="dxa"/>
            <w:vAlign w:val="bottom"/>
            <w:shd w:val="clear" w:color="auto" w:fill="EBFBFF"/>
          </w:tcPr>
          <w:p>
            <w:pPr>
              <w:spacing w:after="0"/>
              <w:rPr>
                <w:sz w:val="7"/>
                <w:szCs w:val="7"/>
                <w:color w:val="auto"/>
              </w:rPr>
            </w:pPr>
          </w:p>
        </w:tc>
        <w:tc>
          <w:tcPr>
            <w:tcW w:w="800" w:type="dxa"/>
            <w:vAlign w:val="bottom"/>
            <w:shd w:val="clear" w:color="auto" w:fill="EBFBFF"/>
          </w:tcPr>
          <w:p>
            <w:pPr>
              <w:spacing w:after="0"/>
              <w:rPr>
                <w:sz w:val="7"/>
                <w:szCs w:val="7"/>
                <w:color w:val="auto"/>
              </w:rPr>
            </w:pPr>
          </w:p>
        </w:tc>
        <w:tc>
          <w:tcPr>
            <w:tcW w:w="460" w:type="dxa"/>
            <w:vAlign w:val="bottom"/>
            <w:shd w:val="clear" w:color="auto" w:fill="EBFBFF"/>
          </w:tcPr>
          <w:p>
            <w:pPr>
              <w:spacing w:after="0"/>
              <w:rPr>
                <w:sz w:val="7"/>
                <w:szCs w:val="7"/>
                <w:color w:val="auto"/>
              </w:rPr>
            </w:pPr>
          </w:p>
        </w:tc>
        <w:tc>
          <w:tcPr>
            <w:tcW w:w="700" w:type="dxa"/>
            <w:vAlign w:val="bottom"/>
            <w:shd w:val="clear" w:color="auto" w:fill="EBFBFF"/>
          </w:tcPr>
          <w:p>
            <w:pPr>
              <w:spacing w:after="0"/>
              <w:rPr>
                <w:sz w:val="7"/>
                <w:szCs w:val="7"/>
                <w:color w:val="auto"/>
              </w:rPr>
            </w:pPr>
          </w:p>
        </w:tc>
        <w:tc>
          <w:tcPr>
            <w:tcW w:w="20" w:type="dxa"/>
            <w:vAlign w:val="bottom"/>
            <w:shd w:val="clear" w:color="auto" w:fill="EBFBFF"/>
          </w:tcPr>
          <w:p>
            <w:pPr>
              <w:spacing w:after="0"/>
              <w:rPr>
                <w:sz w:val="7"/>
                <w:szCs w:val="7"/>
                <w:color w:val="auto"/>
              </w:rPr>
            </w:pPr>
          </w:p>
        </w:tc>
        <w:tc>
          <w:tcPr>
            <w:tcW w:w="1080" w:type="dxa"/>
            <w:vAlign w:val="bottom"/>
            <w:shd w:val="clear" w:color="auto" w:fill="EBFBFF"/>
          </w:tcPr>
          <w:p>
            <w:pPr>
              <w:spacing w:after="0"/>
              <w:rPr>
                <w:sz w:val="7"/>
                <w:szCs w:val="7"/>
                <w:color w:val="auto"/>
              </w:rPr>
            </w:pPr>
          </w:p>
        </w:tc>
      </w:tr>
      <w:tr>
        <w:trPr>
          <w:trHeight w:val="227"/>
        </w:trPr>
        <w:tc>
          <w:tcPr>
            <w:tcW w:w="20" w:type="dxa"/>
            <w:vAlign w:val="bottom"/>
          </w:tcPr>
          <w:p>
            <w:pPr>
              <w:spacing w:after="0"/>
              <w:rPr>
                <w:sz w:val="19"/>
                <w:szCs w:val="19"/>
                <w:color w:val="auto"/>
              </w:rPr>
            </w:pPr>
          </w:p>
        </w:tc>
        <w:tc>
          <w:tcPr>
            <w:tcW w:w="4200" w:type="dxa"/>
            <w:vAlign w:val="bottom"/>
            <w:tcBorders>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Rule of 40 on constant currency basis</w:t>
            </w:r>
            <w:r>
              <w:rPr>
                <w:rFonts w:ascii="Arial" w:cs="Arial" w:eastAsia="Arial" w:hAnsi="Arial"/>
                <w:sz w:val="18"/>
                <w:szCs w:val="18"/>
                <w:b w:val="1"/>
                <w:bCs w:val="1"/>
                <w:color w:val="51555C"/>
                <w:vertAlign w:val="superscript"/>
              </w:rPr>
              <w:t>(6)</w:t>
            </w:r>
          </w:p>
        </w:tc>
        <w:tc>
          <w:tcPr>
            <w:tcW w:w="420" w:type="dxa"/>
            <w:vAlign w:val="bottom"/>
            <w:tcBorders>
              <w:bottom w:val="single" w:sz="8" w:color="0CD973"/>
            </w:tcBorders>
          </w:tcPr>
          <w:p>
            <w:pPr>
              <w:spacing w:after="0"/>
              <w:rPr>
                <w:sz w:val="19"/>
                <w:szCs w:val="19"/>
                <w:color w:val="auto"/>
              </w:rPr>
            </w:pPr>
          </w:p>
        </w:tc>
        <w:tc>
          <w:tcPr>
            <w:tcW w:w="80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36.1 %</w:t>
            </w:r>
          </w:p>
        </w:tc>
        <w:tc>
          <w:tcPr>
            <w:tcW w:w="460" w:type="dxa"/>
            <w:vAlign w:val="bottom"/>
            <w:tcBorders>
              <w:bottom w:val="single" w:sz="8" w:color="0CD973"/>
            </w:tcBorders>
          </w:tcPr>
          <w:p>
            <w:pPr>
              <w:spacing w:after="0"/>
              <w:rPr>
                <w:sz w:val="19"/>
                <w:szCs w:val="19"/>
                <w:color w:val="auto"/>
              </w:rPr>
            </w:pPr>
          </w:p>
        </w:tc>
        <w:tc>
          <w:tcPr>
            <w:tcW w:w="660" w:type="dxa"/>
            <w:vAlign w:val="bottom"/>
            <w:tcBorders>
              <w:bottom w:val="single" w:sz="8" w:color="0CD973"/>
            </w:tcBorders>
          </w:tcPr>
          <w:p>
            <w:pPr>
              <w:spacing w:after="0"/>
              <w:rPr>
                <w:sz w:val="19"/>
                <w:szCs w:val="19"/>
                <w:color w:val="auto"/>
              </w:rPr>
            </w:pPr>
          </w:p>
        </w:tc>
        <w:tc>
          <w:tcPr>
            <w:tcW w:w="1080" w:type="dxa"/>
            <w:vAlign w:val="bottom"/>
            <w:tcBorders>
              <w:bottom w:val="single" w:sz="8" w:color="0CD973"/>
            </w:tcBorders>
          </w:tcPr>
          <w:p>
            <w:pPr>
              <w:spacing w:after="0"/>
              <w:rPr>
                <w:sz w:val="19"/>
                <w:szCs w:val="19"/>
                <w:color w:val="auto"/>
              </w:rPr>
            </w:pPr>
          </w:p>
        </w:tc>
        <w:tc>
          <w:tcPr>
            <w:tcW w:w="100" w:type="dxa"/>
            <w:vAlign w:val="bottom"/>
            <w:tcBorders>
              <w:bottom w:val="single" w:sz="8" w:color="0CD973"/>
            </w:tcBorders>
          </w:tcPr>
          <w:p>
            <w:pPr>
              <w:spacing w:after="0"/>
              <w:rPr>
                <w:sz w:val="19"/>
                <w:szCs w:val="19"/>
                <w:color w:val="auto"/>
              </w:rPr>
            </w:pPr>
          </w:p>
        </w:tc>
        <w:tc>
          <w:tcPr>
            <w:tcW w:w="440" w:type="dxa"/>
            <w:vAlign w:val="bottom"/>
            <w:tcBorders>
              <w:bottom w:val="single" w:sz="8" w:color="0CD973"/>
            </w:tcBorders>
          </w:tcPr>
          <w:p>
            <w:pPr>
              <w:spacing w:after="0"/>
              <w:rPr>
                <w:sz w:val="19"/>
                <w:szCs w:val="19"/>
                <w:color w:val="auto"/>
              </w:rPr>
            </w:pPr>
          </w:p>
        </w:tc>
        <w:tc>
          <w:tcPr>
            <w:tcW w:w="80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33.5 %</w:t>
            </w:r>
          </w:p>
        </w:tc>
        <w:tc>
          <w:tcPr>
            <w:tcW w:w="460" w:type="dxa"/>
            <w:vAlign w:val="bottom"/>
            <w:tcBorders>
              <w:bottom w:val="single" w:sz="8" w:color="0CD973"/>
            </w:tcBorders>
          </w:tcPr>
          <w:p>
            <w:pPr>
              <w:spacing w:after="0"/>
              <w:rPr>
                <w:sz w:val="19"/>
                <w:szCs w:val="19"/>
                <w:color w:val="auto"/>
              </w:rPr>
            </w:pPr>
          </w:p>
        </w:tc>
        <w:tc>
          <w:tcPr>
            <w:tcW w:w="700" w:type="dxa"/>
            <w:vAlign w:val="bottom"/>
            <w:tcBorders>
              <w:bottom w:val="single" w:sz="8" w:color="0CD973"/>
            </w:tcBorders>
          </w:tcPr>
          <w:p>
            <w:pPr>
              <w:spacing w:after="0"/>
              <w:rPr>
                <w:sz w:val="19"/>
                <w:szCs w:val="19"/>
                <w:color w:val="auto"/>
              </w:rPr>
            </w:pPr>
          </w:p>
        </w:tc>
        <w:tc>
          <w:tcPr>
            <w:tcW w:w="20" w:type="dxa"/>
            <w:vAlign w:val="bottom"/>
            <w:tcBorders>
              <w:bottom w:val="single" w:sz="8" w:color="0CD973"/>
            </w:tcBorders>
          </w:tcPr>
          <w:p>
            <w:pPr>
              <w:spacing w:after="0"/>
              <w:rPr>
                <w:sz w:val="19"/>
                <w:szCs w:val="19"/>
                <w:color w:val="auto"/>
              </w:rPr>
            </w:pPr>
          </w:p>
        </w:tc>
        <w:tc>
          <w:tcPr>
            <w:tcW w:w="1080" w:type="dxa"/>
            <w:vAlign w:val="bottom"/>
            <w:tcBorders>
              <w:bottom w:val="single" w:sz="8" w:color="0CD973"/>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-4319905</wp:posOffset>
            </wp:positionV>
            <wp:extent cx="44405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51555C"/>
        </w:rPr>
      </w:pPr>
      <w:r>
        <w:rPr>
          <w:rFonts w:ascii="Arial" w:cs="Arial" w:eastAsia="Arial" w:hAnsi="Arial"/>
          <w:sz w:val="14"/>
          <w:szCs w:val="14"/>
          <w:color w:val="51555C"/>
        </w:rPr>
        <w:t>Includes amortzaton expense related to sofware development costs and amortzaton expense from capitalized cloud computng implementaton costs.</w:t>
      </w:r>
    </w:p>
    <w:p>
      <w:pPr>
        <w:spacing w:after="0" w:line="20" w:lineRule="exact"/>
        <w:rPr>
          <w:rFonts w:ascii="Arial" w:cs="Arial" w:eastAsia="Arial" w:hAnsi="Arial"/>
          <w:sz w:val="14"/>
          <w:szCs w:val="14"/>
          <w:color w:val="51555C"/>
        </w:rPr>
      </w:pPr>
    </w:p>
    <w:p>
      <w:pPr>
        <w:ind w:left="340" w:hanging="332"/>
        <w:spacing w:after="0"/>
        <w:tabs>
          <w:tab w:leader="none" w:pos="340" w:val="left"/>
        </w:tabs>
        <w:numPr>
          <w:ilvl w:val="0"/>
          <w:numId w:val="41"/>
        </w:numPr>
        <w:rPr>
          <w:rFonts w:ascii="Arial" w:cs="Arial" w:eastAsia="Arial" w:hAnsi="Arial"/>
          <w:sz w:val="12"/>
          <w:szCs w:val="12"/>
          <w:color w:val="51555C"/>
        </w:rPr>
      </w:pPr>
      <w:r>
        <w:rPr>
          <w:rFonts w:ascii="Arial" w:cs="Arial" w:eastAsia="Arial" w:hAnsi="Arial"/>
          <w:sz w:val="12"/>
          <w:szCs w:val="12"/>
          <w:color w:val="51555C"/>
        </w:rPr>
        <w:t>The individual amounts for each year may not sum to subtotal, non-GAAP EBITDA, non-GAAP adjusted EBITDA or non-GAAP adjusted EBITDA on a constant currency basis due to rounding.</w:t>
      </w:r>
    </w:p>
    <w:p>
      <w:pPr>
        <w:spacing w:after="0" w:line="37" w:lineRule="exact"/>
        <w:rPr>
          <w:rFonts w:ascii="Arial" w:cs="Arial" w:eastAsia="Arial" w:hAnsi="Arial"/>
          <w:sz w:val="12"/>
          <w:szCs w:val="12"/>
          <w:color w:val="51555C"/>
        </w:rPr>
      </w:pPr>
    </w:p>
    <w:p>
      <w:pPr>
        <w:ind w:left="340" w:hanging="332"/>
        <w:spacing w:after="0"/>
        <w:tabs>
          <w:tab w:leader="none" w:pos="340" w:val="left"/>
        </w:tabs>
        <w:numPr>
          <w:ilvl w:val="0"/>
          <w:numId w:val="41"/>
        </w:numPr>
        <w:rPr>
          <w:rFonts w:ascii="Arial" w:cs="Arial" w:eastAsia="Arial" w:hAnsi="Arial"/>
          <w:sz w:val="14"/>
          <w:szCs w:val="14"/>
          <w:color w:val="51555C"/>
        </w:rPr>
      </w:pPr>
      <w:r>
        <w:rPr>
          <w:rFonts w:ascii="Arial" w:cs="Arial" w:eastAsia="Arial" w:hAnsi="Arial"/>
          <w:sz w:val="14"/>
          <w:szCs w:val="14"/>
          <w:color w:val="51555C"/>
        </w:rPr>
        <w:t>See additonal details in the reconciliaton of GAAP to Non-GAAP operatng income above.</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41"/>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4" w:lineRule="exact"/>
        <w:rPr>
          <w:rFonts w:ascii="Arial" w:cs="Arial" w:eastAsia="Arial" w:hAnsi="Arial"/>
          <w:sz w:val="14"/>
          <w:szCs w:val="14"/>
          <w:color w:val="51555C"/>
        </w:rPr>
      </w:pPr>
    </w:p>
    <w:p>
      <w:pPr>
        <w:jc w:val="both"/>
        <w:ind w:left="340" w:hanging="332"/>
        <w:spacing w:after="0" w:line="261" w:lineRule="auto"/>
        <w:tabs>
          <w:tab w:leader="none" w:pos="340" w:val="left"/>
        </w:tabs>
        <w:numPr>
          <w:ilvl w:val="0"/>
          <w:numId w:val="41"/>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1" w:lineRule="exact"/>
        <w:rPr>
          <w:rFonts w:ascii="Arial" w:cs="Arial" w:eastAsia="Arial" w:hAnsi="Arial"/>
          <w:sz w:val="14"/>
          <w:szCs w:val="14"/>
          <w:color w:val="51555C"/>
        </w:rPr>
      </w:pPr>
    </w:p>
    <w:p>
      <w:pPr>
        <w:ind w:left="340" w:hanging="332"/>
        <w:spacing w:after="0" w:line="263" w:lineRule="auto"/>
        <w:tabs>
          <w:tab w:leader="none" w:pos="340" w:val="left"/>
        </w:tabs>
        <w:numPr>
          <w:ilvl w:val="0"/>
          <w:numId w:val="41"/>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 See Non-GAAP organic revenue growth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241935</wp:posOffset>
            </wp:positionV>
            <wp:extent cx="66040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41</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free cash fow and non-GAAP adjusted free cash fow</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Non-GAAP free cash fow is defned as operatng cash fow less capital expenditures, including costs required to be capitalized for sofware and content development, and capital expenditures for property and equipment.</w:t>
      </w:r>
    </w:p>
    <w:p>
      <w:pPr>
        <w:spacing w:after="0" w:line="12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Non-GAAP adjusted free cash fow is defned as operatng cash fow less capital expenditures, including costs required to be capitalized for sofware and content development and capital expenditures for property and equipment, plus cash outlows, net of insurance, related to the Security Incident.</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believe non-GAAP free cash fow and non-GAAP adjusted free cash fow provides useful measures of the Company's operatng performance. Non-GAAP adjusted free cash fow is not intended to represent and should not be viewed as the amount of residual cash fow available for discretonary expenditures.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762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70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w w:val="97"/>
              </w:rPr>
              <w:t>Six months ended</w:t>
            </w:r>
          </w:p>
        </w:tc>
      </w:tr>
      <w:tr>
        <w:trPr>
          <w:trHeight w:val="184"/>
        </w:trPr>
        <w:tc>
          <w:tcPr>
            <w:tcW w:w="20" w:type="dxa"/>
            <w:vAlign w:val="bottom"/>
            <w:shd w:val="clear" w:color="auto" w:fill="004054"/>
          </w:tcPr>
          <w:p>
            <w:pPr>
              <w:spacing w:after="0"/>
              <w:rPr>
                <w:sz w:val="15"/>
                <w:szCs w:val="15"/>
                <w:color w:val="auto"/>
              </w:rPr>
            </w:pPr>
          </w:p>
        </w:tc>
        <w:tc>
          <w:tcPr>
            <w:tcW w:w="762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70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720" w:type="dxa"/>
            <w:vAlign w:val="bottom"/>
            <w:shd w:val="clear" w:color="auto" w:fill="004054"/>
          </w:tcPr>
          <w:p>
            <w:pPr>
              <w:spacing w:after="0"/>
              <w:rPr>
                <w:sz w:val="15"/>
                <w:szCs w:val="15"/>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79"/>
        </w:trPr>
        <w:tc>
          <w:tcPr>
            <w:tcW w:w="20" w:type="dxa"/>
            <w:vAlign w:val="bottom"/>
            <w:tcBorders>
              <w:bottom w:val="single" w:sz="8" w:color="004054"/>
            </w:tcBorders>
            <w:shd w:val="clear" w:color="auto" w:fill="004054"/>
          </w:tcPr>
          <w:p>
            <w:pPr>
              <w:spacing w:after="0"/>
              <w:rPr>
                <w:sz w:val="24"/>
                <w:szCs w:val="24"/>
                <w:color w:val="auto"/>
              </w:rPr>
            </w:pPr>
          </w:p>
        </w:tc>
        <w:tc>
          <w:tcPr>
            <w:tcW w:w="762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24"/>
                <w:szCs w:val="24"/>
                <w:color w:val="auto"/>
              </w:rPr>
            </w:pPr>
          </w:p>
        </w:tc>
        <w:tc>
          <w:tcPr>
            <w:tcW w:w="700" w:type="dxa"/>
            <w:vAlign w:val="bottom"/>
            <w:tcBorders>
              <w:bottom w:val="single" w:sz="8" w:color="004054"/>
            </w:tcBorders>
            <w:shd w:val="clear" w:color="auto" w:fill="004054"/>
          </w:tcPr>
          <w:p>
            <w:pPr>
              <w:ind w:left="400"/>
              <w:spacing w:after="0"/>
              <w:rPr>
                <w:sz w:val="20"/>
                <w:szCs w:val="20"/>
                <w:color w:val="auto"/>
              </w:rPr>
            </w:pPr>
            <w:r>
              <w:rPr>
                <w:rFonts w:ascii="Arial" w:cs="Arial" w:eastAsia="Arial" w:hAnsi="Arial"/>
                <w:sz w:val="14"/>
                <w:szCs w:val="14"/>
                <w:b w:val="1"/>
                <w:bCs w:val="1"/>
                <w:color w:val="FFFFFF"/>
                <w:w w:val="89"/>
              </w:rPr>
              <w:t>2023</w:t>
            </w:r>
          </w:p>
        </w:tc>
        <w:tc>
          <w:tcPr>
            <w:tcW w:w="480" w:type="dxa"/>
            <w:vAlign w:val="bottom"/>
            <w:tcBorders>
              <w:bottom w:val="single" w:sz="8" w:color="004054"/>
            </w:tcBorders>
            <w:shd w:val="clear" w:color="auto" w:fill="004054"/>
          </w:tcPr>
          <w:p>
            <w:pPr>
              <w:spacing w:after="0"/>
              <w:rPr>
                <w:sz w:val="24"/>
                <w:szCs w:val="24"/>
                <w:color w:val="auto"/>
              </w:rPr>
            </w:pPr>
          </w:p>
        </w:tc>
        <w:tc>
          <w:tcPr>
            <w:tcW w:w="7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10"/>
        </w:trPr>
        <w:tc>
          <w:tcPr>
            <w:tcW w:w="20" w:type="dxa"/>
            <w:vAlign w:val="bottom"/>
          </w:tcPr>
          <w:p>
            <w:pPr>
              <w:spacing w:after="0"/>
              <w:rPr>
                <w:sz w:val="18"/>
                <w:szCs w:val="18"/>
                <w:color w:val="auto"/>
              </w:rPr>
            </w:pPr>
          </w:p>
        </w:tc>
        <w:tc>
          <w:tcPr>
            <w:tcW w:w="76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cash provided by operatng actvites</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tcBorders>
              <w:bottom w:val="single" w:sz="8" w:color="EBFBFF"/>
            </w:tcBorders>
            <w:shd w:val="clear" w:color="auto" w:fill="EBFBFF"/>
          </w:tcPr>
          <w:p>
            <w:pPr>
              <w:ind w:left="400"/>
              <w:spacing w:after="0"/>
              <w:rPr>
                <w:sz w:val="20"/>
                <w:szCs w:val="20"/>
                <w:color w:val="auto"/>
              </w:rPr>
            </w:pPr>
            <w:r>
              <w:rPr>
                <w:rFonts w:ascii="Arial" w:cs="Arial" w:eastAsia="Arial" w:hAnsi="Arial"/>
                <w:sz w:val="14"/>
                <w:szCs w:val="14"/>
                <w:color w:val="51555C"/>
              </w:rPr>
              <w:t>75.0</w:t>
            </w:r>
          </w:p>
        </w:tc>
        <w:tc>
          <w:tcPr>
            <w:tcW w:w="48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81.8</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(8.3)%</w:t>
            </w:r>
          </w:p>
        </w:tc>
      </w:tr>
      <w:tr>
        <w:trPr>
          <w:trHeight w:val="182"/>
        </w:trPr>
        <w:tc>
          <w:tcPr>
            <w:tcW w:w="20" w:type="dxa"/>
            <w:vAlign w:val="bottom"/>
          </w:tcPr>
          <w:p>
            <w:pPr>
              <w:spacing w:after="0"/>
              <w:rPr>
                <w:sz w:val="15"/>
                <w:szCs w:val="15"/>
                <w:color w:val="auto"/>
              </w:rPr>
            </w:pPr>
          </w:p>
        </w:tc>
        <w:tc>
          <w:tcPr>
            <w:tcW w:w="7620" w:type="dxa"/>
            <w:vAlign w:val="bottom"/>
          </w:tcPr>
          <w:p>
            <w:pPr>
              <w:ind w:left="120"/>
              <w:spacing w:after="0"/>
              <w:rPr>
                <w:sz w:val="20"/>
                <w:szCs w:val="20"/>
                <w:color w:val="auto"/>
              </w:rPr>
            </w:pPr>
            <w:r>
              <w:rPr>
                <w:rFonts w:ascii="Arial" w:cs="Arial" w:eastAsia="Arial" w:hAnsi="Arial"/>
                <w:sz w:val="14"/>
                <w:szCs w:val="14"/>
                <w:color w:val="51555C"/>
              </w:rPr>
              <w:t>Less: purchase of property and equipment</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51555C"/>
              </w:rPr>
              <w:t>(2.8)</w:t>
            </w:r>
          </w:p>
        </w:tc>
        <w:tc>
          <w:tcPr>
            <w:tcW w:w="4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51555C"/>
              </w:rPr>
              <w:t>(7.5)</w:t>
            </w:r>
          </w:p>
        </w:tc>
        <w:tc>
          <w:tcPr>
            <w:tcW w:w="1240" w:type="dxa"/>
            <w:vAlign w:val="bottom"/>
          </w:tcPr>
          <w:p>
            <w:pPr>
              <w:jc w:val="right"/>
              <w:spacing w:after="0"/>
              <w:rPr>
                <w:sz w:val="20"/>
                <w:szCs w:val="20"/>
                <w:color w:val="auto"/>
              </w:rPr>
            </w:pPr>
            <w:r>
              <w:rPr>
                <w:rFonts w:ascii="Arial" w:cs="Arial" w:eastAsia="Arial" w:hAnsi="Arial"/>
                <w:sz w:val="14"/>
                <w:szCs w:val="14"/>
                <w:color w:val="51555C"/>
              </w:rPr>
              <w:t>(63.0)%</w:t>
            </w:r>
          </w:p>
        </w:tc>
      </w:tr>
      <w:tr>
        <w:trPr>
          <w:trHeight w:val="48"/>
        </w:trPr>
        <w:tc>
          <w:tcPr>
            <w:tcW w:w="20" w:type="dxa"/>
            <w:vAlign w:val="bottom"/>
          </w:tcPr>
          <w:p>
            <w:pPr>
              <w:spacing w:after="0"/>
              <w:rPr>
                <w:sz w:val="4"/>
                <w:szCs w:val="4"/>
                <w:color w:val="auto"/>
              </w:rPr>
            </w:pPr>
          </w:p>
        </w:tc>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762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Less: capitalized sofware and content development costs</w:t>
            </w:r>
          </w:p>
        </w:tc>
        <w:tc>
          <w:tcPr>
            <w:tcW w:w="460" w:type="dxa"/>
            <w:vAlign w:val="bottom"/>
            <w:tcBorders>
              <w:bottom w:val="single" w:sz="8" w:color="EBFBFF"/>
            </w:tcBorders>
            <w:shd w:val="clear" w:color="auto" w:fill="EBFBFF"/>
          </w:tcPr>
          <w:p>
            <w:pPr>
              <w:spacing w:after="0"/>
              <w:rPr>
                <w:sz w:val="19"/>
                <w:szCs w:val="19"/>
                <w:color w:val="auto"/>
              </w:rPr>
            </w:pPr>
          </w:p>
        </w:tc>
        <w:tc>
          <w:tcPr>
            <w:tcW w:w="7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(28.8)</w:t>
            </w:r>
          </w:p>
        </w:tc>
        <w:tc>
          <w:tcPr>
            <w:tcW w:w="48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(27.2)</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5.8 %</w:t>
            </w:r>
          </w:p>
        </w:tc>
      </w:tr>
      <w:tr>
        <w:trPr>
          <w:trHeight w:val="213"/>
        </w:trPr>
        <w:tc>
          <w:tcPr>
            <w:tcW w:w="20" w:type="dxa"/>
            <w:vAlign w:val="bottom"/>
          </w:tcPr>
          <w:p>
            <w:pPr>
              <w:spacing w:after="0"/>
              <w:rPr>
                <w:sz w:val="18"/>
                <w:szCs w:val="18"/>
                <w:color w:val="auto"/>
              </w:rPr>
            </w:pPr>
          </w:p>
        </w:tc>
        <w:tc>
          <w:tcPr>
            <w:tcW w:w="7620" w:type="dxa"/>
            <w:vAlign w:val="bottom"/>
          </w:tcPr>
          <w:p>
            <w:pPr>
              <w:ind w:left="20"/>
              <w:spacing w:after="0" w:line="204" w:lineRule="exact"/>
              <w:rPr>
                <w:sz w:val="20"/>
                <w:szCs w:val="20"/>
                <w:color w:val="auto"/>
              </w:rPr>
            </w:pPr>
            <w:r>
              <w:rPr>
                <w:rFonts w:ascii="Arial" w:cs="Arial" w:eastAsia="Arial" w:hAnsi="Arial"/>
                <w:sz w:val="14"/>
                <w:szCs w:val="14"/>
                <w:b w:val="1"/>
                <w:bCs w:val="1"/>
                <w:color w:val="51555C"/>
              </w:rPr>
              <w:t>Non-GAAP free cash fow</w:t>
            </w:r>
            <w:r>
              <w:rPr>
                <w:rFonts w:ascii="Arial" w:cs="Arial" w:eastAsia="Arial" w:hAnsi="Arial"/>
                <w:sz w:val="18"/>
                <w:szCs w:val="18"/>
                <w:b w:val="1"/>
                <w:bCs w:val="1"/>
                <w:color w:val="51555C"/>
                <w:vertAlign w:val="superscript"/>
              </w:rPr>
              <w:t>(1)</w:t>
            </w:r>
          </w:p>
        </w:tc>
        <w:tc>
          <w:tcPr>
            <w:tcW w:w="460" w:type="dxa"/>
            <w:vAlign w:val="bottom"/>
            <w:tcBorders>
              <w:top w:val="single" w:sz="8" w:color="51555C"/>
            </w:tcBorders>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tcBorders>
              <w:top w:val="single" w:sz="8" w:color="51555C"/>
            </w:tcBorders>
          </w:tcPr>
          <w:p>
            <w:pPr>
              <w:ind w:left="400"/>
              <w:spacing w:after="0"/>
              <w:rPr>
                <w:sz w:val="20"/>
                <w:szCs w:val="20"/>
                <w:color w:val="auto"/>
              </w:rPr>
            </w:pPr>
            <w:r>
              <w:rPr>
                <w:rFonts w:ascii="Arial" w:cs="Arial" w:eastAsia="Arial" w:hAnsi="Arial"/>
                <w:sz w:val="14"/>
                <w:szCs w:val="14"/>
                <w:color w:val="51555C"/>
              </w:rPr>
              <w:t>43.5</w:t>
            </w:r>
          </w:p>
        </w:tc>
        <w:tc>
          <w:tcPr>
            <w:tcW w:w="480" w:type="dxa"/>
            <w:vAlign w:val="bottom"/>
            <w:tcBorders>
              <w:top w:val="single" w:sz="8" w:color="51555C"/>
            </w:tcBorders>
          </w:tcPr>
          <w:p>
            <w:pPr>
              <w:jc w:val="right"/>
              <w:ind w:right="288"/>
              <w:spacing w:after="0"/>
              <w:rPr>
                <w:sz w:val="20"/>
                <w:szCs w:val="20"/>
                <w:color w:val="auto"/>
              </w:rPr>
            </w:pPr>
            <w:r>
              <w:rPr>
                <w:rFonts w:ascii="Arial" w:cs="Arial" w:eastAsia="Arial" w:hAnsi="Arial"/>
                <w:sz w:val="14"/>
                <w:szCs w:val="14"/>
                <w:color w:val="51555C"/>
              </w:rPr>
              <w:t>$</w:t>
            </w:r>
          </w:p>
        </w:tc>
        <w:tc>
          <w:tcPr>
            <w:tcW w:w="72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47.1</w:t>
            </w:r>
          </w:p>
        </w:tc>
        <w:tc>
          <w:tcPr>
            <w:tcW w:w="1240" w:type="dxa"/>
            <w:vAlign w:val="bottom"/>
          </w:tcPr>
          <w:p>
            <w:pPr>
              <w:jc w:val="right"/>
              <w:spacing w:after="0"/>
              <w:rPr>
                <w:sz w:val="20"/>
                <w:szCs w:val="20"/>
                <w:color w:val="auto"/>
              </w:rPr>
            </w:pPr>
            <w:r>
              <w:rPr>
                <w:rFonts w:ascii="Arial" w:cs="Arial" w:eastAsia="Arial" w:hAnsi="Arial"/>
                <w:sz w:val="14"/>
                <w:szCs w:val="14"/>
                <w:color w:val="51555C"/>
              </w:rPr>
              <w:t>(7.7)%</w:t>
            </w:r>
          </w:p>
        </w:tc>
      </w:tr>
      <w:tr>
        <w:trPr>
          <w:trHeight w:val="231"/>
        </w:trPr>
        <w:tc>
          <w:tcPr>
            <w:tcW w:w="20" w:type="dxa"/>
            <w:vAlign w:val="bottom"/>
          </w:tcPr>
          <w:p>
            <w:pPr>
              <w:spacing w:after="0"/>
              <w:rPr>
                <w:sz w:val="19"/>
                <w:szCs w:val="19"/>
                <w:color w:val="auto"/>
              </w:rPr>
            </w:pPr>
          </w:p>
        </w:tc>
        <w:tc>
          <w:tcPr>
            <w:tcW w:w="762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4"/>
                <w:szCs w:val="14"/>
                <w:color w:val="51555C"/>
              </w:rPr>
              <w:t>Add: Security Incident-related cash fows, net of insurance</w:t>
            </w:r>
          </w:p>
        </w:tc>
        <w:tc>
          <w:tcPr>
            <w:tcW w:w="460" w:type="dxa"/>
            <w:vAlign w:val="bottom"/>
            <w:tcBorders>
              <w:bottom w:val="single" w:sz="8" w:color="EBFBFF"/>
            </w:tcBorders>
            <w:shd w:val="clear" w:color="auto" w:fill="EBFBFF"/>
          </w:tcPr>
          <w:p>
            <w:pPr>
              <w:spacing w:after="0"/>
              <w:rPr>
                <w:sz w:val="19"/>
                <w:szCs w:val="19"/>
                <w:color w:val="auto"/>
              </w:rPr>
            </w:pPr>
          </w:p>
        </w:tc>
        <w:tc>
          <w:tcPr>
            <w:tcW w:w="700" w:type="dxa"/>
            <w:vAlign w:val="bottom"/>
            <w:tcBorders>
              <w:bottom w:val="single" w:sz="8" w:color="EBFBFF"/>
            </w:tcBorders>
            <w:shd w:val="clear" w:color="auto" w:fill="EBFBFF"/>
          </w:tcPr>
          <w:p>
            <w:pPr>
              <w:ind w:left="400"/>
              <w:spacing w:after="0"/>
              <w:rPr>
                <w:sz w:val="20"/>
                <w:szCs w:val="20"/>
                <w:color w:val="auto"/>
              </w:rPr>
            </w:pPr>
            <w:r>
              <w:rPr>
                <w:rFonts w:ascii="Arial" w:cs="Arial" w:eastAsia="Arial" w:hAnsi="Arial"/>
                <w:sz w:val="14"/>
                <w:szCs w:val="14"/>
                <w:color w:val="51555C"/>
              </w:rPr>
              <w:t>15.8</w:t>
            </w:r>
          </w:p>
        </w:tc>
        <w:tc>
          <w:tcPr>
            <w:tcW w:w="480" w:type="dxa"/>
            <w:vAlign w:val="bottom"/>
            <w:tcBorders>
              <w:bottom w:val="single" w:sz="8" w:color="EBFBFF"/>
            </w:tcBorders>
            <w:shd w:val="clear" w:color="auto" w:fill="EBFBFF"/>
          </w:tcPr>
          <w:p>
            <w:pPr>
              <w:spacing w:after="0"/>
              <w:rPr>
                <w:sz w:val="19"/>
                <w:szCs w:val="19"/>
                <w:color w:val="auto"/>
              </w:rPr>
            </w:pPr>
          </w:p>
        </w:tc>
        <w:tc>
          <w:tcPr>
            <w:tcW w:w="7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5.2</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206.4 %</w:t>
            </w:r>
          </w:p>
        </w:tc>
      </w:tr>
      <w:tr>
        <w:trPr>
          <w:trHeight w:val="220"/>
        </w:trPr>
        <w:tc>
          <w:tcPr>
            <w:tcW w:w="20" w:type="dxa"/>
            <w:vAlign w:val="bottom"/>
          </w:tcPr>
          <w:p>
            <w:pPr>
              <w:spacing w:after="0"/>
              <w:rPr>
                <w:sz w:val="19"/>
                <w:szCs w:val="19"/>
                <w:color w:val="auto"/>
              </w:rPr>
            </w:pPr>
          </w:p>
        </w:tc>
        <w:tc>
          <w:tcPr>
            <w:tcW w:w="7620" w:type="dxa"/>
            <w:vAlign w:val="bottom"/>
            <w:tcBorders>
              <w:top w:val="single" w:sz="8" w:color="EBFBFF"/>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Non-GAAP adjusted free cash fow</w:t>
            </w:r>
            <w:r>
              <w:rPr>
                <w:rFonts w:ascii="Arial" w:cs="Arial" w:eastAsia="Arial" w:hAnsi="Arial"/>
                <w:sz w:val="18"/>
                <w:szCs w:val="18"/>
                <w:b w:val="1"/>
                <w:bCs w:val="1"/>
                <w:color w:val="51555C"/>
                <w:vertAlign w:val="superscript"/>
              </w:rPr>
              <w:t>(1)</w:t>
            </w:r>
          </w:p>
        </w:tc>
        <w:tc>
          <w:tcPr>
            <w:tcW w:w="460" w:type="dxa"/>
            <w:vAlign w:val="bottom"/>
            <w:tcBorders>
              <w:top w:val="single" w:sz="8" w:color="51555C"/>
              <w:bottom w:val="single" w:sz="8" w:color="0CD973"/>
            </w:tcBorders>
          </w:tcPr>
          <w:p>
            <w:pPr>
              <w:jc w:val="right"/>
              <w:ind w:right="288"/>
              <w:spacing w:after="0"/>
              <w:rPr>
                <w:sz w:val="20"/>
                <w:szCs w:val="20"/>
                <w:color w:val="auto"/>
              </w:rPr>
            </w:pPr>
            <w:r>
              <w:rPr>
                <w:rFonts w:ascii="Arial" w:cs="Arial" w:eastAsia="Arial" w:hAnsi="Arial"/>
                <w:sz w:val="14"/>
                <w:szCs w:val="14"/>
                <w:color w:val="51555C"/>
              </w:rPr>
              <w:t>$</w:t>
            </w:r>
          </w:p>
        </w:tc>
        <w:tc>
          <w:tcPr>
            <w:tcW w:w="700" w:type="dxa"/>
            <w:vAlign w:val="bottom"/>
            <w:tcBorders>
              <w:top w:val="single" w:sz="8" w:color="51555C"/>
              <w:bottom w:val="single" w:sz="8" w:color="0CD973"/>
            </w:tcBorders>
          </w:tcPr>
          <w:p>
            <w:pPr>
              <w:ind w:left="400"/>
              <w:spacing w:after="0"/>
              <w:rPr>
                <w:sz w:val="20"/>
                <w:szCs w:val="20"/>
                <w:color w:val="auto"/>
              </w:rPr>
            </w:pPr>
            <w:r>
              <w:rPr>
                <w:rFonts w:ascii="Arial" w:cs="Arial" w:eastAsia="Arial" w:hAnsi="Arial"/>
                <w:sz w:val="14"/>
                <w:szCs w:val="14"/>
                <w:color w:val="51555C"/>
              </w:rPr>
              <w:t>59.3</w:t>
            </w:r>
          </w:p>
        </w:tc>
        <w:tc>
          <w:tcPr>
            <w:tcW w:w="480" w:type="dxa"/>
            <w:vAlign w:val="bottom"/>
            <w:tcBorders>
              <w:top w:val="single" w:sz="8" w:color="51555C"/>
              <w:bottom w:val="single" w:sz="8" w:color="0CD973"/>
            </w:tcBorders>
          </w:tcPr>
          <w:p>
            <w:pPr>
              <w:jc w:val="right"/>
              <w:ind w:right="288"/>
              <w:spacing w:after="0"/>
              <w:rPr>
                <w:sz w:val="20"/>
                <w:szCs w:val="20"/>
                <w:color w:val="auto"/>
              </w:rPr>
            </w:pPr>
            <w:r>
              <w:rPr>
                <w:rFonts w:ascii="Arial" w:cs="Arial" w:eastAsia="Arial" w:hAnsi="Arial"/>
                <w:sz w:val="14"/>
                <w:szCs w:val="14"/>
                <w:color w:val="51555C"/>
              </w:rPr>
              <w:t>$</w:t>
            </w:r>
          </w:p>
        </w:tc>
        <w:tc>
          <w:tcPr>
            <w:tcW w:w="72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4"/>
                <w:szCs w:val="14"/>
                <w:color w:val="51555C"/>
              </w:rPr>
              <w:t>52.2</w:t>
            </w:r>
          </w:p>
        </w:tc>
        <w:tc>
          <w:tcPr>
            <w:tcW w:w="1240" w:type="dxa"/>
            <w:vAlign w:val="bottom"/>
            <w:tcBorders>
              <w:top w:val="single" w:sz="8" w:color="EBFBFF"/>
              <w:bottom w:val="single" w:sz="8" w:color="0CD973"/>
            </w:tcBorders>
          </w:tcPr>
          <w:p>
            <w:pPr>
              <w:jc w:val="right"/>
              <w:spacing w:after="0"/>
              <w:rPr>
                <w:sz w:val="20"/>
                <w:szCs w:val="20"/>
                <w:color w:val="auto"/>
              </w:rPr>
            </w:pPr>
            <w:r>
              <w:rPr>
                <w:rFonts w:ascii="Arial" w:cs="Arial" w:eastAsia="Arial" w:hAnsi="Arial"/>
                <w:sz w:val="14"/>
                <w:szCs w:val="14"/>
                <w:color w:val="51555C"/>
              </w:rPr>
              <w:t>13.5 %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-1045210</wp:posOffset>
            </wp:positionV>
            <wp:extent cx="22713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free cash fow or non-GAAP adjusted free cash fow due to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Seasonality</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51555C"/>
        </w:rPr>
        <w:t>Our revenues normally fuctuate as a result of certain seasonal variatons in our business. Our frst quarter has historically been the seasonal low for bookings, with the second and fourth quarters historically being seasonally higher, and our bookings tend to be back-end loaded within individual quarters given our quarterly quota plans. Transactonal revenue is non-contractual and less predictable given the susceptbility to certain drivers such as tming and number of events and marketng campaigns, as well as fuctuatons in donaton volumes and tuiton payments. Our transactonal revenue has historically been at its lowest in the frst quarter due to the tming of customer fundraising initatves and events. We have historically experienced seasonal highs during the fourth quarter due to year-end giving campaigns and during the second quarter when a large number of events are held. Our revenue from professional services has historically been lower in the frst quarter when many of those services commence and in the fourth quarter due to the holiday season. As a result of these and other factors, our total revenue has historically been lower in the frst quarter than in the remainder of our fscal year, with the fourth quarter historically achieving the highest total revenue. Our expenses, other than transacton-based costs related to our payments services, do not vary signifcantly as a result of these factors, but do fuctuate on a quarterly basis due to varying tming of expenditures.</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51555C"/>
        </w:rPr>
        <w:t>Our cash fow from operatons normally fuctuates quarterly due to the combinaton of the tming of customer contract renewals including renewals associated with customers of acquired companies, delivery of professional services and occurrence of customer events, as well as merit-based salary increases, among other factors. Historically, due to lower revenues in our frst quarter, combined with the payment of certain annual vendor contracts, our cash fow from operatons has been lowest in our frst quarter. Due to the tming of customer contract renewals and student enrollments, many of which take place at or near the beginning of our third quarter, our cash fow from operatons has generally been lower in our second quarter as compared to our third and fourth quarters. Partally, ofsetng these favorable drivers of cash fow from operatons in our third and fourth quarters are base salary merit increases, which occur in July. In additon, deferred revenues can vary on a seasonal basis due to the tming of customer contract renewals and student enrollments or signifcant acquisitons. Our cash fow from fnancing is negatvely impacted in our frst quarter when most of our equity awards vest, as we pay taxes on behalf of our employees related to the setlement or exercise of equity awards.</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These paterns may change as a result of the contnued shif to online giving, growth in volume of transactons for which we process payments, large dollar customer bookings and contract renewals, or as a result of acquisitons, new market opportunites, new soluton introductons or other factors.</w:t>
      </w:r>
    </w:p>
    <w:p>
      <w:pPr>
        <w:spacing w:after="0" w:line="292"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42</w:t>
      </w:r>
      <w:r>
        <w:rPr>
          <w:sz w:val="20"/>
          <w:szCs w:val="20"/>
          <w:color w:val="auto"/>
        </w:rPr>
        <w:tab/>
      </w:r>
      <w:r>
        <w:rPr>
          <w:sz w:val="1"/>
          <w:szCs w:val="1"/>
          <w:color w:val="auto"/>
        </w:rPr>
        <w:drawing>
          <wp:inline distT="0" distB="0" distL="0" distR="0">
            <wp:extent cx="651510" cy="1714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selected fnancial informaton about our fnancial positon: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714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June 30,</w:t>
            </w:r>
          </w:p>
        </w:tc>
        <w:tc>
          <w:tcPr>
            <w:tcW w:w="300" w:type="dxa"/>
            <w:vAlign w:val="bottom"/>
            <w:shd w:val="clear" w:color="auto" w:fill="004054"/>
          </w:tcPr>
          <w:p>
            <w:pPr>
              <w:spacing w:after="0"/>
              <w:rPr>
                <w:sz w:val="15"/>
                <w:szCs w:val="15"/>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440" w:type="dxa"/>
            <w:vAlign w:val="bottom"/>
            <w:shd w:val="clear" w:color="auto" w:fill="004054"/>
          </w:tcPr>
          <w:p>
            <w:pPr>
              <w:spacing w:after="0"/>
              <w:rPr>
                <w:sz w:val="15"/>
                <w:szCs w:val="15"/>
                <w:color w:val="auto"/>
              </w:rPr>
            </w:pPr>
          </w:p>
        </w:tc>
      </w:tr>
      <w:tr>
        <w:trPr>
          <w:trHeight w:val="220"/>
        </w:trPr>
        <w:tc>
          <w:tcPr>
            <w:tcW w:w="20" w:type="dxa"/>
            <w:vAlign w:val="bottom"/>
            <w:tcBorders>
              <w:bottom w:val="single" w:sz="8" w:color="004054"/>
            </w:tcBorders>
            <w:shd w:val="clear" w:color="auto" w:fill="004054"/>
          </w:tcPr>
          <w:p>
            <w:pPr>
              <w:spacing w:after="0"/>
              <w:rPr>
                <w:sz w:val="19"/>
                <w:szCs w:val="19"/>
                <w:color w:val="auto"/>
              </w:rPr>
            </w:pPr>
          </w:p>
        </w:tc>
        <w:tc>
          <w:tcPr>
            <w:tcW w:w="714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19"/>
                <w:szCs w:val="19"/>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00" w:type="dxa"/>
            <w:vAlign w:val="bottom"/>
            <w:tcBorders>
              <w:bottom w:val="single" w:sz="8" w:color="004054"/>
            </w:tcBorders>
            <w:shd w:val="clear" w:color="auto" w:fill="004054"/>
          </w:tcPr>
          <w:p>
            <w:pPr>
              <w:spacing w:after="0"/>
              <w:rPr>
                <w:sz w:val="19"/>
                <w:szCs w:val="19"/>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4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20" w:type="dxa"/>
            <w:vAlign w:val="bottom"/>
          </w:tcPr>
          <w:p>
            <w:pPr>
              <w:spacing w:after="0"/>
              <w:rPr>
                <w:sz w:val="21"/>
                <w:szCs w:val="21"/>
                <w:color w:val="auto"/>
              </w:rPr>
            </w:pPr>
          </w:p>
        </w:tc>
        <w:tc>
          <w:tcPr>
            <w:tcW w:w="7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Cash and cash equivalents</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29.0</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31.7</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(8.4)%</w:t>
            </w:r>
          </w:p>
        </w:tc>
      </w:tr>
      <w:tr>
        <w:trPr>
          <w:trHeight w:val="227"/>
        </w:trPr>
        <w:tc>
          <w:tcPr>
            <w:tcW w:w="2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51555C"/>
              </w:rPr>
              <w:t>Property and equipment, net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104.7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107.4</w:t>
            </w:r>
          </w:p>
        </w:tc>
        <w:tc>
          <w:tcPr>
            <w:tcW w:w="1440" w:type="dxa"/>
            <w:vAlign w:val="bottom"/>
          </w:tcPr>
          <w:p>
            <w:pPr>
              <w:jc w:val="right"/>
              <w:spacing w:after="0"/>
              <w:rPr>
                <w:sz w:val="20"/>
                <w:szCs w:val="20"/>
                <w:color w:val="auto"/>
              </w:rPr>
            </w:pPr>
            <w:r>
              <w:rPr>
                <w:rFonts w:ascii="Arial" w:cs="Arial" w:eastAsia="Arial" w:hAnsi="Arial"/>
                <w:sz w:val="18"/>
                <w:szCs w:val="18"/>
                <w:color w:val="51555C"/>
              </w:rPr>
              <w:t>(2.6)%</w:t>
            </w:r>
          </w:p>
        </w:tc>
      </w:tr>
      <w:tr>
        <w:trPr>
          <w:trHeight w:val="43"/>
        </w:trPr>
        <w:tc>
          <w:tcPr>
            <w:tcW w:w="20" w:type="dxa"/>
            <w:vAlign w:val="bottom"/>
          </w:tcPr>
          <w:p>
            <w:pPr>
              <w:spacing w:after="0"/>
              <w:rPr>
                <w:sz w:val="3"/>
                <w:szCs w:val="3"/>
                <w:color w:val="auto"/>
              </w:rPr>
            </w:pPr>
          </w:p>
        </w:tc>
        <w:tc>
          <w:tcPr>
            <w:tcW w:w="7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Sofware and content development costs, net</w:t>
            </w:r>
          </w:p>
        </w:tc>
        <w:tc>
          <w:tcPr>
            <w:tcW w:w="4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151.2</w:t>
            </w:r>
          </w:p>
        </w:tc>
        <w:tc>
          <w:tcPr>
            <w:tcW w:w="3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141.0</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7.2 %</w:t>
            </w:r>
          </w:p>
        </w:tc>
      </w:tr>
      <w:tr>
        <w:trPr>
          <w:trHeight w:val="227"/>
        </w:trPr>
        <w:tc>
          <w:tcPr>
            <w:tcW w:w="2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51555C"/>
              </w:rPr>
              <w:t>Total carrying value of debt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846.6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859.0</w:t>
            </w:r>
          </w:p>
        </w:tc>
        <w:tc>
          <w:tcPr>
            <w:tcW w:w="1440" w:type="dxa"/>
            <w:vAlign w:val="bottom"/>
          </w:tcPr>
          <w:p>
            <w:pPr>
              <w:jc w:val="right"/>
              <w:spacing w:after="0"/>
              <w:rPr>
                <w:sz w:val="20"/>
                <w:szCs w:val="20"/>
                <w:color w:val="auto"/>
              </w:rPr>
            </w:pPr>
            <w:r>
              <w:rPr>
                <w:rFonts w:ascii="Arial" w:cs="Arial" w:eastAsia="Arial" w:hAnsi="Arial"/>
                <w:sz w:val="18"/>
                <w:szCs w:val="18"/>
                <w:color w:val="51555C"/>
              </w:rPr>
              <w:t>(1.5)%</w:t>
            </w:r>
          </w:p>
        </w:tc>
      </w:tr>
      <w:tr>
        <w:trPr>
          <w:trHeight w:val="43"/>
        </w:trPr>
        <w:tc>
          <w:tcPr>
            <w:tcW w:w="20" w:type="dxa"/>
            <w:vAlign w:val="bottom"/>
          </w:tcPr>
          <w:p>
            <w:pPr>
              <w:spacing w:after="0"/>
              <w:rPr>
                <w:sz w:val="3"/>
                <w:szCs w:val="3"/>
                <w:color w:val="auto"/>
              </w:rPr>
            </w:pPr>
          </w:p>
        </w:tc>
        <w:tc>
          <w:tcPr>
            <w:tcW w:w="7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Working capital</w:t>
            </w:r>
          </w:p>
        </w:tc>
        <w:tc>
          <w:tcPr>
            <w:tcW w:w="4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(316.6)</w:t>
            </w:r>
          </w:p>
        </w:tc>
        <w:tc>
          <w:tcPr>
            <w:tcW w:w="3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(312.0)</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w:t>
            </w:r>
          </w:p>
        </w:tc>
      </w:tr>
      <w:tr>
        <w:trPr>
          <w:trHeight w:val="20"/>
        </w:trPr>
        <w:tc>
          <w:tcPr>
            <w:tcW w:w="20" w:type="dxa"/>
            <w:vAlign w:val="bottom"/>
          </w:tcPr>
          <w:p>
            <w:pPr>
              <w:spacing w:after="0" w:line="20" w:lineRule="exact"/>
              <w:rPr>
                <w:sz w:val="1"/>
                <w:szCs w:val="1"/>
                <w:color w:val="auto"/>
              </w:rPr>
            </w:pPr>
          </w:p>
        </w:tc>
        <w:tc>
          <w:tcPr>
            <w:tcW w:w="71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1440" w:type="dxa"/>
            <w:vAlign w:val="bottom"/>
            <w:shd w:val="clear" w:color="auto" w:fill="0CD973"/>
          </w:tcPr>
          <w:p>
            <w:pPr>
              <w:spacing w:after="0" w:line="20" w:lineRule="exact"/>
              <w:rPr>
                <w:sz w:val="1"/>
                <w:szCs w:val="1"/>
                <w:color w:val="auto"/>
              </w:rPr>
            </w:pPr>
          </w:p>
        </w:tc>
      </w:tr>
      <w:tr>
        <w:trPr>
          <w:trHeight w:val="444"/>
        </w:trPr>
        <w:tc>
          <w:tcPr>
            <w:tcW w:w="7160" w:type="dxa"/>
            <w:vAlign w:val="bottom"/>
            <w:gridSpan w:val="2"/>
          </w:tcPr>
          <w:p>
            <w:pPr>
              <w:spacing w:after="0"/>
              <w:rPr>
                <w:sz w:val="20"/>
                <w:szCs w:val="20"/>
                <w:color w:val="auto"/>
              </w:rPr>
            </w:pPr>
            <w:r>
              <w:rPr>
                <w:rFonts w:ascii="Arial" w:cs="Arial" w:eastAsia="Arial" w:hAnsi="Arial"/>
                <w:sz w:val="18"/>
                <w:szCs w:val="18"/>
                <w:color w:val="51555C"/>
              </w:rPr>
              <w:t>The following table presents selected fnancial informaton about our cash fows: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2"/>
          </w:tcPr>
          <w:p>
            <w:pPr>
              <w:spacing w:after="0"/>
              <w:rPr>
                <w:sz w:val="8"/>
                <w:szCs w:val="8"/>
                <w:color w:val="auto"/>
              </w:rPr>
            </w:pPr>
          </w:p>
        </w:tc>
      </w:tr>
      <w:tr>
        <w:trPr>
          <w:trHeight w:val="187"/>
        </w:trPr>
        <w:tc>
          <w:tcPr>
            <w:tcW w:w="20" w:type="dxa"/>
            <w:vAlign w:val="bottom"/>
            <w:shd w:val="clear" w:color="auto" w:fill="004054"/>
          </w:tcPr>
          <w:p>
            <w:pPr>
              <w:spacing w:after="0"/>
              <w:rPr>
                <w:sz w:val="16"/>
                <w:szCs w:val="16"/>
                <w:color w:val="auto"/>
              </w:rPr>
            </w:pPr>
          </w:p>
        </w:tc>
        <w:tc>
          <w:tcPr>
            <w:tcW w:w="714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86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24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Six months ended June 30,</w:t>
            </w:r>
          </w:p>
        </w:tc>
      </w:tr>
      <w:tr>
        <w:trPr>
          <w:trHeight w:val="243"/>
        </w:trPr>
        <w:tc>
          <w:tcPr>
            <w:tcW w:w="20" w:type="dxa"/>
            <w:vAlign w:val="bottom"/>
            <w:shd w:val="clear" w:color="auto" w:fill="004054"/>
          </w:tcPr>
          <w:p>
            <w:pPr>
              <w:spacing w:after="0"/>
              <w:rPr>
                <w:sz w:val="21"/>
                <w:szCs w:val="21"/>
                <w:color w:val="auto"/>
              </w:rPr>
            </w:pPr>
          </w:p>
        </w:tc>
        <w:tc>
          <w:tcPr>
            <w:tcW w:w="714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shd w:val="clear" w:color="auto" w:fill="004054"/>
          </w:tcPr>
          <w:p>
            <w:pPr>
              <w:spacing w:after="0"/>
              <w:rPr>
                <w:sz w:val="21"/>
                <w:szCs w:val="21"/>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2023</w:t>
            </w:r>
          </w:p>
        </w:tc>
        <w:tc>
          <w:tcPr>
            <w:tcW w:w="3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70"/>
        </w:trPr>
        <w:tc>
          <w:tcPr>
            <w:tcW w:w="20" w:type="dxa"/>
            <w:vAlign w:val="bottom"/>
            <w:shd w:val="clear" w:color="auto" w:fill="004054"/>
          </w:tcPr>
          <w:p>
            <w:pPr>
              <w:spacing w:after="0"/>
              <w:rPr>
                <w:sz w:val="6"/>
                <w:szCs w:val="6"/>
                <w:color w:val="auto"/>
              </w:rPr>
            </w:pPr>
          </w:p>
        </w:tc>
        <w:tc>
          <w:tcPr>
            <w:tcW w:w="714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1440" w:type="dxa"/>
            <w:vAlign w:val="bottom"/>
            <w:shd w:val="clear" w:color="auto" w:fill="004054"/>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provided by operatng actvites</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75.0</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81.8</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w:t>
            </w:r>
          </w:p>
        </w:tc>
      </w:tr>
      <w:tr>
        <w:trPr>
          <w:trHeight w:val="227"/>
        </w:trPr>
        <w:tc>
          <w:tcPr>
            <w:tcW w:w="20" w:type="dxa"/>
            <w:vAlign w:val="bottom"/>
          </w:tcPr>
          <w:p>
            <w:pPr>
              <w:spacing w:after="0"/>
              <w:rPr>
                <w:sz w:val="19"/>
                <w:szCs w:val="19"/>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51555C"/>
              </w:rPr>
              <w:t>Net cash used in investng actvites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(31.5)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(53.7)</w:t>
            </w:r>
          </w:p>
        </w:tc>
        <w:tc>
          <w:tcPr>
            <w:tcW w:w="1440" w:type="dxa"/>
            <w:vAlign w:val="bottom"/>
          </w:tcPr>
          <w:p>
            <w:pPr>
              <w:jc w:val="right"/>
              <w:spacing w:after="0"/>
              <w:rPr>
                <w:sz w:val="20"/>
                <w:szCs w:val="20"/>
                <w:color w:val="auto"/>
              </w:rPr>
            </w:pPr>
            <w:r>
              <w:rPr>
                <w:rFonts w:ascii="Arial" w:cs="Arial" w:eastAsia="Arial" w:hAnsi="Arial"/>
                <w:sz w:val="18"/>
                <w:szCs w:val="18"/>
                <w:color w:val="51555C"/>
              </w:rPr>
              <w:t>(41.3)%</w:t>
            </w:r>
          </w:p>
        </w:tc>
      </w:tr>
      <w:tr>
        <w:trPr>
          <w:trHeight w:val="43"/>
        </w:trPr>
        <w:tc>
          <w:tcPr>
            <w:tcW w:w="20" w:type="dxa"/>
            <w:vAlign w:val="bottom"/>
          </w:tcPr>
          <w:p>
            <w:pPr>
              <w:spacing w:after="0"/>
              <w:rPr>
                <w:sz w:val="3"/>
                <w:szCs w:val="3"/>
                <w:color w:val="auto"/>
              </w:rPr>
            </w:pPr>
          </w:p>
        </w:tc>
        <w:tc>
          <w:tcPr>
            <w:tcW w:w="7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7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provided by (used in) fnancing actvites</w:t>
            </w:r>
          </w:p>
        </w:tc>
        <w:tc>
          <w:tcPr>
            <w:tcW w:w="4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10.4</w:t>
            </w:r>
          </w:p>
        </w:tc>
        <w:tc>
          <w:tcPr>
            <w:tcW w:w="3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(194.1)</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(105.4)%</w:t>
            </w:r>
          </w:p>
        </w:tc>
      </w:tr>
      <w:tr>
        <w:trPr>
          <w:trHeight w:val="20"/>
        </w:trPr>
        <w:tc>
          <w:tcPr>
            <w:tcW w:w="20" w:type="dxa"/>
            <w:vAlign w:val="bottom"/>
          </w:tcPr>
          <w:p>
            <w:pPr>
              <w:spacing w:after="0" w:line="20" w:lineRule="exact"/>
              <w:rPr>
                <w:sz w:val="1"/>
                <w:szCs w:val="1"/>
                <w:color w:val="auto"/>
              </w:rPr>
            </w:pPr>
          </w:p>
        </w:tc>
        <w:tc>
          <w:tcPr>
            <w:tcW w:w="71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144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-685165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principal sources of liquidity are our operatng cash fow, funds available under the 2020 Credit Facility and cash on hand. Our operatng cash fow depends on contnued customer renewal of our subscripton and maintenance arrangements, market acceptance of our solutons and services, the volume and size of transactons for which we process payments and our customers' ability to pay. Based on current estmates of revenue and expenses, we believe that the currently available sources of funds and antcipated cash fows from operatons will be adequate for at least the next twelve months to fnance our operatons, fund antcipated capital expenditures and meet our debt obligatons. We also believe that we will be able to contnue to meet our long-term cash requirements due to our antcipated cash fow from operatons, solid fnancial positon and ability to access capital from fnancial markets. To the extent we undertake future material acquisitons or investments or unantcipated capital or operatng expenditures, including in connecton with the Security Incident, we may require additonal capital. In that context, we regularly evaluate opportunites to enhance our capital structure, including through potental debt or equity issuances. In the near term, excluding any future material events noted above or otherwise, we intend to reduce our net leverage to our target level of 2 to 1.</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As a well-known seasoned issuer, we fled an automatc shelf registraton statement for an undetermined amount of debt and equity securites with the SEC on January 14, 2022. Under this universal shelf registraton statement we may ofer and sell, from tme to tme, debt securites, common stock, preferred stock, depositary shares, warrants, stock purchase contracts and stock purchase units. Subject to certain conditons, this registraton statement will be efectve through January 13, 2024.</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At June 30, 2023, our total cash and cash equivalents balance included approximately $17.3 million of cash that was held by operatons outside the U.S. While these funds may not be needed to fund our U.S. operatons for at least the next twelve months, if we need these funds, we may be required to accrue and pay taxes to repatriate the funds. We currently do not intend nor antcipate a need to repatriate our cash held outside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222885</wp:posOffset>
            </wp:positionV>
            <wp:extent cx="66040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43</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Operatng Cash Flow</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Our cash fows from operatons are derived principally from: (i) our earnings from on-going operatons prior to non-cash expenses such as depreciaton, amortzaton, stock-based compensaton, deferred taxes, amortzaton of deferred fnancing costs and debt discount and adjustments to our provision for credit losses and sales returns; and (ii) changes in our working capital.</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Working capital changes are composed of changes in accounts receivable, prepaid expenses and other assets, trade accounts payable, accrued expenses and other liabilites, and deferred revenue.</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Net cash provided by operatng actvites decreased by $6.8 million during the six months ended June 30, 2023, when compared to the same period in 2022, primarily due to a $11.2 million decrease in net income adjusted for non-cash expenses and a $4.5 million increase in cash fow from operatons associated with working capital.</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 increase in cash fow from operatons associated with working capital during the six months ended June 30, 2023, when compared to the same period in 2022, was primarily due to:</w:t>
      </w:r>
    </w:p>
    <w:p>
      <w:pPr>
        <w:spacing w:after="0" w:line="12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an increase in accrued expenses related to the Security Incident; partally ofset by</w:t>
      </w:r>
    </w:p>
    <w:p>
      <w:pPr>
        <w:spacing w:after="0" w:line="171" w:lineRule="exact"/>
        <w:rPr>
          <w:rFonts w:ascii="Arial" w:cs="Arial" w:eastAsia="Arial" w:hAnsi="Arial"/>
          <w:sz w:val="18"/>
          <w:szCs w:val="18"/>
          <w:color w:val="51555C"/>
        </w:rPr>
      </w:pPr>
    </w:p>
    <w:p>
      <w:pPr>
        <w:ind w:left="660" w:hanging="328"/>
        <w:spacing w:after="0"/>
        <w:tabs>
          <w:tab w:leader="none" w:pos="660"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fuctuatons in the tming of vendor payments; and</w:t>
      </w:r>
    </w:p>
    <w:p>
      <w:pPr>
        <w:spacing w:after="0" w:line="171" w:lineRule="exact"/>
        <w:rPr>
          <w:rFonts w:ascii="Arial" w:cs="Arial" w:eastAsia="Arial" w:hAnsi="Arial"/>
          <w:sz w:val="18"/>
          <w:szCs w:val="18"/>
          <w:color w:val="51555C"/>
        </w:rPr>
      </w:pPr>
    </w:p>
    <w:p>
      <w:pPr>
        <w:ind w:left="660" w:hanging="328"/>
        <w:spacing w:after="0"/>
        <w:tabs>
          <w:tab w:leader="none" w:pos="660"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a decrease in taxes payable.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 update</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51555C"/>
        </w:rPr>
        <w:t>As discussed in Note 8 to our unaudited, condensed consolidated fnancial statements included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adjusted free cash fow on page 42). For full year 2023, we currently expect net pre-tax expense of approximately $20 million to $30 million and net cash outlays of approximately $25 million to $35 million for ongoing legal fees related to the Security Incident. In line with our policy, legal fees are expensed as incurred. Not included in these ranges are our previous setlements or current accruals for loss contngencies related to the maters discussed below.</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As of June 30, 2023, we have recorded approximately $50.0 million in aggregate liabilites for loss contngencies based primarily on recent negotatons with certain governmental agencies related to the Security Incident that we believe we can reasonably estmate in accordance with our loss contngency procedures described in Note 8. It is reasonably possible that our estmated or actual losses may change in the near term for those maters and be materially in excess of the amounts accrued, but we are unable at this tme to reasonably estmate the possible additonal loss.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There are other Security Incident-related maters, including customer claims, customer consttuent class actons and governmental investgatons, for which we have not recorded a liability for a loss contngency as of June 30, 2023 because we are unable at this tme to reasonably estmate the possible loss or range of loss. Each of these maters could, separately or in the aggregate, result in an adverse judgment, setlement, fne, penalty or other resoluton, the amount, scope and tming of which we are currently unable to predict, but could have a material adverse impact on our results of operatons, cash fows or fnancial conditon.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Investng Cash Flow</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Net cash used in investng actvites of $31.5 million decreased by $22.2 million during the six months ended June 30, 2023, when compared to the same period in 2022.</w:t>
      </w:r>
    </w:p>
    <w:p>
      <w:pPr>
        <w:spacing w:after="0" w:line="1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During the six months ended June 30, 2022, we used $19.0 million for our acquisiton of EVERFI comprised of (i) $17.4 million that had not been paid by EVERFI to its former opton holders as of December 31, 2021, solely due to the tming of the acquisiton on the last day of 2021; and (ii) $2.6 million that was paid to a number of EVERFI's selling shareholders afer determining they would be paid in cash, rather than shares of our common stock.</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During the six months ended June 30, 2023, we used $28.8 million for sofware and content development costs, which was up $1.6 million from cash spent during the same period in 2022. We also spent $2.8 million of cash for purchases of property and</w:t>
      </w:r>
    </w:p>
    <w:p>
      <w:pPr>
        <w:spacing w:after="0" w:line="328"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44</w:t>
      </w:r>
      <w:r>
        <w:rPr>
          <w:sz w:val="20"/>
          <w:szCs w:val="20"/>
          <w:color w:val="auto"/>
        </w:rPr>
        <w:tab/>
      </w:r>
      <w:r>
        <w:rPr>
          <w:sz w:val="1"/>
          <w:szCs w:val="1"/>
          <w:color w:val="auto"/>
        </w:rPr>
        <w:drawing>
          <wp:inline distT="0" distB="0" distL="0" distR="0">
            <wp:extent cx="651510"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51555C"/>
        </w:rPr>
        <w:t>equipment during the six months ended June 30, 2023, which was a decrease of $4.7 million when compared to the same period in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Financing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1555C"/>
        </w:rPr>
        <w:t>During the six months ended June 30, 2023, we had a net decrease in borrowings of $13.8 million.</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We paid $33.7 million to satsfy tax obligatons of employees upon setlement of equity awards during the six months ended June 30, 2023 compared to $35.6 million during the same period in 2022. The amount of taxes paid by us on behalf of employees related to the setlement of equity awards varies from period to period based upon the tming of grants and vestng, as well as the market price for shares of our common stock at the tme of setlement. Most of our equity awards currently vest in our frst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During the six months ended June 30, 2023, cash fow from fnancing actvites associated with changes in restricted cash due to customers increased $61.3 million, compared to a decrease of $141.0 million during the same period in 2022. This line in the statement of cash fows represents the change in the amount of restricted cash held and payable by us to customers from one period to the next.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Stock repurchase program</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51555C"/>
        </w:rPr>
        <w:t>In December 2021, our Board of Directors reauthorized and replenished our stock repurchase program that authorizes us to purchase up to $250.0 million of our outstanding shares of common stock. The program does not have an expiraton date. Under the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may be limited, suspended or discontnued at any tme without prior notce. During the three and six months ended June 30, 2023, we did not purchase any shares. The remaining amount available to purchase stock under the stock repurchase program was $250.0 million as of June 30, 2023. While we intend to reduce our net leverage to our 2 to 1 target level in the near term, as we gain visibility into the tming and magnitude of probable costs related to the Security Incident over tme, we expect to resume stock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2020 Credit Facility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Historically, we have drawn on our credit facility from tme to tme to help us meet fnancial needs, primarily due to the seasonality of our cash fows from operatons and fnancing for business acquisitons. At June 30, 2023, our available borrowing capacity under the 2020 Credit Facility was $325.8 million. The 2020 Credit Facility matures in October 2025.</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At June 30, 2023, the carrying amount of our debt under the 2020 Credit Facility was $786.8 million. Our average daily borrowings during the three and six months ended June 30, 2023 were $823.4 million and $814.9 million, respectvely.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is a summary of the fnancial covenants under the 2020 Credit Facility: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bottom w:val="single" w:sz="8" w:color="004054"/>
            </w:tcBorders>
            <w:shd w:val="clear" w:color="auto" w:fill="004054"/>
          </w:tcPr>
          <w:p>
            <w:pPr>
              <w:spacing w:after="0"/>
              <w:rPr>
                <w:sz w:val="20"/>
                <w:szCs w:val="20"/>
                <w:color w:val="auto"/>
              </w:rPr>
            </w:pPr>
          </w:p>
        </w:tc>
        <w:tc>
          <w:tcPr>
            <w:tcW w:w="499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Financial covenant</w:t>
            </w:r>
          </w:p>
        </w:tc>
        <w:tc>
          <w:tcPr>
            <w:tcW w:w="285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w w:val="91"/>
              </w:rPr>
              <w:t>Requirement</w:t>
            </w:r>
          </w:p>
        </w:tc>
        <w:tc>
          <w:tcPr>
            <w:tcW w:w="336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w w:val="90"/>
              </w:rPr>
              <w:t>Rato as of June 30, 2023</w:t>
            </w:r>
          </w:p>
        </w:tc>
      </w:tr>
      <w:tr>
        <w:trPr>
          <w:trHeight w:val="324"/>
        </w:trPr>
        <w:tc>
          <w:tcPr>
            <w:tcW w:w="20" w:type="dxa"/>
            <w:vAlign w:val="bottom"/>
          </w:tcPr>
          <w:p>
            <w:pPr>
              <w:spacing w:after="0"/>
              <w:rPr>
                <w:sz w:val="24"/>
                <w:szCs w:val="24"/>
                <w:color w:val="auto"/>
              </w:rPr>
            </w:pPr>
          </w:p>
        </w:tc>
        <w:tc>
          <w:tcPr>
            <w:tcW w:w="499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Net leverage rato</w:t>
            </w:r>
            <w:r>
              <w:rPr>
                <w:rFonts w:ascii="Arial" w:cs="Arial" w:eastAsia="Arial" w:hAnsi="Arial"/>
                <w:sz w:val="23"/>
                <w:szCs w:val="23"/>
                <w:color w:val="51555C"/>
                <w:vertAlign w:val="superscript"/>
              </w:rPr>
              <w:t>(1)</w:t>
            </w:r>
          </w:p>
        </w:tc>
        <w:tc>
          <w:tcPr>
            <w:tcW w:w="285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2"/>
              </w:rPr>
              <w:t>≤ 4.00 to 1.00</w:t>
            </w:r>
          </w:p>
        </w:tc>
        <w:tc>
          <w:tcPr>
            <w:tcW w:w="33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2"/>
              </w:rPr>
              <w:t>2.67 to 1.00</w:t>
            </w:r>
          </w:p>
        </w:tc>
      </w:tr>
      <w:tr>
        <w:trPr>
          <w:trHeight w:val="227"/>
        </w:trPr>
        <w:tc>
          <w:tcPr>
            <w:tcW w:w="20" w:type="dxa"/>
            <w:vAlign w:val="bottom"/>
          </w:tcPr>
          <w:p>
            <w:pPr>
              <w:spacing w:after="0"/>
              <w:rPr>
                <w:sz w:val="19"/>
                <w:szCs w:val="19"/>
                <w:color w:val="auto"/>
              </w:rPr>
            </w:pPr>
          </w:p>
        </w:tc>
        <w:tc>
          <w:tcPr>
            <w:tcW w:w="4990" w:type="dxa"/>
            <w:vAlign w:val="bottom"/>
          </w:tcPr>
          <w:p>
            <w:pPr>
              <w:ind w:left="20"/>
              <w:spacing w:after="0"/>
              <w:rPr>
                <w:sz w:val="20"/>
                <w:szCs w:val="20"/>
                <w:color w:val="auto"/>
              </w:rPr>
            </w:pPr>
            <w:r>
              <w:rPr>
                <w:rFonts w:ascii="Arial" w:cs="Arial" w:eastAsia="Arial" w:hAnsi="Arial"/>
                <w:sz w:val="18"/>
                <w:szCs w:val="18"/>
                <w:color w:val="51555C"/>
              </w:rPr>
              <w:t>Interest coverage rato</w:t>
            </w:r>
          </w:p>
        </w:tc>
        <w:tc>
          <w:tcPr>
            <w:tcW w:w="2850" w:type="dxa"/>
            <w:vAlign w:val="bottom"/>
          </w:tcPr>
          <w:p>
            <w:pPr>
              <w:jc w:val="center"/>
              <w:spacing w:after="0"/>
              <w:rPr>
                <w:sz w:val="20"/>
                <w:szCs w:val="20"/>
                <w:color w:val="auto"/>
              </w:rPr>
            </w:pPr>
            <w:r>
              <w:rPr>
                <w:rFonts w:ascii="Arial" w:cs="Arial" w:eastAsia="Arial" w:hAnsi="Arial"/>
                <w:sz w:val="18"/>
                <w:szCs w:val="18"/>
                <w:color w:val="51555C"/>
                <w:w w:val="92"/>
              </w:rPr>
              <w:t>≥ 2.50 to 1.00</w:t>
            </w:r>
          </w:p>
        </w:tc>
        <w:tc>
          <w:tcPr>
            <w:tcW w:w="3360" w:type="dxa"/>
            <w:vAlign w:val="bottom"/>
          </w:tcPr>
          <w:p>
            <w:pPr>
              <w:jc w:val="center"/>
              <w:spacing w:after="0"/>
              <w:rPr>
                <w:sz w:val="20"/>
                <w:szCs w:val="20"/>
                <w:color w:val="auto"/>
              </w:rPr>
            </w:pPr>
            <w:r>
              <w:rPr>
                <w:rFonts w:ascii="Arial" w:cs="Arial" w:eastAsia="Arial" w:hAnsi="Arial"/>
                <w:sz w:val="18"/>
                <w:szCs w:val="18"/>
                <w:color w:val="51555C"/>
                <w:w w:val="92"/>
              </w:rPr>
              <w:t>7.59 to 1.00</w:t>
            </w:r>
          </w:p>
        </w:tc>
      </w:tr>
      <w:tr>
        <w:trPr>
          <w:trHeight w:val="43"/>
        </w:trPr>
        <w:tc>
          <w:tcPr>
            <w:tcW w:w="20" w:type="dxa"/>
            <w:vAlign w:val="bottom"/>
          </w:tcPr>
          <w:p>
            <w:pPr>
              <w:spacing w:after="0"/>
              <w:rPr>
                <w:sz w:val="3"/>
                <w:szCs w:val="3"/>
                <w:color w:val="auto"/>
              </w:rPr>
            </w:pPr>
          </w:p>
        </w:tc>
        <w:tc>
          <w:tcPr>
            <w:tcW w:w="4990" w:type="dxa"/>
            <w:vAlign w:val="bottom"/>
            <w:tcBorders>
              <w:bottom w:val="single" w:sz="8" w:color="0CD973"/>
            </w:tcBorders>
          </w:tcPr>
          <w:p>
            <w:pPr>
              <w:spacing w:after="0"/>
              <w:rPr>
                <w:sz w:val="3"/>
                <w:szCs w:val="3"/>
                <w:color w:val="auto"/>
              </w:rPr>
            </w:pPr>
          </w:p>
        </w:tc>
        <w:tc>
          <w:tcPr>
            <w:tcW w:w="2850" w:type="dxa"/>
            <w:vAlign w:val="bottom"/>
            <w:tcBorders>
              <w:bottom w:val="single" w:sz="8" w:color="0CD973"/>
            </w:tcBorders>
          </w:tcPr>
          <w:p>
            <w:pPr>
              <w:spacing w:after="0"/>
              <w:rPr>
                <w:sz w:val="3"/>
                <w:szCs w:val="3"/>
                <w:color w:val="auto"/>
              </w:rPr>
            </w:pPr>
          </w:p>
        </w:tc>
        <w:tc>
          <w:tcPr>
            <w:tcW w:w="3360" w:type="dxa"/>
            <w:vAlign w:val="bottom"/>
            <w:tcBorders>
              <w:bottom w:val="single" w:sz="8" w:color="0CD973"/>
            </w:tcBorders>
          </w:tcPr>
          <w:p>
            <w:pPr>
              <w:spacing w:after="0"/>
              <w:rPr>
                <w:sz w:val="3"/>
                <w:szCs w:val="3"/>
                <w:color w:val="auto"/>
              </w:rPr>
            </w:pPr>
          </w:p>
        </w:tc>
      </w:tr>
    </w:tbl>
    <w:p>
      <w:pPr>
        <w:spacing w:after="0" w:line="43" w:lineRule="exact"/>
        <w:rPr>
          <w:sz w:val="20"/>
          <w:szCs w:val="20"/>
          <w:color w:val="auto"/>
        </w:rPr>
      </w:pPr>
    </w:p>
    <w:p>
      <w:pPr>
        <w:ind w:left="340" w:hanging="332"/>
        <w:spacing w:after="0" w:line="292" w:lineRule="auto"/>
        <w:tabs>
          <w:tab w:leader="none" w:pos="340" w:val="left"/>
        </w:tabs>
        <w:numPr>
          <w:ilvl w:val="0"/>
          <w:numId w:val="44"/>
        </w:numPr>
        <w:rPr>
          <w:rFonts w:ascii="Arial" w:cs="Arial" w:eastAsia="Arial" w:hAnsi="Arial"/>
          <w:sz w:val="14"/>
          <w:szCs w:val="14"/>
          <w:color w:val="51555C"/>
        </w:rPr>
      </w:pPr>
      <w:r>
        <w:rPr>
          <w:rFonts w:ascii="Arial" w:cs="Arial" w:eastAsia="Arial" w:hAnsi="Arial"/>
          <w:sz w:val="14"/>
          <w:szCs w:val="14"/>
          <w:color w:val="51555C"/>
        </w:rPr>
        <w:t>Under the terms of the 2020 Credit Facility, the Net Leverage Rato requirement may be increased by up to 0.50 provided we satsfy certain requirements, including a permited business acquisiton, and provided that the maximum Net Leverage Rato shall not exceed 4.25 to 1.00.</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Under the 2020 Credit Facility, we also have restrictons on our ability to declare and pay dividends and our ability to repurchase shares of our common stock. In order to pay any cash dividends and/or repurchase shares of stock: (i) no default or event of default shall have occurred and be contnuing under the 2020 Credit Facility, and (ii) our pro forma net leverage rato, as set forth in the 2020 Credit Facility, must be 0.25 less than the net leverage rato requirement at the tme of dividend declaraton or share repurchase. At June 30, 2023, we were in compliance with our debt covenants under the 2020 Credit Facility. See Note 6 to our unaudited, condensed consolidated fnancial statements included in this report for additonal informaton regarding the 2020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236855</wp:posOffset>
            </wp:positionV>
            <wp:extent cx="66040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45</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Commitments and Contngencies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004054"/>
          </w:tcPr>
          <w:p>
            <w:pPr>
              <w:spacing w:after="0"/>
              <w:rPr>
                <w:sz w:val="17"/>
                <w:szCs w:val="17"/>
                <w:color w:val="auto"/>
              </w:rPr>
            </w:pPr>
          </w:p>
        </w:tc>
        <w:tc>
          <w:tcPr>
            <w:tcW w:w="726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2620" w:type="dxa"/>
            <w:vAlign w:val="bottom"/>
            <w:gridSpan w:val="4"/>
            <w:shd w:val="clear" w:color="auto" w:fill="004054"/>
          </w:tcPr>
          <w:p>
            <w:pPr>
              <w:jc w:val="right"/>
              <w:ind w:right="25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004054"/>
          </w:tcPr>
          <w:p>
            <w:pPr>
              <w:spacing w:after="0"/>
              <w:rPr>
                <w:sz w:val="18"/>
                <w:szCs w:val="18"/>
                <w:color w:val="auto"/>
              </w:rPr>
            </w:pPr>
          </w:p>
        </w:tc>
        <w:tc>
          <w:tcPr>
            <w:tcW w:w="7260" w:type="dxa"/>
            <w:vAlign w:val="bottom"/>
            <w:shd w:val="clear" w:color="auto" w:fill="004054"/>
          </w:tcPr>
          <w:p>
            <w:pPr>
              <w:spacing w:after="0"/>
              <w:rPr>
                <w:sz w:val="18"/>
                <w:szCs w:val="18"/>
                <w:color w:val="auto"/>
              </w:rPr>
            </w:pPr>
          </w:p>
        </w:tc>
        <w:tc>
          <w:tcPr>
            <w:tcW w:w="420" w:type="dxa"/>
            <w:vAlign w:val="bottom"/>
            <w:shd w:val="clear" w:color="auto" w:fill="004054"/>
          </w:tcPr>
          <w:p>
            <w:pPr>
              <w:spacing w:after="0"/>
              <w:rPr>
                <w:sz w:val="18"/>
                <w:szCs w:val="18"/>
                <w:color w:val="auto"/>
              </w:rPr>
            </w:pP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Less than</w:t>
            </w:r>
          </w:p>
        </w:tc>
        <w:tc>
          <w:tcPr>
            <w:tcW w:w="400" w:type="dxa"/>
            <w:vAlign w:val="bottom"/>
            <w:shd w:val="clear" w:color="auto" w:fill="004054"/>
          </w:tcPr>
          <w:p>
            <w:pPr>
              <w:spacing w:after="0"/>
              <w:rPr>
                <w:sz w:val="18"/>
                <w:szCs w:val="18"/>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004054"/>
          </w:tcPr>
          <w:p>
            <w:pPr>
              <w:spacing w:after="0"/>
              <w:rPr>
                <w:sz w:val="18"/>
                <w:szCs w:val="18"/>
                <w:color w:val="auto"/>
              </w:rPr>
            </w:pPr>
          </w:p>
        </w:tc>
        <w:tc>
          <w:tcPr>
            <w:tcW w:w="9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40"/>
        </w:trPr>
        <w:tc>
          <w:tcPr>
            <w:tcW w:w="20" w:type="dxa"/>
            <w:vAlign w:val="bottom"/>
            <w:shd w:val="clear" w:color="auto" w:fill="004054"/>
          </w:tcPr>
          <w:p>
            <w:pPr>
              <w:spacing w:after="0"/>
              <w:rPr>
                <w:sz w:val="20"/>
                <w:szCs w:val="20"/>
                <w:color w:val="auto"/>
              </w:rPr>
            </w:pPr>
          </w:p>
        </w:tc>
        <w:tc>
          <w:tcPr>
            <w:tcW w:w="7260" w:type="dxa"/>
            <w:vAlign w:val="bottom"/>
            <w:shd w:val="clear" w:color="auto" w:fill="004054"/>
          </w:tcPr>
          <w:p>
            <w:pPr>
              <w:ind w:left="20"/>
              <w:spacing w:after="0"/>
              <w:rPr>
                <w:sz w:val="20"/>
                <w:szCs w:val="20"/>
                <w:color w:val="auto"/>
              </w:rPr>
            </w:pPr>
            <w:r>
              <w:rPr>
                <w:rFonts w:ascii="Arial" w:cs="Arial" w:eastAsia="Arial" w:hAnsi="Arial"/>
                <w:sz w:val="14"/>
                <w:szCs w:val="14"/>
                <w:b w:val="1"/>
                <w:bCs w:val="1"/>
                <w:color w:val="FFFFFF"/>
              </w:rPr>
              <w:t>(in millions)</w:t>
            </w:r>
          </w:p>
        </w:tc>
        <w:tc>
          <w:tcPr>
            <w:tcW w:w="420" w:type="dxa"/>
            <w:vAlign w:val="bottom"/>
            <w:shd w:val="clear" w:color="auto" w:fill="004054"/>
          </w:tcPr>
          <w:p>
            <w:pPr>
              <w:spacing w:after="0"/>
              <w:rPr>
                <w:sz w:val="20"/>
                <w:szCs w:val="20"/>
                <w:color w:val="auto"/>
              </w:rPr>
            </w:pP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40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004054"/>
          </w:tcPr>
          <w:p>
            <w:pPr>
              <w:spacing w:after="0"/>
              <w:rPr>
                <w:sz w:val="20"/>
                <w:szCs w:val="20"/>
                <w:color w:val="auto"/>
              </w:rPr>
            </w:pPr>
          </w:p>
        </w:tc>
        <w:tc>
          <w:tcPr>
            <w:tcW w:w="920" w:type="dxa"/>
            <w:vAlign w:val="bottom"/>
            <w:vMerge w:val="continue"/>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Recorded contractual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40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60" w:type="dxa"/>
            <w:vAlign w:val="bottom"/>
          </w:tcPr>
          <w:p>
            <w:pPr>
              <w:ind w:left="120"/>
              <w:spacing w:after="0"/>
              <w:rPr>
                <w:sz w:val="20"/>
                <w:szCs w:val="20"/>
                <w:color w:val="auto"/>
              </w:rPr>
            </w:pPr>
            <w:r>
              <w:rPr>
                <w:rFonts w:ascii="Arial" w:cs="Arial" w:eastAsia="Arial" w:hAnsi="Arial"/>
                <w:sz w:val="18"/>
                <w:szCs w:val="18"/>
                <w:color w:val="51555C"/>
              </w:rPr>
              <w:t>Debt</w:t>
            </w:r>
          </w:p>
        </w:tc>
        <w:tc>
          <w:tcPr>
            <w:tcW w:w="420" w:type="dxa"/>
            <w:vAlign w:val="bottom"/>
          </w:tcPr>
          <w:p>
            <w:pPr>
              <w:jc w:val="right"/>
              <w:ind w:right="230"/>
              <w:spacing w:after="0"/>
              <w:rPr>
                <w:sz w:val="20"/>
                <w:szCs w:val="20"/>
                <w:color w:val="auto"/>
              </w:rPr>
            </w:pPr>
            <w:r>
              <w:rPr>
                <w:rFonts w:ascii="Arial" w:cs="Arial" w:eastAsia="Arial" w:hAnsi="Arial"/>
                <w:sz w:val="18"/>
                <w:szCs w:val="18"/>
                <w:color w:val="51555C"/>
                <w:w w:val="79"/>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19.2</w:t>
            </w:r>
          </w:p>
        </w:tc>
        <w:tc>
          <w:tcPr>
            <w:tcW w:w="400" w:type="dxa"/>
            <w:vAlign w:val="bottom"/>
          </w:tcPr>
          <w:p>
            <w:pPr>
              <w:jc w:val="right"/>
              <w:ind w:right="19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829.5</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848.7</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Operatng leases</w:t>
            </w:r>
          </w:p>
        </w:tc>
        <w:tc>
          <w:tcPr>
            <w:tcW w:w="4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w:t>
            </w:r>
          </w:p>
        </w:tc>
        <w:tc>
          <w:tcPr>
            <w:tcW w:w="40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51.2</w:t>
            </w: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60.7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60" w:type="dxa"/>
            <w:vAlign w:val="bottom"/>
          </w:tcPr>
          <w:p>
            <w:pPr>
              <w:ind w:left="120"/>
              <w:spacing w:after="0"/>
              <w:rPr>
                <w:sz w:val="20"/>
                <w:szCs w:val="20"/>
                <w:color w:val="auto"/>
              </w:rPr>
            </w:pPr>
            <w:r>
              <w:rPr>
                <w:rFonts w:ascii="Arial" w:cs="Arial" w:eastAsia="Arial" w:hAnsi="Arial"/>
                <w:sz w:val="18"/>
                <w:szCs w:val="18"/>
                <w:color w:val="51555C"/>
              </w:rPr>
              <w:t>Interest payment on debt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51555C"/>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3.1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3.1</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Contngent consideraton</w:t>
            </w:r>
          </w:p>
        </w:tc>
        <w:tc>
          <w:tcPr>
            <w:tcW w:w="4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40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w:t>
            </w: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60" w:type="dxa"/>
            <w:vAlign w:val="bottom"/>
          </w:tcPr>
          <w:p>
            <w:pPr>
              <w:ind w:left="20"/>
              <w:spacing w:after="0"/>
              <w:rPr>
                <w:sz w:val="20"/>
                <w:szCs w:val="20"/>
                <w:color w:val="auto"/>
              </w:rPr>
            </w:pPr>
            <w:r>
              <w:rPr>
                <w:rFonts w:ascii="Arial" w:cs="Arial" w:eastAsia="Arial" w:hAnsi="Arial"/>
                <w:sz w:val="18"/>
                <w:szCs w:val="18"/>
                <w:b w:val="1"/>
                <w:bCs w:val="1"/>
                <w:color w:val="51555C"/>
              </w:rPr>
              <w:t>Unrecorded contractual obligatons: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EBFBFF"/>
            </w:tcBorders>
            <w:shd w:val="clear" w:color="auto" w:fill="EBFBFF"/>
          </w:tcPr>
          <w:p>
            <w:pPr>
              <w:ind w:left="120"/>
              <w:spacing w:after="0"/>
              <w:rPr>
                <w:sz w:val="20"/>
                <w:szCs w:val="20"/>
                <w:color w:val="auto"/>
              </w:rPr>
            </w:pPr>
            <w:r>
              <w:rPr>
                <w:rFonts w:ascii="Arial" w:cs="Arial" w:eastAsia="Arial" w:hAnsi="Arial"/>
                <w:sz w:val="18"/>
                <w:szCs w:val="18"/>
                <w:color w:val="51555C"/>
              </w:rPr>
              <w:t>Purchase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75.5</w:t>
            </w:r>
          </w:p>
        </w:tc>
        <w:tc>
          <w:tcPr>
            <w:tcW w:w="40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194.9</w:t>
            </w: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270.4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60" w:type="dxa"/>
            <w:vAlign w:val="bottom"/>
          </w:tcPr>
          <w:p>
            <w:pPr>
              <w:ind w:left="120"/>
              <w:spacing w:after="0"/>
              <w:rPr>
                <w:sz w:val="20"/>
                <w:szCs w:val="20"/>
                <w:color w:val="auto"/>
              </w:rPr>
            </w:pPr>
            <w:r>
              <w:rPr>
                <w:rFonts w:ascii="Arial" w:cs="Arial" w:eastAsia="Arial" w:hAnsi="Arial"/>
                <w:sz w:val="18"/>
                <w:szCs w:val="18"/>
                <w:color w:val="51555C"/>
              </w:rPr>
              <w:t>Interest payments on debt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51555C"/>
              </w:rPr>
              <w:t>38.9</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84.1</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123.0</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60" w:type="dxa"/>
            <w:vAlign w:val="bottom"/>
          </w:tcPr>
          <w:p>
            <w:pPr>
              <w:spacing w:after="0"/>
              <w:rPr>
                <w:sz w:val="3"/>
                <w:szCs w:val="3"/>
                <w:color w:val="auto"/>
              </w:rPr>
            </w:pPr>
          </w:p>
        </w:tc>
        <w:tc>
          <w:tcPr>
            <w:tcW w:w="420" w:type="dxa"/>
            <w:vAlign w:val="bottom"/>
            <w:tcBorders>
              <w:bottom w:val="single" w:sz="8" w:color="51555C"/>
            </w:tcBorders>
          </w:tcPr>
          <w:p>
            <w:pPr>
              <w:spacing w:after="0"/>
              <w:rPr>
                <w:sz w:val="3"/>
                <w:szCs w:val="3"/>
                <w:color w:val="auto"/>
              </w:rPr>
            </w:pPr>
          </w:p>
        </w:tc>
        <w:tc>
          <w:tcPr>
            <w:tcW w:w="880" w:type="dxa"/>
            <w:vAlign w:val="bottom"/>
            <w:tcBorders>
              <w:bottom w:val="single" w:sz="8" w:color="51555C"/>
            </w:tcBorders>
          </w:tcPr>
          <w:p>
            <w:pPr>
              <w:spacing w:after="0"/>
              <w:rPr>
                <w:sz w:val="3"/>
                <w:szCs w:val="3"/>
                <w:color w:val="auto"/>
              </w:rPr>
            </w:pPr>
          </w:p>
        </w:tc>
        <w:tc>
          <w:tcPr>
            <w:tcW w:w="40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42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26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Total contractual obligatons</w:t>
            </w:r>
            <w:r>
              <w:rPr>
                <w:rFonts w:ascii="Arial" w:cs="Arial" w:eastAsia="Arial" w:hAnsi="Arial"/>
                <w:sz w:val="23"/>
                <w:szCs w:val="23"/>
                <w:b w:val="1"/>
                <w:bCs w:val="1"/>
                <w:color w:val="51555C"/>
                <w:vertAlign w:val="superscript"/>
              </w:rPr>
              <w:t>(1)</w:t>
            </w:r>
          </w:p>
        </w:tc>
        <w:tc>
          <w:tcPr>
            <w:tcW w:w="420" w:type="dxa"/>
            <w:vAlign w:val="bottom"/>
            <w:tcBorders>
              <w:bottom w:val="single" w:sz="8" w:color="0CD973"/>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8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143.0</w:t>
            </w:r>
          </w:p>
        </w:tc>
        <w:tc>
          <w:tcPr>
            <w:tcW w:w="400" w:type="dxa"/>
            <w:vAlign w:val="bottom"/>
            <w:tcBorders>
              <w:bottom w:val="single" w:sz="8" w:color="0CD973"/>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9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1,164.2</w:t>
            </w:r>
          </w:p>
        </w:tc>
        <w:tc>
          <w:tcPr>
            <w:tcW w:w="420" w:type="dxa"/>
            <w:vAlign w:val="bottom"/>
            <w:tcBorders>
              <w:bottom w:val="single" w:sz="8" w:color="0CD973"/>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1,307.2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-1859280</wp:posOffset>
            </wp:positionV>
            <wp:extent cx="25114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51555C"/>
        </w:rPr>
      </w:pPr>
      <w:r>
        <w:rPr>
          <w:rFonts w:ascii="Arial" w:cs="Arial" w:eastAsia="Arial" w:hAnsi="Arial"/>
          <w:sz w:val="14"/>
          <w:szCs w:val="14"/>
          <w:color w:val="51555C"/>
        </w:rPr>
        <w:t>The individual amounts may not sum to the total due to rounding.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Debt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of June 30, 2023, we had total remaining principal payments of $848.7 million. These payments represent principal payments only, under the following assumptons: (i) that the amounts outstanding under the 2020 Credit Facility, our real estate loans and our other debt at June 30, 2023 will remain outstanding untl maturity, with minimum payments occurring as currently scheduled, and (ii) that there are no assumed future borrowings on the revolving credit loans under the 2020 Credit Facility for the purposes of determining minimum commitment amounts. See Note 6 to our unaudited, condensed consolidated fnancial statements in this report for more informaton.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Interest payments on debt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additon to principal payments, as of June 30, 2023, we expect to pay interest expense over the life of our debt obligatons of approximately $123.0 million. These payments represent our estmated future interest payments on debt using our debt balances and the related weighted average efectve interest rates as of June 30, 2023, which includes the efect of interest rate swap agreements. The actual interest expense recognized in our consolidated statements of comprehensive income will depend on the amount of debt, the length of tme the debt is outstanding and the interest rate, which could be diferent from our assumptons on our remaining principal payments described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Operatng leases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of June 30, 2023, we had remaining operatng lease payments of $60.7 million. These payments have not been reduced by sublease income, incentve payments, reimbursement of leasehold improvements or the amount representng imputed interest of $9.8 million. Our operatng leases are generally for corporate ofces, subleased ofces and certain equipment and furniture. Given our remote-frst workforce strategy and real estate footprint optmizaton eforts, as discussed above, we do not antcipate entering any new, material operatng leases for ofces for the foreseeable future. See Note 8 to our unaudited, condensed consolidated fnancial statements in this report for more informaton.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Purchase obligatons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51555C"/>
        </w:rPr>
        <w:t>As of June 30, 2023, we had remaining purchase obligatons of $270.4 million. These purchase obligatons are for third-party technology used in our solutons and for other services we purchase as part of our normal operatons. In certain cases, these arrangements require a minimum annual purchase commitment by us. Our purchase obligatons are not recorded as liabilites on our consolidated balance sheets as of June 30, 2023, as we had not received the related services. See Note 8 to our unaudited, condensed consolidated fnancial statements in this report for more informaton.</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The total liability for uncertain tax positons as of June 30, 2023 was $3.3 million. Our accrued interest and penaltes related to tax positons taken on our tax returns was insignifcant as of June 30, 2023.</w:t>
      </w:r>
    </w:p>
    <w:p>
      <w:pPr>
        <w:spacing w:after="0" w:line="328"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46</w:t>
      </w:r>
      <w:r>
        <w:rPr>
          <w:sz w:val="20"/>
          <w:szCs w:val="20"/>
          <w:color w:val="auto"/>
        </w:rPr>
        <w:tab/>
      </w:r>
      <w:r>
        <w:rPr>
          <w:sz w:val="1"/>
          <w:szCs w:val="1"/>
          <w:color w:val="auto"/>
        </w:rPr>
        <w:drawing>
          <wp:inline distT="0" distB="0" distL="0" distR="0">
            <wp:extent cx="651510"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Contngent consideraton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In connecton with our acquisiton of Kilter in August 2022, we may be required to pay up to a maximum of $3.0 million in additonal cash consideraton if, during the two-year period commencing January 1, 2023, Kilter meets certain applicaton partcipaton targets. As of June 30, 2023, a liability for the contngent consideraton is recorded at its current estmated fair value of $1.4 million in other liabilites in our consolidated balance sheet.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51555C"/>
        </w:rPr>
        <w:t>Approximately 15% of our total revenue for the six months ended June 30, 2023 was generated from operatons outside the U.S. We do not have signifcant operatons in countries in which the economy is considered to be highly infatonary. Our consolidated fnancial statements are denominated in U.S. dollars and, accordingly, changes in the exchange rate between foreign currencies and the U.S. dollar will afect the translaton of our subsidiaries’ fnancial results into U.S. dollars for purposes of reportng our consolidated fnancial results. The accumulated currency translaton adjustment, recorded within accumulated other comprehensive income as a component of stockholders’ equity, was a loss of $9.7 million as of June 30, 2023 and a loss of $14.9 million as of December 31, 2022. We have entered into foreign currency forward contracts to hedge a porton of the foreign currency exposure that arises on translaton of our investments denominated in Britsh Pounds into U.S. dollars.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51555C"/>
        </w:rPr>
        <w:t>The vast majority of our contracts are entered into by our U.S. or U.K. enttes. The contracts entered into by the U.S. entty are almost always denominated in U.S. dollars or Canadian dollars, and contracts entered into by our U.K., Australian and Irish subsidiaries are generally denominated in Britsh Pounds, Australian dollars and Euros, respectvely. Historically, as the U.S. dollar weakened, foreign currency translaton resulted in an increase in our revenues and expenses denominated in non-U.S. currencies. Conversely, as the U.S. dollar strengthened, foreign currency translaton resulted in a decrease in our revenue and expenses denominated in non-U.S. currencies. During the six months ended June 30, 2023, foreign translaton resulted in decreases in our revenues and expenses denominated in non-U.S. currencies. Though we have exposure to fuctuatons in currency exchange rates, primarily those between the U.S. dollar and both the Britsh Pound and Canadian dollar, the impact has generally not been material to our consolidated results of operatons or fnancial positon. However, we currently expect that fuctuatons in foreign currency exchange rates will have a signifcant negatve impact on our total revenue for the full year 2023. For the six months ended June 30, 2023, the fuctuaton in foreign currency exchange rates reduced our total revenue and our income from operatons by $3.7 million and $0.6 million, respectvely. We have entered into foreign currency forward contracts to hedge revenues denominated in the Canadian dollar against changes in the exchange rate with the U.S. dollar. We will contnue monitoring such exposure and take acton as appropriate. To determine the impacts on revenue (or income from operatons) from fuctuatons in currency exchange rates, current period revenues (or income from operatons) from enttes reportng in foreign currencies were translated into U.S. dollars using the comparable prior year period's weighted average foreign currency exchange rates. These impacts are non-GAAP fnancial informaton and are not in accordance with, or an alternatve to, informaton prepared in accordance with GAAP.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Critcal Accountng Policies and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There have been no signifcant changes in our critcal accountng policies and estmates during the six months ended June 30, 2023 as compared to those disclosed in “Management’s Discussion and Analysis of Financial Conditon and Results of Operatons” included in our Annual Report on Form 10-K for the fscal year ended December 31, 2022.</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Recently Issued Accountng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For a discussion of the impact that recently issued accountng pronouncements are expected to have on our fnancial positon and results of operatons when adopted in the future, see Note 2 to our unaudited, condensed consolidated fnancial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219075</wp:posOffset>
            </wp:positionV>
            <wp:extent cx="66040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47</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8"/>
          <w:szCs w:val="28"/>
          <w:b w:val="1"/>
          <w:bCs w:val="1"/>
          <w:color w:val="004054"/>
        </w:rPr>
        <w:t>ITEM 3. QUANTITATIVE AND QUALITATIVE DISCLOSURES ABOUT MARKET RISK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51555C"/>
        </w:rPr>
        <w:t>We have market rate sensitvity for interest rates and foreign currency exchange rates.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51555C"/>
        </w:rPr>
        <w:t>Our variable rate debt is our primary fnancial instrument with market risk exposure for changing interest rates. We manage our variable rate interest rate risk through a combinaton of short-term and long-term borrowings and the use of derivatve instruments entered into for hedging purposes. Our interest rate exposure includes SOFR rates. Because the Financial Conduct Authority in the U.K. previously stated that it would phase out all tenors of LIBOR by June 2023, we modifed our fnancial contracts that were indexed to LIBOR to reference SOFR during 2022. These modifcatons did not have a signifcant fnancial impact. Due to the nature of our debt, the materiality of the fair values of the derivatve instruments and the highly liquid, short-term nature and level of our cash and cash equivalents as of June 30, 2023, we believe that the risk of exposure to changing interest rates for those positons is immaterial. There were no signifcant changes in how we manage interest rate risk between December 31, 2022 and June 30,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For a discussion of our exposure to foreign currency exchange rate fuctuatons, see “Management’s Discussion and Analysis of Financial Conditon and Results of Operatons — Foreign Currency Exchange Rates”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4. CONTROLS AND PROCEDURES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Evaluaton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51555C"/>
        </w:rPr>
        <w:t>Disclosure controls and procedures (as defned in Securites Exchange Act Rule 13a-15(e) and 15d-15(e)) are designed only to provide reasonable assurance that they will meet their objectves. As of the end of the period covered by this report, we carried out an evaluaton, under the supervision and with the partcipaton of our management, including our Chief Executve Ofcer (principal executve ofcer) and Chief Financial Ofcer (principal fnancial and accountng ofcer), of the efectveness of our disclosure controls and procedures (as defned in Rule 13a-15(e) and 15d-15(e)) pursuant to Securites Exchange Act Rule 13a-15(b). Based upon that evaluaton, our Chief Executve Ofcer and Chief Financial Ofcer have concluded that our disclosure controls and procedures are efectve to provide the reasonable assurance discussed above.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Changes in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No changes in internal control over fnancial reportng occurred during the most recent fscal quarter ended June 30, 2023 with respect to our operatons, which have materially afected, or are reasonably likely to materially afect, our internal control over fnancial reportng.</w:t>
      </w:r>
    </w:p>
    <w:p>
      <w:pPr>
        <w:spacing w:after="0" w:line="315"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48</w:t>
      </w:r>
      <w:r>
        <w:rPr>
          <w:sz w:val="20"/>
          <w:szCs w:val="20"/>
          <w:color w:val="auto"/>
        </w:rPr>
        <w:tab/>
      </w:r>
      <w:r>
        <w:rPr>
          <w:sz w:val="1"/>
          <w:szCs w:val="1"/>
          <w:color w:val="auto"/>
        </w:rPr>
        <w:drawing>
          <wp:inline distT="0" distB="0" distL="0" distR="0">
            <wp:extent cx="651510" cy="1714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sz w:val="1"/>
          <w:szCs w:val="1"/>
          <w:color w:val="auto"/>
        </w:rPr>
        <w:drawing>
          <wp:inline distT="0" distB="0" distL="0" distR="0">
            <wp:extent cx="248285" cy="24892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51555C"/>
        </w:rPr>
        <w:t>For a discussion of our legal proceedings, see Note 8 to our unaudited, condensed consolidated fnancial statements in this report.</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1A. RISK FACTORS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We are supplementng Item 1A. Risk Factors in our Annual Report on Form 10-K for the year ended December 31, 2022, as fled with the Securites and Exchange Commission on February 24, 2023 (the “Annual Report”). The following risk factors should be read in conjuncton with the risk factors set forth in that Annual Report.</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Operatonal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51555C"/>
        </w:rPr>
        <w:t>The Security Incident has had, and may contnue to have, numerous adverse efects on our business, results of operatons, fnancial conditon and cash fows.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51555C"/>
        </w:rPr>
        <w:t>As previously disclosed, on July 16, 2020, we contacted certain customers to inform them about the Security Incident, including that in May 2020 we discovered and stopped a ransomware atack. Prior to our successfully preventng the cybercriminal from blocking our system access and fully encryptng fles, and ultmately expelling them from our system with no signifcant disrupton to our operatons, the cybercriminal removed a copy of a subset of data from our self-hosted environment. Based on the nature of the incident, our research and third party (including law enforcement) investgaton we believe that no data went beyond the cybercriminal, was or will be misused, or will be disseminated or otherwise made available publicly. However, our investgaton into the Security Incident remains ongoing and may provide additonal informaton.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51555C"/>
        </w:rPr>
        <w:t>To date, we have received approximately 260 customer reimbursement requests and approximately 400 reservatons of the right to seek expense recovery in the future from customers or their atorneys in the U.S., U.K. and Canada related to the Security Incident.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Customer and insurer subrogaton claims generally seek reimbursement of their costs and expenses associated with notfying their own customers of the Security Incident and taking steps to assure that personal informaton has not been compromised as a result of the Security Incident. In additon, presently, we are a defendant in 19 putatve consumer class acton cases [17 in U.S. federal courts (which have been consolidated under mult district litgaton to a single federal court) and 2 in Canadian courts] alleging harm from the Security Incident. The plaintfs in these cases, who generally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 To date, we also have received a consolidated, mult-state Civil Investgatve Demand issued on behalf of 49 state Atorneys General and the District of Columbia and a separate Civil Investgatve Demand from the ofce of the California Atorney General relatng to the Security Incident. In additon, we are subject to pending governmental actons or investgatons by the U.S. Federal Trade Commission, the U.S. Department of Health and Human Services, the Ofce of the Australian Informaton Commissioner and the Ofce of the Privacy Commissioner of Canada.</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 March 9, 2023, the Company reached a setlement with the SEC in connecton with the Security Incident. This setlement fully resolves the previously disclosed SEC investgaton of the Security Incident and is further described in the SEC Order. Under the terms of the SEC Order, the Company agreed to cease-and-desist from commitng or causing any violatons or any future violatons of Sectons 17(a)(2) and (3) of the Securites Act and Secton 13(a) of the Exchange Act, and Rules 12b-20, 13a-13 and 13a-15(a) thereunder. As part of the SEC Order, the Company also agreed to pay, and has paid, a civil penalty in the amount of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236855</wp:posOffset>
            </wp:positionV>
            <wp:extent cx="66040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49</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51555C"/>
        </w:rPr>
        <w:t>See Note 8 to our unaudited, condensed consolidated fnancial statements included in this report for a more detailed descripton of the Security Incident and related maters.</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51555C"/>
        </w:rPr>
        <w:t>We may be named as a party in additonal lawsuits, other claims may be asserted by or on behalf of our customers or their consttuents, and we may be subject to additonal governmental inquires, requests or investgatons. Responding to and resolving these current and any future lawsuits, claims and/or investgatons could result in material remedial and other expenses that will not be covered by insurance. For example, we have recorded approximately $50.0 million in aggregate liabilites for loss contngencies related to the Security Incident that we believe we can reasonably estmate as of June 30, 2023. It is reasonably possible that our estmated or actual losses may change in the near term for those maters and be materially in excess of the amounts accrued. Certain governmental authorites are seeking to impose undertakings, injunctve relief, consent decrees, or other civil or criminal penaltes, which could, among other things, materially increase our data security costs or otherwise require us to alter how we operate our business. Although we intend to defend ourselves vigorously against the claims asserted against us, we cannot predict the potental outcomes, cost and expenses associated with current and any future claims, lawsuits, inquiries and investgatons.</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51555C"/>
        </w:rPr>
        <w:t>In additon, any legislatve or regulatory changes adopted in reacton to the Security Incident or other companies’ data breaches could require us to make modifcatons to the operaton of our business that could have an adverse efect and/or increase or accelerate our compliance costs.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51555C"/>
        </w:rPr>
        <w:t>Signifcant management tme and Company resources have been, and are expected to contnue to be, devoted to the Security Incident. For example, for the three and six months ended June 30, 2023, we incurred net pre-tax expenses of $26.8 million and $44.6 million, respectvely, related to the Security Incident, which included $7.0 million and $14.6 million, respectvely, for ongoing legal fees and additonal accruals for loss contngencies of $19.8 million and $30.0 million, respectvely. During the six months ended June 30, 2023, we had net cash outlays of $15.8 million related to the Security Incident, which included ongoing legal fees and the $3.0 million civil penalty paid during the frst quarter of 2023 related to the SEC setlement (as discussed in Note 8). For full year 2023, we currently expect net pre-tax expense of approximately $20.0 million to $30.0 million and net cash outlays of approximately $25.0 million to $35.0 million for ongoing legal fees related to the Security Incident. Although we carry insurance against certain losses related to the Security Incident, we exceeded the limit of that insurance coverage in the frst quarter of 2022. As a result, we will be responsible for all expenses or other losses (including penaltes, fnes or other judgments) or all types of claims that may arise in connecton with the Security Incident, which could materially and adversely afect our liquidity and results of operatons. (See Note 8 to our unaudited, condensed consolidated fnancial statements included in this report.) If any such fnes or penaltes were great enough that we could not pay them through funds generated from operatng actvites and/or cause a default under the 2020 Credit Facility, we may be forced to renegotate or obtain a waiver under the 2020 Credit Facility and/or seek additonal debt or equity fnancing. Such renegotaton or fnancing may not be available on acceptable terms, or at all. In these circumstances, if we were unable to obtain sufcient fnancing, we may not be able to meet our obligatons as they come due.</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additon, publicity or developments related to the Security Incident could in the future have a range of other adverse efects on our business or prospects, including causing or contributng to loss of customer confdence, reduced customer demand, reduced customer retenton, strategic growth opportunites, and associated retenton and recruitng difcultes, some or all of which could be material.</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51555C"/>
        </w:rPr>
        <w:t xml:space="preserve">Provisions in our organizatonal documents, our Stockholder Rights Agreement </w:t>
      </w:r>
      <w:r>
        <w:rPr>
          <w:rFonts w:ascii="Arial" w:cs="Arial" w:eastAsia="Arial" w:hAnsi="Arial"/>
          <w:sz w:val="18"/>
          <w:szCs w:val="18"/>
          <w:color w:val="51555C"/>
        </w:rPr>
        <w:t>(as described below, the "Rights Agreement")</w:t>
      </w:r>
      <w:r>
        <w:rPr>
          <w:rFonts w:ascii="Arial" w:cs="Arial" w:eastAsia="Arial" w:hAnsi="Arial"/>
          <w:sz w:val="18"/>
          <w:szCs w:val="18"/>
          <w:b w:val="1"/>
          <w:bCs w:val="1"/>
          <w:i w:val="1"/>
          <w:iCs w:val="1"/>
          <w:color w:val="51555C"/>
        </w:rPr>
        <w:t>, certain ofcer compensaton arrangements and Delaware law may delay or prevent an acquisiton or change of control of our Company that could be deemed benefcial to our stockholders.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Certain provisions in our organizatonal documents, the Rights Agreement, compensaton arrangements with our ofcers and Delaware law (as summarized below) may have the efect of delaying, deferring, discouraging or preventng an acquisiton or change in control of the Company or a change in our management. This includes tender ofers for our common stock, proxy contests or other takeover atempts. These ant-takeover efects may discourage transactons that might result in the payment of a premium over the market price for shares of our common stock. Even in the absence of a takeover atempt, the existence of these provisions may adversely afect the prevailing market price of our common stock if they are viewed as discouraging takeover atempts in the future.</w:t>
      </w:r>
    </w:p>
    <w:p>
      <w:pPr>
        <w:spacing w:after="0" w:line="344"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50</w:t>
      </w:r>
      <w:r>
        <w:rPr>
          <w:sz w:val="20"/>
          <w:szCs w:val="20"/>
          <w:color w:val="auto"/>
        </w:rPr>
        <w:tab/>
      </w:r>
      <w:r>
        <w:rPr>
          <w:sz w:val="1"/>
          <w:szCs w:val="1"/>
          <w:color w:val="auto"/>
        </w:rPr>
        <w:drawing>
          <wp:inline distT="0" distB="0" distL="0" distR="0">
            <wp:extent cx="651510" cy="1714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51555C"/>
        </w:rPr>
        <w:t xml:space="preserve">Certfcate of Incorporaton and Bylaw provisions. </w:t>
      </w:r>
      <w:r>
        <w:rPr>
          <w:rFonts w:ascii="Arial" w:cs="Arial" w:eastAsia="Arial" w:hAnsi="Arial"/>
          <w:sz w:val="18"/>
          <w:szCs w:val="18"/>
          <w:color w:val="51555C"/>
        </w:rPr>
        <w:t>The Board of Directors is divided into three classes of directors, as nearly equal in number as possible,</w:t>
      </w:r>
      <w:r>
        <w:rPr>
          <w:rFonts w:ascii="Arial" w:cs="Arial" w:eastAsia="Arial" w:hAnsi="Arial"/>
          <w:sz w:val="18"/>
          <w:szCs w:val="18"/>
          <w:i w:val="1"/>
          <w:iCs w:val="1"/>
          <w:color w:val="51555C"/>
        </w:rPr>
        <w:t xml:space="preserve"> </w:t>
      </w:r>
      <w:r>
        <w:rPr>
          <w:rFonts w:ascii="Arial" w:cs="Arial" w:eastAsia="Arial" w:hAnsi="Arial"/>
          <w:sz w:val="18"/>
          <w:szCs w:val="18"/>
          <w:color w:val="51555C"/>
        </w:rPr>
        <w:t>with each class serving a staggered term of three years. The classifcaton of directors will have the efect of making it more difcult and tme-consuming for stockholders to change the compositon of the Board of Directors, could discourage a third-party from making a tender ofer or otherwise atemptng to obtain control of the Company and may maintain the incumbency of the Board of Directors.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Our Bylaws contain an advance notce procedure for stockholders proposals to be brought before a meetng of stockholders, including any proposed nominatons of persons for electon to the Board of Directors. The Bylaws may have the efect of precluding the conduct of business at a meetng if the proper procedures are not followed and may discourage or deter a potental acquirer from conductng a solicitaton of proxies to elect its own slate of directors or otherwise atemptng to obtain control of the Company.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51555C"/>
        </w:rPr>
        <w:t>The Board of Directors has the authority to issue up to an aggregate of 20,000,000 shares of preferred stock in one or more classes or series and to determine, with respect to any such class or series, the designatons, powers, preferences and rights of such class or series, and the qualifcatons, limitatons and restrictons thereof, including dividend rights, dividend rates, conversion rights, votng rights, terms of redempton (including sinking fund provisions), redempton prices, liquidaton preferences, and the number of shares consttutng any class or series or the designaton of such class or series, without further vote or acton by the stockholders. This preferred stock, including the Series A Preferred Stock described below, could have terms that may discourage a potental acquirer from making, without frst negotatng with the Board of Directors, an acquisiton atempt through which such acquirer may be able to change the compositon of the Board of Directors, including a tender ofer or other takeover atempt.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The Board of Directors possesses the authority to call and hold emergency special meetngs of the Board of Directors with less than forty-eight hours’ notce. This power to hold an emergency special meetng of the Board of Directors on short notce could discourage a potental acquirer from launching a bid to acquire majority ownership of the Company, a proxy solicitaton in order to replace the current Board of Directors, or otherwise atemptng to obtain control of the Company.</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51555C"/>
        </w:rPr>
        <w:t xml:space="preserve">Stockholder Rights Agreement. </w:t>
      </w:r>
      <w:r>
        <w:rPr>
          <w:rFonts w:ascii="Arial" w:cs="Arial" w:eastAsia="Arial" w:hAnsi="Arial"/>
          <w:sz w:val="16"/>
          <w:szCs w:val="16"/>
          <w:color w:val="51555C"/>
        </w:rPr>
        <w:t>On October 7, 2022, the Company declared a dividend of one preferred share purchase right for each of the Company’s</w:t>
      </w:r>
      <w:r>
        <w:rPr>
          <w:rFonts w:ascii="Arial" w:cs="Arial" w:eastAsia="Arial" w:hAnsi="Arial"/>
          <w:sz w:val="16"/>
          <w:szCs w:val="16"/>
          <w:i w:val="1"/>
          <w:iCs w:val="1"/>
          <w:color w:val="51555C"/>
        </w:rPr>
        <w:t xml:space="preserve"> </w:t>
      </w:r>
      <w:r>
        <w:rPr>
          <w:rFonts w:ascii="Arial" w:cs="Arial" w:eastAsia="Arial" w:hAnsi="Arial"/>
          <w:sz w:val="16"/>
          <w:szCs w:val="16"/>
          <w:color w:val="51555C"/>
        </w:rPr>
        <w:t>issued and outstanding shares of Common Stock. The descripton and terms of these Rights are set forth in the Rights Agreement by and between the Company and American Stock Transfer &amp; Trust Company, LLC. Each Right enttles the registered holder, subject to the terms of the Rights Agreement, to purchase from us one one-thousandth of a share of the Series A Junior Partcipatng Preferred Stock, par value $0.001 per share (the “Series A Preferred Stock”) at a price of $313.00, subject to certain adjustments (as adjusted from tme to tme, the “Exercise Price”). Under the Rights Agreement, the Rights will become exercisable if an entty, person or group acquires benefcial ownership of 20% or more of the outstanding Common Stock in a transacton not approved by the Board of Directors. In the event that the Rights become exercisable due to the ownership threshold being crossed, each Right will enttle its holder (other than the person, entty or group triggering the Rights Plan, whose rights will become void and will not be exercisable) to purchase additonal shares of Common Stock having a then-current market value of twice the Exercise Price, which would likely make any takeover or change of control atempt by such entty, person or group prohibitvely expensive. Subject to the terms of the Rights Agreement, the Rights will expire on October 2, 2023. Additonal informaton regarding the Rights Agreement is contained in a Form 8-K fled with the SEC on October 11, 2022.</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51555C"/>
        </w:rPr>
        <w:t xml:space="preserve">Ofcer Compensaton Arrangements. </w:t>
      </w:r>
      <w:r>
        <w:rPr>
          <w:rFonts w:ascii="Arial" w:cs="Arial" w:eastAsia="Arial" w:hAnsi="Arial"/>
          <w:sz w:val="18"/>
          <w:szCs w:val="18"/>
          <w:color w:val="51555C"/>
        </w:rPr>
        <w:t>We have entered into an employment agreement with our Chief Executve Ofcer and retenton agreements with</w:t>
      </w:r>
      <w:r>
        <w:rPr>
          <w:rFonts w:ascii="Arial" w:cs="Arial" w:eastAsia="Arial" w:hAnsi="Arial"/>
          <w:sz w:val="18"/>
          <w:szCs w:val="18"/>
          <w:i w:val="1"/>
          <w:iCs w:val="1"/>
          <w:color w:val="51555C"/>
        </w:rPr>
        <w:t xml:space="preserve"> </w:t>
      </w:r>
      <w:r>
        <w:rPr>
          <w:rFonts w:ascii="Arial" w:cs="Arial" w:eastAsia="Arial" w:hAnsi="Arial"/>
          <w:sz w:val="18"/>
          <w:szCs w:val="18"/>
          <w:color w:val="51555C"/>
        </w:rPr>
        <w:t>certain of our ofcers, which provide that, upon the occurrence of a change in control of us and either the terminaton of their employment without cause (as defned) or their resignaton for good reason (as defned), such persons would be enttled to certain terminaton or severance payments made by us (which may include a lump sum payment equal to defned percentages of compensaton and accelerated vestng of certain equity stock awards paid in accordance with the terms and conditons of the respectve agreement). Such provisions could signifcantly increase the costs to a third-party acquirer and/or deter such third-party from acquiring us.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51555C"/>
        </w:rPr>
        <w:t>Delaware ant-takeover law</w:t>
      </w:r>
      <w:r>
        <w:rPr>
          <w:rFonts w:ascii="Arial" w:cs="Arial" w:eastAsia="Arial" w:hAnsi="Arial"/>
          <w:sz w:val="17"/>
          <w:szCs w:val="17"/>
          <w:color w:val="51555C"/>
        </w:rPr>
        <w:t>. We are subject to Secton 203 of the Delaware General Corporaton Law, an ant-takeover law. In general, Secton 203</w:t>
      </w:r>
      <w:r>
        <w:rPr>
          <w:rFonts w:ascii="Arial" w:cs="Arial" w:eastAsia="Arial" w:hAnsi="Arial"/>
          <w:sz w:val="17"/>
          <w:szCs w:val="17"/>
          <w:i w:val="1"/>
          <w:iCs w:val="1"/>
          <w:color w:val="51555C"/>
        </w:rPr>
        <w:t xml:space="preserve"> </w:t>
      </w:r>
      <w:r>
        <w:rPr>
          <w:rFonts w:ascii="Arial" w:cs="Arial" w:eastAsia="Arial" w:hAnsi="Arial"/>
          <w:sz w:val="17"/>
          <w:szCs w:val="17"/>
          <w:color w:val="51555C"/>
        </w:rPr>
        <w:t>prohibits a publicly held Delaware corporaton, such as the Company, from engaging in a “business combinaton” with an “interested stockholder” for a period of three years following the date the person became an interested stockholder, unless certain criteria are met. Generally, a “business combinaton” includes a merger, asset or stock sale, or other transacton resultng in a fnancial beneft to the interested stockholder. Generally, an “interested stockholder” is a person who, together with afliates and associates, owns, or is an afliate or associate of the corporaton, and within three years prior to the determinaton of interested stockholder status did own, 15% or more of a corporaton’s votng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231140</wp:posOffset>
            </wp:positionV>
            <wp:extent cx="66040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51</w:t>
            </w:r>
          </w:p>
        </w:tc>
      </w:tr>
      <w:tr>
        <w:trPr>
          <w:trHeight w:val="34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8"/>
          <w:szCs w:val="28"/>
          <w:b w:val="1"/>
          <w:bCs w:val="1"/>
          <w:color w:val="004054"/>
        </w:rPr>
        <w:t>ITEM 2. UNREGISTERED SALES OF EQUITY SECURITIES AND USE OF PROCEEDS</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Issuer Purchases of Equity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following table provides informaton about shares of common stock acquired or repurchased during the three months ended June 30, 2023 under the stock repurchase program then in efect, as well as common stock withheld by us to satsfy the minimum tax obligatons of employees due upon vestng of restricted stock awards and units.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Approximate</w:t>
            </w:r>
          </w:p>
        </w:tc>
      </w:tr>
      <w:tr>
        <w:trPr>
          <w:trHeight w:val="175"/>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dollar value</w:t>
            </w:r>
          </w:p>
        </w:tc>
      </w:tr>
      <w:tr>
        <w:trPr>
          <w:trHeight w:val="176"/>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r>
      <w:tr>
        <w:trPr>
          <w:trHeight w:val="176"/>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may yet</w:t>
            </w:r>
          </w:p>
        </w:tc>
      </w:tr>
      <w:tr>
        <w:trPr>
          <w:trHeight w:val="162"/>
        </w:trPr>
        <w:tc>
          <w:tcPr>
            <w:tcW w:w="20" w:type="dxa"/>
            <w:vAlign w:val="bottom"/>
            <w:shd w:val="clear" w:color="auto" w:fill="004054"/>
          </w:tcPr>
          <w:p>
            <w:pPr>
              <w:spacing w:after="0"/>
              <w:rPr>
                <w:sz w:val="14"/>
                <w:szCs w:val="14"/>
                <w:color w:val="auto"/>
              </w:rPr>
            </w:pPr>
          </w:p>
        </w:tc>
        <w:tc>
          <w:tcPr>
            <w:tcW w:w="542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1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purchased</w:t>
            </w:r>
          </w:p>
        </w:tc>
      </w:tr>
      <w:tr>
        <w:trPr>
          <w:trHeight w:val="175"/>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price</w:t>
            </w: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the</w:t>
            </w:r>
          </w:p>
        </w:tc>
      </w:tr>
      <w:tr>
        <w:trPr>
          <w:trHeight w:val="176"/>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paid</w:t>
            </w: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r>
      <w:tr>
        <w:trPr>
          <w:trHeight w:val="173"/>
        </w:trPr>
        <w:tc>
          <w:tcPr>
            <w:tcW w:w="20" w:type="dxa"/>
            <w:vAlign w:val="bottom"/>
            <w:shd w:val="clear" w:color="auto" w:fill="004054"/>
          </w:tcPr>
          <w:p>
            <w:pPr>
              <w:spacing w:after="0"/>
              <w:rPr>
                <w:sz w:val="15"/>
                <w:szCs w:val="15"/>
                <w:color w:val="auto"/>
              </w:rPr>
            </w:pPr>
          </w:p>
        </w:tc>
        <w:tc>
          <w:tcPr>
            <w:tcW w:w="54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w:t>
            </w: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p>
        </w:tc>
      </w:tr>
      <w:tr>
        <w:trPr>
          <w:trHeight w:val="236"/>
        </w:trPr>
        <w:tc>
          <w:tcPr>
            <w:tcW w:w="20" w:type="dxa"/>
            <w:vAlign w:val="bottom"/>
            <w:tcBorders>
              <w:bottom w:val="single" w:sz="8" w:color="004054"/>
            </w:tcBorders>
            <w:shd w:val="clear" w:color="auto" w:fill="004054"/>
          </w:tcPr>
          <w:p>
            <w:pPr>
              <w:spacing w:after="0"/>
              <w:rPr>
                <w:sz w:val="20"/>
                <w:szCs w:val="20"/>
                <w:color w:val="auto"/>
              </w:rPr>
            </w:pPr>
          </w:p>
        </w:tc>
        <w:tc>
          <w:tcPr>
            <w:tcW w:w="5420" w:type="dxa"/>
            <w:vAlign w:val="bottom"/>
            <w:tcBorders>
              <w:bottom w:val="single" w:sz="8" w:color="004054"/>
            </w:tcBorders>
            <w:shd w:val="clear" w:color="auto" w:fill="004054"/>
          </w:tcPr>
          <w:p>
            <w:pPr>
              <w:ind w:left="20"/>
              <w:spacing w:after="0"/>
              <w:rPr>
                <w:sz w:val="20"/>
                <w:szCs w:val="20"/>
                <w:color w:val="auto"/>
              </w:rPr>
            </w:pPr>
            <w:r>
              <w:rPr>
                <w:rFonts w:ascii="Arial" w:cs="Arial" w:eastAsia="Arial" w:hAnsi="Arial"/>
                <w:sz w:val="14"/>
                <w:szCs w:val="14"/>
                <w:b w:val="1"/>
                <w:bCs w:val="1"/>
                <w:color w:val="FFFFFF"/>
              </w:rPr>
              <w:t>Period</w:t>
            </w: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20" w:type="dxa"/>
            <w:vAlign w:val="bottom"/>
            <w:tcBorders>
              <w:bottom w:val="single" w:sz="8" w:color="004054"/>
            </w:tcBorders>
            <w:shd w:val="clear" w:color="auto" w:fill="004054"/>
          </w:tcPr>
          <w:p>
            <w:pPr>
              <w:spacing w:after="0"/>
              <w:rPr>
                <w:sz w:val="20"/>
                <w:szCs w:val="20"/>
                <w:color w:val="auto"/>
              </w:rPr>
            </w:pPr>
          </w:p>
        </w:tc>
        <w:tc>
          <w:tcPr>
            <w:tcW w:w="480" w:type="dxa"/>
            <w:vAlign w:val="bottom"/>
            <w:tcBorders>
              <w:bottom w:val="single" w:sz="8" w:color="004054"/>
            </w:tcBorders>
            <w:shd w:val="clear" w:color="auto" w:fill="004054"/>
          </w:tcPr>
          <w:p>
            <w:pPr>
              <w:spacing w:after="0"/>
              <w:rPr>
                <w:sz w:val="20"/>
                <w:szCs w:val="20"/>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w:t>
            </w:r>
          </w:p>
        </w:tc>
        <w:tc>
          <w:tcPr>
            <w:tcW w:w="140" w:type="dxa"/>
            <w:vAlign w:val="bottom"/>
            <w:tcBorders>
              <w:bottom w:val="single" w:sz="8" w:color="004054"/>
            </w:tcBorders>
            <w:shd w:val="clear" w:color="auto" w:fill="004054"/>
          </w:tcPr>
          <w:p>
            <w:pPr>
              <w:spacing w:after="0"/>
              <w:rPr>
                <w:sz w:val="20"/>
                <w:szCs w:val="20"/>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(2)</w:t>
            </w:r>
          </w:p>
        </w:tc>
        <w:tc>
          <w:tcPr>
            <w:tcW w:w="100" w:type="dxa"/>
            <w:vAlign w:val="bottom"/>
            <w:tcBorders>
              <w:bottom w:val="single" w:sz="8" w:color="004054"/>
            </w:tcBorders>
            <w:shd w:val="clear" w:color="auto" w:fill="004054"/>
          </w:tcPr>
          <w:p>
            <w:pPr>
              <w:spacing w:after="0"/>
              <w:rPr>
                <w:sz w:val="20"/>
                <w:szCs w:val="20"/>
                <w:color w:val="auto"/>
              </w:rPr>
            </w:pPr>
          </w:p>
        </w:tc>
        <w:tc>
          <w:tcPr>
            <w:tcW w:w="300" w:type="dxa"/>
            <w:vAlign w:val="bottom"/>
            <w:tcBorders>
              <w:bottom w:val="single" w:sz="8" w:color="004054"/>
            </w:tcBorders>
            <w:shd w:val="clear" w:color="auto" w:fill="004054"/>
          </w:tcPr>
          <w:p>
            <w:pPr>
              <w:spacing w:after="0"/>
              <w:rPr>
                <w:sz w:val="20"/>
                <w:szCs w:val="20"/>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p>
        </w:tc>
      </w:tr>
      <w:tr>
        <w:trPr>
          <w:trHeight w:val="250"/>
        </w:trPr>
        <w:tc>
          <w:tcPr>
            <w:tcW w:w="20" w:type="dxa"/>
            <w:vAlign w:val="bottom"/>
          </w:tcPr>
          <w:p>
            <w:pPr>
              <w:spacing w:after="0"/>
              <w:rPr>
                <w:sz w:val="21"/>
                <w:szCs w:val="21"/>
                <w:color w:val="auto"/>
              </w:rPr>
            </w:pPr>
          </w:p>
        </w:tc>
        <w:tc>
          <w:tcPr>
            <w:tcW w:w="54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Beginning balance, April 1, 2023</w:t>
            </w:r>
          </w:p>
        </w:tc>
        <w:tc>
          <w:tcPr>
            <w:tcW w:w="13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250,000</w:t>
            </w:r>
          </w:p>
        </w:tc>
      </w:tr>
      <w:tr>
        <w:trPr>
          <w:trHeight w:val="227"/>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51555C"/>
              </w:rPr>
              <w:t>April 1, 2023 through April 30, 2023</w:t>
            </w:r>
          </w:p>
        </w:tc>
        <w:tc>
          <w:tcPr>
            <w:tcW w:w="1360" w:type="dxa"/>
            <w:vAlign w:val="bottom"/>
          </w:tcPr>
          <w:p>
            <w:pPr>
              <w:jc w:val="right"/>
              <w:spacing w:after="0"/>
              <w:rPr>
                <w:sz w:val="20"/>
                <w:szCs w:val="20"/>
                <w:color w:val="auto"/>
              </w:rPr>
            </w:pPr>
            <w:r>
              <w:rPr>
                <w:rFonts w:ascii="Arial" w:cs="Arial" w:eastAsia="Arial" w:hAnsi="Arial"/>
                <w:sz w:val="18"/>
                <w:szCs w:val="18"/>
                <w:color w:val="51555C"/>
              </w:rPr>
              <w:t>—</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51555C"/>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8"/>
                <w:szCs w:val="18"/>
                <w:color w:val="51555C"/>
              </w:rPr>
              <w:t>250,000</w:t>
            </w:r>
          </w:p>
        </w:tc>
      </w:tr>
      <w:tr>
        <w:trPr>
          <w:trHeight w:val="43"/>
        </w:trPr>
        <w:tc>
          <w:tcPr>
            <w:tcW w:w="20" w:type="dxa"/>
            <w:vAlign w:val="bottom"/>
          </w:tcPr>
          <w:p>
            <w:pPr>
              <w:spacing w:after="0"/>
              <w:rPr>
                <w:sz w:val="3"/>
                <w:szCs w:val="3"/>
                <w:color w:val="auto"/>
              </w:rPr>
            </w:pPr>
          </w:p>
        </w:tc>
        <w:tc>
          <w:tcPr>
            <w:tcW w:w="5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May 1, 2023 through May 31, 2023</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32,540</w:t>
            </w: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69.76</w:t>
            </w: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w:t>
            </w: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250,000</w:t>
            </w:r>
          </w:p>
        </w:tc>
      </w:tr>
      <w:tr>
        <w:trPr>
          <w:trHeight w:val="227"/>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51555C"/>
              </w:rPr>
              <w:t>June 1, 2023 through June 30, 2023</w:t>
            </w:r>
          </w:p>
        </w:tc>
        <w:tc>
          <w:tcPr>
            <w:tcW w:w="1360" w:type="dxa"/>
            <w:vAlign w:val="bottom"/>
          </w:tcPr>
          <w:p>
            <w:pPr>
              <w:jc w:val="right"/>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8"/>
                <w:szCs w:val="18"/>
                <w:color w:val="51555C"/>
              </w:rPr>
              <w:t>250,000</w:t>
            </w:r>
          </w:p>
        </w:tc>
      </w:tr>
      <w:tr>
        <w:trPr>
          <w:trHeight w:val="43"/>
        </w:trPr>
        <w:tc>
          <w:tcPr>
            <w:tcW w:w="20" w:type="dxa"/>
            <w:vAlign w:val="bottom"/>
          </w:tcPr>
          <w:p>
            <w:pPr>
              <w:spacing w:after="0"/>
              <w:rPr>
                <w:sz w:val="3"/>
                <w:szCs w:val="3"/>
                <w:color w:val="auto"/>
              </w:rPr>
            </w:pPr>
          </w:p>
        </w:tc>
        <w:tc>
          <w:tcPr>
            <w:tcW w:w="5420" w:type="dxa"/>
            <w:vAlign w:val="bottom"/>
            <w:tcBorders>
              <w:bottom w:val="single" w:sz="8" w:color="EBFBFF"/>
            </w:tcBorders>
          </w:tcPr>
          <w:p>
            <w:pPr>
              <w:spacing w:after="0"/>
              <w:rPr>
                <w:sz w:val="3"/>
                <w:szCs w:val="3"/>
                <w:color w:val="auto"/>
              </w:rPr>
            </w:pPr>
          </w:p>
        </w:tc>
        <w:tc>
          <w:tcPr>
            <w:tcW w:w="1360" w:type="dxa"/>
            <w:vAlign w:val="bottom"/>
            <w:tcBorders>
              <w:bottom w:val="single" w:sz="8" w:color="51555C"/>
            </w:tcBorders>
          </w:tcPr>
          <w:p>
            <w:pPr>
              <w:spacing w:after="0"/>
              <w:rPr>
                <w:sz w:val="3"/>
                <w:szCs w:val="3"/>
                <w:color w:val="auto"/>
              </w:rPr>
            </w:pPr>
          </w:p>
        </w:tc>
        <w:tc>
          <w:tcPr>
            <w:tcW w:w="120" w:type="dxa"/>
            <w:vAlign w:val="bottom"/>
            <w:tcBorders>
              <w:bottom w:val="single" w:sz="8" w:color="EBFBFF"/>
            </w:tcBorders>
          </w:tcPr>
          <w:p>
            <w:pPr>
              <w:spacing w:after="0"/>
              <w:rPr>
                <w:sz w:val="3"/>
                <w:szCs w:val="3"/>
                <w:color w:val="auto"/>
              </w:rPr>
            </w:pPr>
          </w:p>
        </w:tc>
        <w:tc>
          <w:tcPr>
            <w:tcW w:w="48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140" w:type="dxa"/>
            <w:vAlign w:val="bottom"/>
            <w:tcBorders>
              <w:bottom w:val="single" w:sz="8" w:color="EBFBFF"/>
            </w:tcBorders>
          </w:tcPr>
          <w:p>
            <w:pPr>
              <w:spacing w:after="0"/>
              <w:rPr>
                <w:sz w:val="3"/>
                <w:szCs w:val="3"/>
                <w:color w:val="auto"/>
              </w:rPr>
            </w:pPr>
          </w:p>
        </w:tc>
        <w:tc>
          <w:tcPr>
            <w:tcW w:w="1360" w:type="dxa"/>
            <w:vAlign w:val="bottom"/>
            <w:tcBorders>
              <w:bottom w:val="single" w:sz="8" w:color="51555C"/>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80" w:type="dxa"/>
            <w:vAlign w:val="bottom"/>
            <w:tcBorders>
              <w:bottom w:val="single" w:sz="8" w:color="51555C"/>
            </w:tcBorders>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54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Total</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32,540</w:t>
            </w: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7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69.76</w:t>
            </w: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w:t>
            </w: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250,000</w:t>
            </w: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r>
    </w:tbl>
    <w:p>
      <w:pPr>
        <w:spacing w:after="0" w:line="43" w:lineRule="exact"/>
        <w:rPr>
          <w:sz w:val="20"/>
          <w:szCs w:val="20"/>
          <w:color w:val="auto"/>
        </w:rPr>
      </w:pPr>
    </w:p>
    <w:p>
      <w:pPr>
        <w:ind w:left="340" w:hanging="332"/>
        <w:spacing w:after="0" w:line="266" w:lineRule="auto"/>
        <w:tabs>
          <w:tab w:leader="none" w:pos="340" w:val="left"/>
        </w:tabs>
        <w:numPr>
          <w:ilvl w:val="0"/>
          <w:numId w:val="46"/>
        </w:numPr>
        <w:rPr>
          <w:rFonts w:ascii="Arial" w:cs="Arial" w:eastAsia="Arial" w:hAnsi="Arial"/>
          <w:sz w:val="14"/>
          <w:szCs w:val="14"/>
          <w:color w:val="51555C"/>
        </w:rPr>
      </w:pPr>
      <w:r>
        <w:rPr>
          <w:rFonts w:ascii="Arial" w:cs="Arial" w:eastAsia="Arial" w:hAnsi="Arial"/>
          <w:sz w:val="14"/>
          <w:szCs w:val="14"/>
          <w:color w:val="51555C"/>
        </w:rPr>
        <w:t>Includes 32,540 shares in May withheld by us to satsfy the minimum tax obligatons of employees due upon vestng of restricted stock awards and units. The level of this acquisiton actvity varies from period to period based upon the tming of award grants and vestng.</w:t>
      </w:r>
    </w:p>
    <w:p>
      <w:pPr>
        <w:ind w:left="340" w:hanging="332"/>
        <w:spacing w:after="0" w:line="283" w:lineRule="auto"/>
        <w:tabs>
          <w:tab w:leader="none" w:pos="340" w:val="left"/>
        </w:tabs>
        <w:numPr>
          <w:ilvl w:val="0"/>
          <w:numId w:val="46"/>
        </w:numPr>
        <w:rPr>
          <w:rFonts w:ascii="Arial" w:cs="Arial" w:eastAsia="Arial" w:hAnsi="Arial"/>
          <w:sz w:val="14"/>
          <w:szCs w:val="14"/>
          <w:color w:val="51555C"/>
        </w:rPr>
      </w:pPr>
      <w:r>
        <w:rPr>
          <w:rFonts w:ascii="Arial" w:cs="Arial" w:eastAsia="Arial" w:hAnsi="Arial"/>
          <w:sz w:val="14"/>
          <w:szCs w:val="14"/>
          <w:color w:val="51555C"/>
        </w:rPr>
        <w:t>In December 2021, our Board of Directors reauthorized and replenished our stock repurchase program to authorize us to purchase up to $250.0 million of our outstanding shares of common stock. The program does not have an expiraton date.</w:t>
      </w: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5. OTHER INFORMATION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Trading Arrangements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The following table provides informaton about trading arrangements adopted or terminated by certain of our ofcers and directors during the three months ended June 30,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90" w:type="dxa"/>
            <w:vAlign w:val="bottom"/>
            <w:shd w:val="clear" w:color="auto" w:fill="004054"/>
          </w:tcPr>
          <w:p>
            <w:pPr>
              <w:spacing w:after="0"/>
              <w:rPr>
                <w:sz w:val="15"/>
                <w:szCs w:val="15"/>
                <w:color w:val="auto"/>
              </w:rPr>
            </w:pPr>
          </w:p>
        </w:tc>
        <w:tc>
          <w:tcPr>
            <w:tcW w:w="152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890" w:type="dxa"/>
            <w:vAlign w:val="bottom"/>
            <w:shd w:val="clear" w:color="auto" w:fill="004054"/>
          </w:tcPr>
          <w:p>
            <w:pPr>
              <w:spacing w:after="0"/>
              <w:rPr>
                <w:sz w:val="15"/>
                <w:szCs w:val="15"/>
                <w:color w:val="auto"/>
              </w:rPr>
            </w:pPr>
          </w:p>
        </w:tc>
        <w:tc>
          <w:tcPr>
            <w:tcW w:w="1340" w:type="dxa"/>
            <w:vAlign w:val="bottom"/>
            <w:gridSpan w:val="2"/>
            <w:shd w:val="clear" w:color="auto" w:fill="004054"/>
          </w:tcPr>
          <w:p>
            <w:pPr>
              <w:jc w:val="center"/>
              <w:spacing w:after="0"/>
              <w:rPr>
                <w:sz w:val="20"/>
                <w:szCs w:val="20"/>
                <w:color w:val="auto"/>
              </w:rPr>
            </w:pPr>
            <w:r>
              <w:rPr>
                <w:rFonts w:ascii="Arial" w:cs="Arial" w:eastAsia="Arial" w:hAnsi="Arial"/>
                <w:sz w:val="14"/>
                <w:szCs w:val="14"/>
                <w:b w:val="1"/>
                <w:bCs w:val="1"/>
                <w:color w:val="FFFFFF"/>
                <w:w w:val="85"/>
              </w:rPr>
              <w:t>Trading</w:t>
            </w:r>
          </w:p>
        </w:tc>
        <w:tc>
          <w:tcPr>
            <w:tcW w:w="111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70"/>
        </w:trPr>
        <w:tc>
          <w:tcPr>
            <w:tcW w:w="339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990" w:type="dxa"/>
            <w:vAlign w:val="bottom"/>
            <w:shd w:val="clear" w:color="auto" w:fill="004054"/>
          </w:tcPr>
          <w:p>
            <w:pPr>
              <w:spacing w:after="0"/>
              <w:rPr>
                <w:sz w:val="6"/>
                <w:szCs w:val="6"/>
                <w:color w:val="auto"/>
              </w:rPr>
            </w:pPr>
          </w:p>
        </w:tc>
        <w:tc>
          <w:tcPr>
            <w:tcW w:w="890" w:type="dxa"/>
            <w:vAlign w:val="bottom"/>
            <w:shd w:val="clear" w:color="auto" w:fill="004054"/>
          </w:tcPr>
          <w:p>
            <w:pPr>
              <w:spacing w:after="0"/>
              <w:rPr>
                <w:sz w:val="6"/>
                <w:szCs w:val="6"/>
                <w:color w:val="auto"/>
              </w:rPr>
            </w:pPr>
          </w:p>
        </w:tc>
        <w:tc>
          <w:tcPr>
            <w:tcW w:w="1340" w:type="dxa"/>
            <w:vAlign w:val="bottom"/>
            <w:gridSpan w:val="2"/>
            <w:vMerge w:val="restart"/>
            <w:shd w:val="clear" w:color="auto" w:fill="004054"/>
          </w:tcPr>
          <w:p>
            <w:pPr>
              <w:jc w:val="center"/>
              <w:spacing w:after="0"/>
              <w:rPr>
                <w:sz w:val="20"/>
                <w:szCs w:val="20"/>
                <w:color w:val="auto"/>
              </w:rPr>
            </w:pPr>
            <w:r>
              <w:rPr>
                <w:rFonts w:ascii="Arial" w:cs="Arial" w:eastAsia="Arial" w:hAnsi="Arial"/>
                <w:sz w:val="14"/>
                <w:szCs w:val="14"/>
                <w:b w:val="1"/>
                <w:bCs w:val="1"/>
                <w:color w:val="FFFFFF"/>
                <w:w w:val="88"/>
              </w:rPr>
              <w:t>arrangement</w:t>
            </w:r>
            <w:r>
              <w:rPr>
                <w:rFonts w:ascii="Arial" w:cs="Arial" w:eastAsia="Arial" w:hAnsi="Arial"/>
                <w:sz w:val="18"/>
                <w:szCs w:val="18"/>
                <w:b w:val="1"/>
                <w:bCs w:val="1"/>
                <w:color w:val="FFFFFF"/>
                <w:w w:val="88"/>
                <w:vertAlign w:val="superscript"/>
              </w:rPr>
              <w:t>(1)</w:t>
            </w:r>
          </w:p>
        </w:tc>
        <w:tc>
          <w:tcPr>
            <w:tcW w:w="1110" w:type="dxa"/>
            <w:vAlign w:val="bottom"/>
            <w:vMerge w:val="continue"/>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390" w:type="dxa"/>
            <w:vAlign w:val="bottom"/>
            <w:shd w:val="clear" w:color="auto" w:fill="004054"/>
          </w:tcPr>
          <w:p>
            <w:pPr>
              <w:spacing w:after="0"/>
              <w:rPr>
                <w:sz w:val="13"/>
                <w:szCs w:val="13"/>
                <w:color w:val="auto"/>
              </w:rPr>
            </w:pPr>
          </w:p>
        </w:tc>
        <w:tc>
          <w:tcPr>
            <w:tcW w:w="1520" w:type="dxa"/>
            <w:vAlign w:val="bottom"/>
            <w:shd w:val="clear" w:color="auto" w:fill="004054"/>
          </w:tcPr>
          <w:p>
            <w:pPr>
              <w:spacing w:after="0"/>
              <w:rPr>
                <w:sz w:val="13"/>
                <w:szCs w:val="13"/>
                <w:color w:val="auto"/>
              </w:rPr>
            </w:pPr>
          </w:p>
        </w:tc>
        <w:tc>
          <w:tcPr>
            <w:tcW w:w="1000" w:type="dxa"/>
            <w:vAlign w:val="bottom"/>
            <w:shd w:val="clear" w:color="auto" w:fill="004054"/>
          </w:tcPr>
          <w:p>
            <w:pPr>
              <w:spacing w:after="0"/>
              <w:rPr>
                <w:sz w:val="13"/>
                <w:szCs w:val="13"/>
                <w:color w:val="auto"/>
              </w:rPr>
            </w:pPr>
          </w:p>
        </w:tc>
        <w:tc>
          <w:tcPr>
            <w:tcW w:w="1000" w:type="dxa"/>
            <w:vAlign w:val="bottom"/>
            <w:shd w:val="clear" w:color="auto" w:fill="004054"/>
          </w:tcPr>
          <w:p>
            <w:pPr>
              <w:spacing w:after="0"/>
              <w:rPr>
                <w:sz w:val="13"/>
                <w:szCs w:val="13"/>
                <w:color w:val="auto"/>
              </w:rPr>
            </w:pPr>
          </w:p>
        </w:tc>
        <w:tc>
          <w:tcPr>
            <w:tcW w:w="990" w:type="dxa"/>
            <w:vAlign w:val="bottom"/>
            <w:shd w:val="clear" w:color="auto" w:fill="004054"/>
          </w:tcPr>
          <w:p>
            <w:pPr>
              <w:spacing w:after="0"/>
              <w:rPr>
                <w:sz w:val="13"/>
                <w:szCs w:val="13"/>
                <w:color w:val="auto"/>
              </w:rPr>
            </w:pPr>
          </w:p>
        </w:tc>
        <w:tc>
          <w:tcPr>
            <w:tcW w:w="890" w:type="dxa"/>
            <w:vAlign w:val="bottom"/>
            <w:shd w:val="clear" w:color="auto" w:fill="004054"/>
          </w:tcPr>
          <w:p>
            <w:pPr>
              <w:spacing w:after="0"/>
              <w:rPr>
                <w:sz w:val="13"/>
                <w:szCs w:val="13"/>
                <w:color w:val="auto"/>
              </w:rPr>
            </w:pPr>
          </w:p>
        </w:tc>
        <w:tc>
          <w:tcPr>
            <w:tcW w:w="1340" w:type="dxa"/>
            <w:vAlign w:val="bottom"/>
            <w:gridSpan w:val="2"/>
            <w:vMerge w:val="continue"/>
            <w:shd w:val="clear" w:color="auto" w:fill="004054"/>
          </w:tcPr>
          <w:p>
            <w:pPr>
              <w:spacing w:after="0"/>
              <w:rPr>
                <w:sz w:val="13"/>
                <w:szCs w:val="13"/>
                <w:color w:val="auto"/>
              </w:rPr>
            </w:pPr>
          </w:p>
        </w:tc>
        <w:tc>
          <w:tcPr>
            <w:tcW w:w="1110" w:type="dxa"/>
            <w:vAlign w:val="bottom"/>
            <w:shd w:val="clear" w:color="auto" w:fill="004054"/>
          </w:tcPr>
          <w:p>
            <w:pPr>
              <w:jc w:val="right"/>
              <w:spacing w:after="0" w:line="159" w:lineRule="exact"/>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78"/>
        </w:trPr>
        <w:tc>
          <w:tcPr>
            <w:tcW w:w="3390" w:type="dxa"/>
            <w:vAlign w:val="bottom"/>
            <w:shd w:val="clear" w:color="auto" w:fill="004054"/>
          </w:tcPr>
          <w:p>
            <w:pPr>
              <w:spacing w:after="0"/>
              <w:rPr>
                <w:sz w:val="15"/>
                <w:szCs w:val="15"/>
                <w:color w:val="auto"/>
              </w:rPr>
            </w:pPr>
          </w:p>
        </w:tc>
        <w:tc>
          <w:tcPr>
            <w:tcW w:w="152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10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87"/>
              </w:rPr>
              <w:t>Plan</w:t>
            </w:r>
          </w:p>
        </w:tc>
        <w:tc>
          <w:tcPr>
            <w:tcW w:w="990" w:type="dxa"/>
            <w:vAlign w:val="bottom"/>
            <w:shd w:val="clear" w:color="auto" w:fill="004054"/>
          </w:tcPr>
          <w:p>
            <w:pPr>
              <w:ind w:left="370"/>
              <w:spacing w:after="0"/>
              <w:rPr>
                <w:sz w:val="20"/>
                <w:szCs w:val="20"/>
                <w:color w:val="auto"/>
              </w:rPr>
            </w:pPr>
            <w:r>
              <w:rPr>
                <w:rFonts w:ascii="Arial" w:cs="Arial" w:eastAsia="Arial" w:hAnsi="Arial"/>
                <w:sz w:val="14"/>
                <w:szCs w:val="14"/>
                <w:b w:val="1"/>
                <w:bCs w:val="1"/>
                <w:color w:val="FFFFFF"/>
              </w:rPr>
              <w:t>Plan</w:t>
            </w:r>
          </w:p>
        </w:tc>
        <w:tc>
          <w:tcPr>
            <w:tcW w:w="8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87"/>
              </w:rPr>
              <w:t>Plan</w:t>
            </w:r>
          </w:p>
        </w:tc>
        <w:tc>
          <w:tcPr>
            <w:tcW w:w="660" w:type="dxa"/>
            <w:vAlign w:val="bottom"/>
            <w:shd w:val="clear" w:color="auto" w:fill="004054"/>
          </w:tcPr>
          <w:p>
            <w:pPr>
              <w:spacing w:after="0"/>
              <w:rPr>
                <w:sz w:val="15"/>
                <w:szCs w:val="15"/>
                <w:color w:val="auto"/>
              </w:rPr>
            </w:pPr>
          </w:p>
        </w:tc>
        <w:tc>
          <w:tcPr>
            <w:tcW w:w="680" w:type="dxa"/>
            <w:vAlign w:val="bottom"/>
            <w:shd w:val="clear" w:color="auto" w:fill="004054"/>
          </w:tcPr>
          <w:p>
            <w:pPr>
              <w:spacing w:after="0"/>
              <w:rPr>
                <w:sz w:val="15"/>
                <w:szCs w:val="15"/>
                <w:color w:val="auto"/>
              </w:rPr>
            </w:pPr>
          </w:p>
        </w:tc>
        <w:tc>
          <w:tcPr>
            <w:tcW w:w="11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securites to</w:t>
            </w:r>
          </w:p>
        </w:tc>
        <w:tc>
          <w:tcPr>
            <w:tcW w:w="0" w:type="dxa"/>
            <w:vAlign w:val="bottom"/>
          </w:tcPr>
          <w:p>
            <w:pPr>
              <w:spacing w:after="0"/>
              <w:rPr>
                <w:sz w:val="1"/>
                <w:szCs w:val="1"/>
                <w:color w:val="auto"/>
              </w:rPr>
            </w:pPr>
          </w:p>
        </w:tc>
      </w:tr>
      <w:tr>
        <w:trPr>
          <w:trHeight w:val="176"/>
        </w:trPr>
        <w:tc>
          <w:tcPr>
            <w:tcW w:w="3390" w:type="dxa"/>
            <w:vAlign w:val="bottom"/>
            <w:shd w:val="clear" w:color="auto" w:fill="004054"/>
          </w:tcPr>
          <w:p>
            <w:pPr>
              <w:spacing w:after="0"/>
              <w:rPr>
                <w:sz w:val="15"/>
                <w:szCs w:val="15"/>
                <w:color w:val="auto"/>
              </w:rPr>
            </w:pPr>
          </w:p>
        </w:tc>
        <w:tc>
          <w:tcPr>
            <w:tcW w:w="1520" w:type="dxa"/>
            <w:vAlign w:val="bottom"/>
            <w:shd w:val="clear" w:color="auto" w:fill="004054"/>
          </w:tcPr>
          <w:p>
            <w:pPr>
              <w:spacing w:after="0"/>
              <w:rPr>
                <w:sz w:val="15"/>
                <w:szCs w:val="15"/>
                <w:color w:val="auto"/>
              </w:rPr>
            </w:pPr>
          </w:p>
        </w:tc>
        <w:tc>
          <w:tcPr>
            <w:tcW w:w="10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2"/>
              </w:rPr>
              <w:t>Date of</w:t>
            </w:r>
          </w:p>
        </w:tc>
        <w:tc>
          <w:tcPr>
            <w:tcW w:w="10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efectve</w:t>
            </w:r>
          </w:p>
        </w:tc>
        <w:tc>
          <w:tcPr>
            <w:tcW w:w="990" w:type="dxa"/>
            <w:vAlign w:val="bottom"/>
            <w:shd w:val="clear" w:color="auto" w:fill="004054"/>
          </w:tcPr>
          <w:p>
            <w:pPr>
              <w:ind w:left="390"/>
              <w:spacing w:after="0"/>
              <w:rPr>
                <w:sz w:val="20"/>
                <w:szCs w:val="20"/>
                <w:color w:val="auto"/>
              </w:rPr>
            </w:pPr>
            <w:r>
              <w:rPr>
                <w:rFonts w:ascii="Arial" w:cs="Arial" w:eastAsia="Arial" w:hAnsi="Arial"/>
                <w:sz w:val="14"/>
                <w:szCs w:val="14"/>
                <w:b w:val="1"/>
                <w:bCs w:val="1"/>
                <w:color w:val="FFFFFF"/>
              </w:rPr>
              <w:t>end</w:t>
            </w:r>
          </w:p>
        </w:tc>
        <w:tc>
          <w:tcPr>
            <w:tcW w:w="8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9"/>
              </w:rPr>
              <w:t>duraton</w:t>
            </w:r>
          </w:p>
        </w:tc>
        <w:tc>
          <w:tcPr>
            <w:tcW w:w="6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2"/>
              </w:rPr>
              <w:t>Rule</w:t>
            </w:r>
          </w:p>
        </w:tc>
        <w:tc>
          <w:tcPr>
            <w:tcW w:w="6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86"/>
              </w:rPr>
              <w:t>Non-Rule</w:t>
            </w:r>
          </w:p>
        </w:tc>
        <w:tc>
          <w:tcPr>
            <w:tcW w:w="11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sold</w:t>
            </w:r>
          </w:p>
        </w:tc>
        <w:tc>
          <w:tcPr>
            <w:tcW w:w="0" w:type="dxa"/>
            <w:vAlign w:val="bottom"/>
          </w:tcPr>
          <w:p>
            <w:pPr>
              <w:spacing w:after="0"/>
              <w:rPr>
                <w:sz w:val="1"/>
                <w:szCs w:val="1"/>
                <w:color w:val="auto"/>
              </w:rPr>
            </w:pPr>
          </w:p>
        </w:tc>
      </w:tr>
      <w:tr>
        <w:trPr>
          <w:trHeight w:val="184"/>
        </w:trPr>
        <w:tc>
          <w:tcPr>
            <w:tcW w:w="339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Name and Title</w:t>
            </w:r>
          </w:p>
        </w:tc>
        <w:tc>
          <w:tcPr>
            <w:tcW w:w="1520" w:type="dxa"/>
            <w:vAlign w:val="bottom"/>
            <w:shd w:val="clear" w:color="auto" w:fill="004054"/>
          </w:tcPr>
          <w:p>
            <w:pPr>
              <w:ind w:left="570"/>
              <w:spacing w:after="0"/>
              <w:rPr>
                <w:sz w:val="20"/>
                <w:szCs w:val="20"/>
                <w:color w:val="auto"/>
              </w:rPr>
            </w:pPr>
            <w:r>
              <w:rPr>
                <w:rFonts w:ascii="Arial" w:cs="Arial" w:eastAsia="Arial" w:hAnsi="Arial"/>
                <w:sz w:val="14"/>
                <w:szCs w:val="14"/>
                <w:b w:val="1"/>
                <w:bCs w:val="1"/>
                <w:color w:val="FFFFFF"/>
              </w:rPr>
              <w:t>Acton</w:t>
            </w:r>
          </w:p>
        </w:tc>
        <w:tc>
          <w:tcPr>
            <w:tcW w:w="10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7"/>
              </w:rPr>
              <w:t>Adopton</w:t>
            </w:r>
          </w:p>
        </w:tc>
        <w:tc>
          <w:tcPr>
            <w:tcW w:w="10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0"/>
              </w:rPr>
              <w:t>date</w:t>
            </w:r>
          </w:p>
        </w:tc>
        <w:tc>
          <w:tcPr>
            <w:tcW w:w="990" w:type="dxa"/>
            <w:vAlign w:val="bottom"/>
            <w:shd w:val="clear" w:color="auto" w:fill="004054"/>
          </w:tcPr>
          <w:p>
            <w:pPr>
              <w:ind w:left="370"/>
              <w:spacing w:after="0"/>
              <w:rPr>
                <w:sz w:val="20"/>
                <w:szCs w:val="20"/>
                <w:color w:val="auto"/>
              </w:rPr>
            </w:pPr>
            <w:r>
              <w:rPr>
                <w:rFonts w:ascii="Arial" w:cs="Arial" w:eastAsia="Arial" w:hAnsi="Arial"/>
                <w:sz w:val="14"/>
                <w:szCs w:val="14"/>
                <w:b w:val="1"/>
                <w:bCs w:val="1"/>
                <w:color w:val="FFFFFF"/>
              </w:rPr>
              <w:t>date</w:t>
            </w:r>
          </w:p>
        </w:tc>
        <w:tc>
          <w:tcPr>
            <w:tcW w:w="8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0"/>
              </w:rPr>
              <w:t>(months)</w:t>
            </w:r>
          </w:p>
        </w:tc>
        <w:tc>
          <w:tcPr>
            <w:tcW w:w="6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0"/>
              </w:rPr>
              <w:t>10b5-1</w:t>
            </w:r>
          </w:p>
        </w:tc>
        <w:tc>
          <w:tcPr>
            <w:tcW w:w="68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4"/>
              </w:rPr>
              <w:t>10b5-1</w:t>
            </w:r>
          </w:p>
        </w:tc>
        <w:tc>
          <w:tcPr>
            <w:tcW w:w="11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plan</w:t>
            </w:r>
          </w:p>
        </w:tc>
        <w:tc>
          <w:tcPr>
            <w:tcW w:w="0" w:type="dxa"/>
            <w:vAlign w:val="bottom"/>
          </w:tcPr>
          <w:p>
            <w:pPr>
              <w:spacing w:after="0"/>
              <w:rPr>
                <w:sz w:val="1"/>
                <w:szCs w:val="1"/>
                <w:color w:val="auto"/>
              </w:rPr>
            </w:pPr>
          </w:p>
        </w:tc>
      </w:tr>
      <w:tr>
        <w:trPr>
          <w:trHeight w:val="70"/>
        </w:trPr>
        <w:tc>
          <w:tcPr>
            <w:tcW w:w="339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990" w:type="dxa"/>
            <w:vAlign w:val="bottom"/>
            <w:shd w:val="clear" w:color="auto" w:fill="004054"/>
          </w:tcPr>
          <w:p>
            <w:pPr>
              <w:spacing w:after="0"/>
              <w:rPr>
                <w:sz w:val="6"/>
                <w:szCs w:val="6"/>
                <w:color w:val="auto"/>
              </w:rPr>
            </w:pPr>
          </w:p>
        </w:tc>
        <w:tc>
          <w:tcPr>
            <w:tcW w:w="890" w:type="dxa"/>
            <w:vAlign w:val="bottom"/>
            <w:shd w:val="clear" w:color="auto" w:fill="004054"/>
          </w:tcPr>
          <w:p>
            <w:pPr>
              <w:spacing w:after="0"/>
              <w:rPr>
                <w:sz w:val="6"/>
                <w:szCs w:val="6"/>
                <w:color w:val="auto"/>
              </w:rPr>
            </w:pPr>
          </w:p>
        </w:tc>
        <w:tc>
          <w:tcPr>
            <w:tcW w:w="66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111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23430" cy="3600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23430" cy="36004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-385445</wp:posOffset>
            </wp:positionV>
            <wp:extent cx="8401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120" w:type="dxa"/>
            <w:vAlign w:val="bottom"/>
          </w:tcPr>
          <w:p>
            <w:pPr>
              <w:spacing w:after="0"/>
              <w:rPr>
                <w:sz w:val="20"/>
                <w:szCs w:val="20"/>
                <w:color w:val="auto"/>
              </w:rPr>
            </w:pPr>
            <w:r>
              <w:rPr>
                <w:rFonts w:ascii="Arial" w:cs="Arial" w:eastAsia="Arial" w:hAnsi="Arial"/>
                <w:sz w:val="18"/>
                <w:szCs w:val="18"/>
                <w:b w:val="1"/>
                <w:bCs w:val="1"/>
                <w:color w:val="51555C"/>
              </w:rPr>
              <w:t>Jon W. Olson</w:t>
            </w:r>
          </w:p>
        </w:tc>
        <w:tc>
          <w:tcPr>
            <w:tcW w:w="1640" w:type="dxa"/>
            <w:vAlign w:val="bottom"/>
            <w:vMerge w:val="restart"/>
          </w:tcPr>
          <w:p>
            <w:pPr>
              <w:ind w:left="660"/>
              <w:spacing w:after="0"/>
              <w:rPr>
                <w:sz w:val="20"/>
                <w:szCs w:val="20"/>
                <w:color w:val="auto"/>
              </w:rPr>
            </w:pPr>
            <w:r>
              <w:rPr>
                <w:rFonts w:ascii="Arial" w:cs="Arial" w:eastAsia="Arial" w:hAnsi="Arial"/>
                <w:sz w:val="18"/>
                <w:szCs w:val="18"/>
                <w:color w:val="51555C"/>
              </w:rPr>
              <w:t>Adopton</w:t>
            </w: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51555C"/>
              </w:rPr>
              <w:t>5/08/23</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color w:val="51555C"/>
              </w:rPr>
              <w:t>8/15/23</w:t>
            </w: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color w:val="51555C"/>
              </w:rPr>
              <w:t>2/23/24</w:t>
            </w:r>
          </w:p>
        </w:tc>
        <w:tc>
          <w:tcPr>
            <w:tcW w:w="780" w:type="dxa"/>
            <w:vAlign w:val="bottom"/>
            <w:vMerge w:val="restart"/>
          </w:tcPr>
          <w:p>
            <w:pPr>
              <w:ind w:left="260"/>
              <w:spacing w:after="0"/>
              <w:rPr>
                <w:sz w:val="20"/>
                <w:szCs w:val="20"/>
                <w:color w:val="auto"/>
              </w:rPr>
            </w:pPr>
            <w:r>
              <w:rPr>
                <w:rFonts w:ascii="Arial" w:cs="Arial" w:eastAsia="Arial" w:hAnsi="Arial"/>
                <w:sz w:val="18"/>
                <w:szCs w:val="18"/>
                <w:color w:val="51555C"/>
              </w:rPr>
              <w:t>Six</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51555C"/>
              </w:rPr>
              <w:t>X</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51555C"/>
              </w:rPr>
              <w:t>7,000</w:t>
            </w:r>
          </w:p>
        </w:tc>
        <w:tc>
          <w:tcPr>
            <w:tcW w:w="0" w:type="dxa"/>
            <w:vAlign w:val="bottom"/>
          </w:tcPr>
          <w:p>
            <w:pPr>
              <w:spacing w:after="0"/>
              <w:rPr>
                <w:sz w:val="1"/>
                <w:szCs w:val="1"/>
                <w:color w:val="auto"/>
              </w:rPr>
            </w:pPr>
          </w:p>
        </w:tc>
      </w:tr>
      <w:tr>
        <w:trPr>
          <w:trHeight w:val="79"/>
        </w:trPr>
        <w:tc>
          <w:tcPr>
            <w:tcW w:w="3120" w:type="dxa"/>
            <w:vAlign w:val="bottom"/>
            <w:vMerge w:val="restart"/>
          </w:tcPr>
          <w:p>
            <w:pPr>
              <w:spacing w:after="0"/>
              <w:rPr>
                <w:sz w:val="20"/>
                <w:szCs w:val="20"/>
                <w:color w:val="auto"/>
              </w:rPr>
            </w:pPr>
            <w:r>
              <w:rPr>
                <w:rFonts w:ascii="Arial" w:cs="Arial" w:eastAsia="Arial" w:hAnsi="Arial"/>
                <w:sz w:val="14"/>
                <w:szCs w:val="14"/>
                <w:color w:val="51555C"/>
              </w:rPr>
              <w:t>Senior Vice President and General Counsel</w:t>
            </w:r>
          </w:p>
        </w:tc>
        <w:tc>
          <w:tcPr>
            <w:tcW w:w="1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31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3120" w:type="dxa"/>
            <w:vAlign w:val="bottom"/>
          </w:tcPr>
          <w:p>
            <w:pPr>
              <w:spacing w:after="0"/>
              <w:rPr>
                <w:sz w:val="20"/>
                <w:szCs w:val="20"/>
                <w:color w:val="auto"/>
              </w:rPr>
            </w:pPr>
            <w:r>
              <w:rPr>
                <w:rFonts w:ascii="Arial" w:cs="Arial" w:eastAsia="Arial" w:hAnsi="Arial"/>
                <w:sz w:val="18"/>
                <w:szCs w:val="18"/>
                <w:b w:val="1"/>
                <w:bCs w:val="1"/>
                <w:color w:val="51555C"/>
              </w:rPr>
              <w:t>David J. Benjamin</w:t>
            </w:r>
          </w:p>
        </w:tc>
        <w:tc>
          <w:tcPr>
            <w:tcW w:w="1640" w:type="dxa"/>
            <w:vAlign w:val="bottom"/>
            <w:vMerge w:val="restart"/>
          </w:tcPr>
          <w:p>
            <w:pPr>
              <w:ind w:left="660"/>
              <w:spacing w:after="0"/>
              <w:rPr>
                <w:sz w:val="20"/>
                <w:szCs w:val="20"/>
                <w:color w:val="auto"/>
              </w:rPr>
            </w:pPr>
            <w:r>
              <w:rPr>
                <w:rFonts w:ascii="Arial" w:cs="Arial" w:eastAsia="Arial" w:hAnsi="Arial"/>
                <w:sz w:val="18"/>
                <w:szCs w:val="18"/>
                <w:color w:val="51555C"/>
              </w:rPr>
              <w:t>Adopton</w:t>
            </w: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51555C"/>
              </w:rPr>
              <w:t>5/23/23</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color w:val="51555C"/>
              </w:rPr>
              <w:t>8/21/23</w:t>
            </w: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color w:val="51555C"/>
              </w:rPr>
              <w:t>2/23/24</w:t>
            </w:r>
          </w:p>
        </w:tc>
        <w:tc>
          <w:tcPr>
            <w:tcW w:w="780" w:type="dxa"/>
            <w:vAlign w:val="bottom"/>
            <w:vMerge w:val="restart"/>
          </w:tcPr>
          <w:p>
            <w:pPr>
              <w:ind w:left="260"/>
              <w:spacing w:after="0"/>
              <w:rPr>
                <w:sz w:val="20"/>
                <w:szCs w:val="20"/>
                <w:color w:val="auto"/>
              </w:rPr>
            </w:pPr>
            <w:r>
              <w:rPr>
                <w:rFonts w:ascii="Arial" w:cs="Arial" w:eastAsia="Arial" w:hAnsi="Arial"/>
                <w:sz w:val="18"/>
                <w:szCs w:val="18"/>
                <w:color w:val="51555C"/>
              </w:rPr>
              <w:t>Six</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51555C"/>
              </w:rPr>
              <w:t>X</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51555C"/>
              </w:rPr>
              <w:t>20,000</w:t>
            </w: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40"/>
        <w:spacing w:after="0" w:line="214" w:lineRule="auto"/>
        <w:rPr>
          <w:sz w:val="20"/>
          <w:szCs w:val="20"/>
          <w:color w:val="auto"/>
        </w:rPr>
      </w:pPr>
      <w:r>
        <w:rPr>
          <w:rFonts w:ascii="Arial" w:cs="Arial" w:eastAsia="Arial" w:hAnsi="Arial"/>
          <w:sz w:val="14"/>
          <w:szCs w:val="14"/>
          <w:color w:val="51555C"/>
        </w:rPr>
        <w:t>Executve Vice President and Chief Commercial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234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95" w:lineRule="exact"/>
        <w:rPr>
          <w:sz w:val="20"/>
          <w:szCs w:val="20"/>
          <w:color w:val="auto"/>
        </w:rPr>
      </w:pPr>
    </w:p>
    <w:p>
      <w:pPr>
        <w:jc w:val="both"/>
        <w:ind w:left="340" w:hanging="332"/>
        <w:spacing w:after="0" w:line="287" w:lineRule="auto"/>
        <w:tabs>
          <w:tab w:leader="none" w:pos="340" w:val="left"/>
        </w:tabs>
        <w:numPr>
          <w:ilvl w:val="0"/>
          <w:numId w:val="47"/>
        </w:numPr>
        <w:rPr>
          <w:rFonts w:ascii="Arial" w:cs="Arial" w:eastAsia="Arial" w:hAnsi="Arial"/>
          <w:sz w:val="13"/>
          <w:szCs w:val="13"/>
          <w:color w:val="51555C"/>
        </w:rPr>
      </w:pPr>
      <w:r>
        <w:rPr>
          <w:rFonts w:ascii="Arial" w:cs="Arial" w:eastAsia="Arial" w:hAnsi="Arial"/>
          <w:sz w:val="13"/>
          <w:szCs w:val="13"/>
          <w:color w:val="51555C"/>
        </w:rPr>
        <w:t>An SEC "Rule 10b5-1(c) trading arrangement" is a trading arrangement made by a person through entering into a binding contract, verbal instructon or adopton of a writen plan prior to becoming aware of material non-public informaton. The contract, instructon or writen plan must specify the amount, price and date of securites to be sold; include the means for determining the amount, price and date of the sale or sales; and not permit the person to have subsequent infuence over the sale or sales. The compliant plan must be entered into and operated in good faith, include a specifed cooling of period, be certfed by an authorized ofcer and is restricted from having multple or overlapping plans. A non-compliant trading arrangement, or a "non-Rule 10b5-1 trading arrangement," is a trading arrangement that has similar requirements to a Rule 10b5-1(c) trading arrangement except that it must be in writen form and does not require a cooling of period or certfcaton of an authorized ofcer and there is no restricton from having multple or overlapping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51555C"/>
        </w:rPr>
        <w:t>None of our ofcers or directors adopted or terminated a non-Rule 10b5-1 trading arrangement during the three months ended June 30, 2023.</w:t>
      </w:r>
    </w:p>
    <w:p>
      <w:pPr>
        <w:spacing w:after="0" w:line="376" w:lineRule="exact"/>
        <w:rPr>
          <w:sz w:val="20"/>
          <w:szCs w:val="20"/>
          <w:color w:val="auto"/>
        </w:rPr>
      </w:pPr>
    </w:p>
    <w:p>
      <w:pPr>
        <w:ind w:left="20"/>
        <w:spacing w:after="0"/>
        <w:tabs>
          <w:tab w:leader="none" w:pos="501" w:val="left"/>
        </w:tabs>
        <w:rPr>
          <w:sz w:val="20"/>
          <w:szCs w:val="20"/>
          <w:color w:val="auto"/>
        </w:rPr>
      </w:pPr>
      <w:r>
        <w:rPr>
          <w:rFonts w:ascii="Arial" w:cs="Arial" w:eastAsia="Arial" w:hAnsi="Arial"/>
          <w:sz w:val="14"/>
          <w:szCs w:val="14"/>
          <w:color w:val="51555C"/>
        </w:rPr>
        <w:t>52</w:t>
      </w:r>
      <w:r>
        <w:rPr>
          <w:sz w:val="20"/>
          <w:szCs w:val="20"/>
          <w:color w:val="auto"/>
        </w:rPr>
        <w:tab/>
      </w:r>
      <w:r>
        <w:rPr>
          <w:sz w:val="1"/>
          <w:szCs w:val="1"/>
          <w:color w:val="auto"/>
        </w:rPr>
        <w:drawing>
          <wp:inline distT="0" distB="0" distL="0" distR="0">
            <wp:extent cx="651510" cy="1714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Second Quarter 2023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6. EXHIBITS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51555C"/>
        </w:rPr>
        <w:t>The exhibits listed below are fled or incorporated by reference as part of this Quarterly Report on Form 10-Q:</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004054"/>
          </w:tcPr>
          <w:p>
            <w:pPr>
              <w:spacing w:after="0"/>
              <w:rPr>
                <w:sz w:val="17"/>
                <w:szCs w:val="17"/>
                <w:color w:val="auto"/>
              </w:rPr>
            </w:pPr>
          </w:p>
        </w:tc>
        <w:tc>
          <w:tcPr>
            <w:tcW w:w="76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300" w:type="dxa"/>
            <w:vAlign w:val="bottom"/>
            <w:shd w:val="clear" w:color="auto" w:fill="004054"/>
          </w:tcPr>
          <w:p>
            <w:pPr>
              <w:spacing w:after="0"/>
              <w:rPr>
                <w:sz w:val="17"/>
                <w:szCs w:val="17"/>
                <w:color w:val="auto"/>
              </w:rPr>
            </w:pPr>
          </w:p>
        </w:tc>
        <w:tc>
          <w:tcPr>
            <w:tcW w:w="1040" w:type="dxa"/>
            <w:vAlign w:val="bottom"/>
            <w:shd w:val="clear" w:color="auto" w:fill="004054"/>
          </w:tcPr>
          <w:p>
            <w:pPr>
              <w:spacing w:after="0"/>
              <w:rPr>
                <w:sz w:val="17"/>
                <w:szCs w:val="17"/>
                <w:color w:val="auto"/>
              </w:rPr>
            </w:pPr>
          </w:p>
        </w:tc>
        <w:tc>
          <w:tcPr>
            <w:tcW w:w="2660" w:type="dxa"/>
            <w:vAlign w:val="bottom"/>
            <w:shd w:val="clear" w:color="auto" w:fill="004054"/>
          </w:tcPr>
          <w:p>
            <w:pPr>
              <w:spacing w:after="0"/>
              <w:rPr>
                <w:sz w:val="17"/>
                <w:szCs w:val="17"/>
                <w:color w:val="auto"/>
              </w:rPr>
            </w:pPr>
          </w:p>
        </w:tc>
        <w:tc>
          <w:tcPr>
            <w:tcW w:w="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40" w:type="dxa"/>
            <w:vAlign w:val="bottom"/>
            <w:shd w:val="clear" w:color="auto" w:fill="004054"/>
          </w:tcPr>
          <w:p>
            <w:pPr>
              <w:spacing w:after="0"/>
              <w:rPr>
                <w:sz w:val="17"/>
                <w:szCs w:val="17"/>
                <w:color w:val="auto"/>
              </w:rPr>
            </w:pPr>
          </w:p>
        </w:tc>
        <w:tc>
          <w:tcPr>
            <w:tcW w:w="30" w:type="dxa"/>
            <w:vAlign w:val="bottom"/>
            <w:shd w:val="clear" w:color="auto" w:fill="004054"/>
          </w:tcPr>
          <w:p>
            <w:pPr>
              <w:spacing w:after="0"/>
              <w:rPr>
                <w:sz w:val="17"/>
                <w:szCs w:val="17"/>
                <w:color w:val="auto"/>
              </w:rPr>
            </w:pPr>
          </w:p>
        </w:tc>
        <w:tc>
          <w:tcPr>
            <w:tcW w:w="1210" w:type="dxa"/>
            <w:vAlign w:val="bottom"/>
            <w:shd w:val="clear" w:color="auto" w:fill="004054"/>
          </w:tcPr>
          <w:p>
            <w:pPr>
              <w:spacing w:after="0"/>
              <w:rPr>
                <w:sz w:val="17"/>
                <w:szCs w:val="17"/>
                <w:color w:val="auto"/>
              </w:rPr>
            </w:pPr>
          </w:p>
        </w:tc>
        <w:tc>
          <w:tcPr>
            <w:tcW w:w="970" w:type="dxa"/>
            <w:vAlign w:val="bottom"/>
            <w:shd w:val="clear" w:color="auto" w:fill="004054"/>
          </w:tcPr>
          <w:p>
            <w:pPr>
              <w:spacing w:after="0"/>
              <w:rPr>
                <w:sz w:val="17"/>
                <w:szCs w:val="17"/>
                <w:color w:val="auto"/>
              </w:rPr>
            </w:pPr>
          </w:p>
        </w:tc>
        <w:tc>
          <w:tcPr>
            <w:tcW w:w="1220" w:type="dxa"/>
            <w:vAlign w:val="bottom"/>
            <w:gridSpan w:val="2"/>
            <w:shd w:val="clear" w:color="auto" w:fill="004054"/>
          </w:tcPr>
          <w:p>
            <w:pPr>
              <w:ind w:left="30"/>
              <w:spacing w:after="0"/>
              <w:rPr>
                <w:sz w:val="20"/>
                <w:szCs w:val="20"/>
                <w:color w:val="auto"/>
              </w:rPr>
            </w:pPr>
            <w:r>
              <w:rPr>
                <w:rFonts w:ascii="Arial" w:cs="Arial" w:eastAsia="Arial" w:hAnsi="Arial"/>
                <w:sz w:val="14"/>
                <w:szCs w:val="14"/>
                <w:b w:val="1"/>
                <w:bCs w:val="1"/>
                <w:color w:val="FFFFFF"/>
              </w:rPr>
              <w:t>Filed In</w:t>
            </w:r>
          </w:p>
        </w:tc>
        <w:tc>
          <w:tcPr>
            <w:tcW w:w="110" w:type="dxa"/>
            <w:vAlign w:val="bottom"/>
            <w:shd w:val="clear" w:color="auto" w:fill="004054"/>
          </w:tcPr>
          <w:p>
            <w:pPr>
              <w:spacing w:after="0"/>
              <w:rPr>
                <w:sz w:val="17"/>
                <w:szCs w:val="17"/>
                <w:color w:val="auto"/>
              </w:rPr>
            </w:pPr>
          </w:p>
        </w:tc>
        <w:tc>
          <w:tcPr>
            <w:tcW w:w="126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004054"/>
          </w:tcPr>
          <w:p>
            <w:pPr>
              <w:spacing w:after="0"/>
              <w:rPr>
                <w:sz w:val="17"/>
                <w:szCs w:val="17"/>
                <w:color w:val="auto"/>
              </w:rPr>
            </w:pPr>
          </w:p>
        </w:tc>
        <w:tc>
          <w:tcPr>
            <w:tcW w:w="1220" w:type="dxa"/>
            <w:vAlign w:val="bottom"/>
            <w:gridSpan w:val="3"/>
            <w:shd w:val="clear" w:color="auto" w:fill="004054"/>
          </w:tcPr>
          <w:p>
            <w:pPr>
              <w:jc w:val="right"/>
              <w:ind w:right="140"/>
              <w:spacing w:after="0"/>
              <w:rPr>
                <w:sz w:val="20"/>
                <w:szCs w:val="20"/>
                <w:color w:val="auto"/>
              </w:rPr>
            </w:pPr>
            <w:r>
              <w:rPr>
                <w:rFonts w:ascii="Arial" w:cs="Arial" w:eastAsia="Arial" w:hAnsi="Arial"/>
                <w:sz w:val="14"/>
                <w:szCs w:val="14"/>
                <w:b w:val="1"/>
                <w:bCs w:val="1"/>
                <w:color w:val="FFFFFF"/>
              </w:rPr>
              <w:t>Exhibit</w:t>
            </w:r>
          </w:p>
        </w:tc>
        <w:tc>
          <w:tcPr>
            <w:tcW w:w="1300" w:type="dxa"/>
            <w:vAlign w:val="bottom"/>
            <w:shd w:val="clear" w:color="auto" w:fill="004054"/>
          </w:tcPr>
          <w:p>
            <w:pPr>
              <w:spacing w:after="0"/>
              <w:rPr>
                <w:sz w:val="17"/>
                <w:szCs w:val="17"/>
                <w:color w:val="auto"/>
              </w:rPr>
            </w:pPr>
          </w:p>
        </w:tc>
        <w:tc>
          <w:tcPr>
            <w:tcW w:w="1040" w:type="dxa"/>
            <w:vAlign w:val="bottom"/>
            <w:shd w:val="clear" w:color="auto" w:fill="004054"/>
          </w:tcPr>
          <w:p>
            <w:pPr>
              <w:spacing w:after="0"/>
              <w:rPr>
                <w:sz w:val="17"/>
                <w:szCs w:val="17"/>
                <w:color w:val="auto"/>
              </w:rPr>
            </w:pPr>
          </w:p>
        </w:tc>
        <w:tc>
          <w:tcPr>
            <w:tcW w:w="2660" w:type="dxa"/>
            <w:vAlign w:val="bottom"/>
            <w:shd w:val="clear" w:color="auto" w:fill="004054"/>
          </w:tcPr>
          <w:p>
            <w:pPr>
              <w:spacing w:after="0"/>
              <w:rPr>
                <w:sz w:val="17"/>
                <w:szCs w:val="17"/>
                <w:color w:val="auto"/>
              </w:rPr>
            </w:pPr>
          </w:p>
        </w:tc>
        <w:tc>
          <w:tcPr>
            <w:tcW w:w="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40" w:type="dxa"/>
            <w:vAlign w:val="bottom"/>
            <w:shd w:val="clear" w:color="auto" w:fill="004054"/>
          </w:tcPr>
          <w:p>
            <w:pPr>
              <w:spacing w:after="0"/>
              <w:rPr>
                <w:sz w:val="17"/>
                <w:szCs w:val="17"/>
                <w:color w:val="auto"/>
              </w:rPr>
            </w:pPr>
          </w:p>
        </w:tc>
        <w:tc>
          <w:tcPr>
            <w:tcW w:w="30" w:type="dxa"/>
            <w:vAlign w:val="bottom"/>
            <w:shd w:val="clear" w:color="auto" w:fill="004054"/>
          </w:tcPr>
          <w:p>
            <w:pPr>
              <w:spacing w:after="0"/>
              <w:rPr>
                <w:sz w:val="17"/>
                <w:szCs w:val="17"/>
                <w:color w:val="auto"/>
              </w:rPr>
            </w:pPr>
          </w:p>
        </w:tc>
        <w:tc>
          <w:tcPr>
            <w:tcW w:w="1210" w:type="dxa"/>
            <w:vAlign w:val="bottom"/>
            <w:shd w:val="clear" w:color="auto" w:fill="004054"/>
          </w:tcPr>
          <w:p>
            <w:pPr>
              <w:spacing w:after="0"/>
              <w:rPr>
                <w:sz w:val="17"/>
                <w:szCs w:val="17"/>
                <w:color w:val="auto"/>
              </w:rPr>
            </w:pPr>
          </w:p>
        </w:tc>
        <w:tc>
          <w:tcPr>
            <w:tcW w:w="970" w:type="dxa"/>
            <w:vAlign w:val="bottom"/>
            <w:shd w:val="clear" w:color="auto" w:fill="004054"/>
          </w:tcPr>
          <w:p>
            <w:pPr>
              <w:spacing w:after="0"/>
              <w:rPr>
                <w:sz w:val="17"/>
                <w:szCs w:val="17"/>
                <w:color w:val="auto"/>
              </w:rPr>
            </w:pPr>
          </w:p>
        </w:tc>
        <w:tc>
          <w:tcPr>
            <w:tcW w:w="130" w:type="dxa"/>
            <w:vAlign w:val="bottom"/>
            <w:shd w:val="clear" w:color="auto" w:fill="004054"/>
          </w:tcPr>
          <w:p>
            <w:pPr>
              <w:spacing w:after="0"/>
              <w:rPr>
                <w:sz w:val="17"/>
                <w:szCs w:val="17"/>
                <w:color w:val="auto"/>
              </w:rPr>
            </w:pPr>
          </w:p>
        </w:tc>
        <w:tc>
          <w:tcPr>
            <w:tcW w:w="1090" w:type="dxa"/>
            <w:vAlign w:val="bottom"/>
            <w:shd w:val="clear" w:color="auto" w:fill="004054"/>
          </w:tcPr>
          <w:p>
            <w:pPr>
              <w:spacing w:after="0"/>
              <w:rPr>
                <w:sz w:val="17"/>
                <w:szCs w:val="17"/>
                <w:color w:val="auto"/>
              </w:rPr>
            </w:pPr>
          </w:p>
        </w:tc>
        <w:tc>
          <w:tcPr>
            <w:tcW w:w="110" w:type="dxa"/>
            <w:vAlign w:val="bottom"/>
            <w:shd w:val="clear" w:color="auto" w:fill="004054"/>
          </w:tcPr>
          <w:p>
            <w:pPr>
              <w:spacing w:after="0"/>
              <w:rPr>
                <w:sz w:val="17"/>
                <w:szCs w:val="17"/>
                <w:color w:val="auto"/>
              </w:rPr>
            </w:pPr>
          </w:p>
        </w:tc>
        <w:tc>
          <w:tcPr>
            <w:tcW w:w="126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004054"/>
          </w:tcPr>
          <w:p>
            <w:pPr>
              <w:spacing w:after="0"/>
              <w:rPr>
                <w:sz w:val="15"/>
                <w:szCs w:val="15"/>
                <w:color w:val="auto"/>
              </w:rPr>
            </w:pPr>
          </w:p>
        </w:tc>
        <w:tc>
          <w:tcPr>
            <w:tcW w:w="1220" w:type="dxa"/>
            <w:vAlign w:val="bottom"/>
            <w:gridSpan w:val="3"/>
            <w:shd w:val="clear" w:color="auto" w:fill="004054"/>
          </w:tcPr>
          <w:p>
            <w:pPr>
              <w:jc w:val="right"/>
              <w:ind w:right="140"/>
              <w:spacing w:after="0"/>
              <w:rPr>
                <w:sz w:val="20"/>
                <w:szCs w:val="20"/>
                <w:color w:val="auto"/>
              </w:rPr>
            </w:pPr>
            <w:r>
              <w:rPr>
                <w:rFonts w:ascii="Arial" w:cs="Arial" w:eastAsia="Arial" w:hAnsi="Arial"/>
                <w:sz w:val="14"/>
                <w:szCs w:val="14"/>
                <w:b w:val="1"/>
                <w:bCs w:val="1"/>
                <w:color w:val="FFFFFF"/>
              </w:rPr>
              <w:t>Number</w:t>
            </w:r>
          </w:p>
        </w:tc>
        <w:tc>
          <w:tcPr>
            <w:tcW w:w="1300" w:type="dxa"/>
            <w:vAlign w:val="bottom"/>
            <w:shd w:val="clear" w:color="auto" w:fill="004054"/>
          </w:tcPr>
          <w:p>
            <w:pPr>
              <w:spacing w:after="0"/>
              <w:rPr>
                <w:sz w:val="15"/>
                <w:szCs w:val="15"/>
                <w:color w:val="auto"/>
              </w:rPr>
            </w:pPr>
          </w:p>
        </w:tc>
        <w:tc>
          <w:tcPr>
            <w:tcW w:w="3930" w:type="dxa"/>
            <w:vAlign w:val="bottom"/>
            <w:gridSpan w:val="6"/>
            <w:shd w:val="clear" w:color="auto" w:fill="004054"/>
          </w:tcPr>
          <w:p>
            <w:pPr>
              <w:ind w:left="560"/>
              <w:spacing w:after="0"/>
              <w:rPr>
                <w:sz w:val="20"/>
                <w:szCs w:val="20"/>
                <w:color w:val="auto"/>
              </w:rPr>
            </w:pPr>
            <w:r>
              <w:rPr>
                <w:rFonts w:ascii="Arial" w:cs="Arial" w:eastAsia="Arial" w:hAnsi="Arial"/>
                <w:sz w:val="14"/>
                <w:szCs w:val="14"/>
                <w:b w:val="1"/>
                <w:bCs w:val="1"/>
                <w:color w:val="FFFFFF"/>
              </w:rPr>
              <w:t>Descripton of Document</w:t>
            </w:r>
          </w:p>
        </w:tc>
        <w:tc>
          <w:tcPr>
            <w:tcW w:w="12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89"/>
              </w:rPr>
              <w:t>Filed Herewith</w:t>
            </w:r>
          </w:p>
        </w:tc>
        <w:tc>
          <w:tcPr>
            <w:tcW w:w="97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91"/>
              </w:rPr>
              <w:t>Form</w:t>
            </w:r>
          </w:p>
        </w:tc>
        <w:tc>
          <w:tcPr>
            <w:tcW w:w="130" w:type="dxa"/>
            <w:vAlign w:val="bottom"/>
            <w:shd w:val="clear" w:color="auto" w:fill="004054"/>
          </w:tcPr>
          <w:p>
            <w:pPr>
              <w:spacing w:after="0"/>
              <w:rPr>
                <w:sz w:val="15"/>
                <w:szCs w:val="15"/>
                <w:color w:val="auto"/>
              </w:rPr>
            </w:pPr>
          </w:p>
        </w:tc>
        <w:tc>
          <w:tcPr>
            <w:tcW w:w="109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88"/>
              </w:rPr>
              <w:t>Exhibit Number</w:t>
            </w:r>
          </w:p>
        </w:tc>
        <w:tc>
          <w:tcPr>
            <w:tcW w:w="110" w:type="dxa"/>
            <w:vAlign w:val="bottom"/>
            <w:shd w:val="clear" w:color="auto" w:fill="004054"/>
          </w:tcPr>
          <w:p>
            <w:pPr>
              <w:spacing w:after="0"/>
              <w:rPr>
                <w:sz w:val="15"/>
                <w:szCs w:val="15"/>
                <w:color w:val="auto"/>
              </w:rPr>
            </w:pPr>
          </w:p>
        </w:tc>
        <w:tc>
          <w:tcPr>
            <w:tcW w:w="126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w w:val="86"/>
              </w:rPr>
              <w:t>Filing Date</w:t>
            </w:r>
          </w:p>
        </w:tc>
        <w:tc>
          <w:tcPr>
            <w:tcW w:w="0" w:type="dxa"/>
            <w:vAlign w:val="bottom"/>
          </w:tcPr>
          <w:p>
            <w:pPr>
              <w:spacing w:after="0"/>
              <w:rPr>
                <w:sz w:val="1"/>
                <w:szCs w:val="1"/>
                <w:color w:val="auto"/>
              </w:rPr>
            </w:pPr>
          </w:p>
        </w:tc>
      </w:tr>
      <w:tr>
        <w:trPr>
          <w:trHeight w:val="70"/>
        </w:trPr>
        <w:tc>
          <w:tcPr>
            <w:tcW w:w="20" w:type="dxa"/>
            <w:vAlign w:val="bottom"/>
            <w:shd w:val="clear" w:color="auto" w:fill="004054"/>
          </w:tcPr>
          <w:p>
            <w:pPr>
              <w:spacing w:after="0"/>
              <w:rPr>
                <w:sz w:val="6"/>
                <w:szCs w:val="6"/>
                <w:color w:val="auto"/>
              </w:rPr>
            </w:pPr>
          </w:p>
        </w:tc>
        <w:tc>
          <w:tcPr>
            <w:tcW w:w="760" w:type="dxa"/>
            <w:vAlign w:val="bottom"/>
            <w:shd w:val="clear" w:color="auto" w:fill="004054"/>
          </w:tcPr>
          <w:p>
            <w:pPr>
              <w:spacing w:after="0"/>
              <w:rPr>
                <w:sz w:val="6"/>
                <w:szCs w:val="6"/>
                <w:color w:val="auto"/>
              </w:rPr>
            </w:pPr>
          </w:p>
        </w:tc>
        <w:tc>
          <w:tcPr>
            <w:tcW w:w="3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30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266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30" w:type="dxa"/>
            <w:vAlign w:val="bottom"/>
            <w:shd w:val="clear" w:color="auto" w:fill="004054"/>
          </w:tcPr>
          <w:p>
            <w:pPr>
              <w:spacing w:after="0"/>
              <w:rPr>
                <w:sz w:val="6"/>
                <w:szCs w:val="6"/>
                <w:color w:val="auto"/>
              </w:rPr>
            </w:pPr>
          </w:p>
        </w:tc>
        <w:tc>
          <w:tcPr>
            <w:tcW w:w="1210" w:type="dxa"/>
            <w:vAlign w:val="bottom"/>
            <w:shd w:val="clear" w:color="auto" w:fill="004054"/>
          </w:tcPr>
          <w:p>
            <w:pPr>
              <w:spacing w:after="0"/>
              <w:rPr>
                <w:sz w:val="6"/>
                <w:szCs w:val="6"/>
                <w:color w:val="auto"/>
              </w:rPr>
            </w:pPr>
          </w:p>
        </w:tc>
        <w:tc>
          <w:tcPr>
            <w:tcW w:w="970" w:type="dxa"/>
            <w:vAlign w:val="bottom"/>
            <w:shd w:val="clear" w:color="auto" w:fill="004054"/>
          </w:tcPr>
          <w:p>
            <w:pPr>
              <w:spacing w:after="0"/>
              <w:rPr>
                <w:sz w:val="6"/>
                <w:szCs w:val="6"/>
                <w:color w:val="auto"/>
              </w:rPr>
            </w:pPr>
          </w:p>
        </w:tc>
        <w:tc>
          <w:tcPr>
            <w:tcW w:w="130" w:type="dxa"/>
            <w:vAlign w:val="bottom"/>
            <w:shd w:val="clear" w:color="auto" w:fill="004054"/>
          </w:tcPr>
          <w:p>
            <w:pPr>
              <w:spacing w:after="0"/>
              <w:rPr>
                <w:sz w:val="6"/>
                <w:szCs w:val="6"/>
                <w:color w:val="auto"/>
              </w:rPr>
            </w:pPr>
          </w:p>
        </w:tc>
        <w:tc>
          <w:tcPr>
            <w:tcW w:w="1090" w:type="dxa"/>
            <w:vAlign w:val="bottom"/>
            <w:shd w:val="clear" w:color="auto" w:fill="004054"/>
          </w:tcPr>
          <w:p>
            <w:pPr>
              <w:spacing w:after="0"/>
              <w:rPr>
                <w:sz w:val="6"/>
                <w:szCs w:val="6"/>
                <w:color w:val="auto"/>
              </w:rPr>
            </w:pPr>
          </w:p>
        </w:tc>
        <w:tc>
          <w:tcPr>
            <w:tcW w:w="110" w:type="dxa"/>
            <w:vAlign w:val="bottom"/>
            <w:shd w:val="clear" w:color="auto" w:fill="004054"/>
          </w:tcPr>
          <w:p>
            <w:pPr>
              <w:spacing w:after="0"/>
              <w:rPr>
                <w:sz w:val="6"/>
                <w:szCs w:val="6"/>
                <w:color w:val="auto"/>
              </w:rPr>
            </w:pPr>
          </w:p>
        </w:tc>
        <w:tc>
          <w:tcPr>
            <w:tcW w:w="126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80" w:type="dxa"/>
            <w:vAlign w:val="bottom"/>
            <w:tcBorders>
              <w:bottom w:val="single" w:sz="8" w:color="EBFBFF"/>
            </w:tcBorders>
            <w:gridSpan w:val="2"/>
            <w:vMerge w:val="restart"/>
            <w:shd w:val="clear" w:color="auto" w:fill="EBFBFF"/>
          </w:tcPr>
          <w:p>
            <w:pPr>
              <w:jc w:val="right"/>
              <w:spacing w:after="0"/>
              <w:rPr>
                <w:rFonts w:ascii="Arial" w:cs="Arial" w:eastAsia="Arial" w:hAnsi="Arial"/>
                <w:sz w:val="18"/>
                <w:szCs w:val="18"/>
                <w:color w:val="7A04DD"/>
              </w:rPr>
            </w:pPr>
            <w:hyperlink r:id="rId237">
              <w:r>
                <w:rPr>
                  <w:rFonts w:ascii="Arial" w:cs="Arial" w:eastAsia="Arial" w:hAnsi="Arial"/>
                  <w:sz w:val="18"/>
                  <w:szCs w:val="18"/>
                  <w:color w:val="7A04DD"/>
                </w:rPr>
                <w:t>10.1</w:t>
              </w:r>
            </w:hyperlink>
          </w:p>
        </w:tc>
        <w:tc>
          <w:tcPr>
            <w:tcW w:w="140" w:type="dxa"/>
            <w:vAlign w:val="bottom"/>
            <w:tcBorders>
              <w:bottom w:val="single" w:sz="8" w:color="EBFBFF"/>
            </w:tcBorders>
            <w:shd w:val="clear" w:color="auto" w:fill="EBFBFF"/>
          </w:tcPr>
          <w:p>
            <w:pPr>
              <w:spacing w:after="0"/>
              <w:rPr>
                <w:sz w:val="16"/>
                <w:szCs w:val="16"/>
                <w:color w:val="auto"/>
              </w:rPr>
            </w:pPr>
          </w:p>
        </w:tc>
        <w:tc>
          <w:tcPr>
            <w:tcW w:w="5200" w:type="dxa"/>
            <w:vAlign w:val="bottom"/>
            <w:tcBorders>
              <w:bottom w:val="single" w:sz="8" w:color="7A04DD"/>
            </w:tcBorders>
            <w:gridSpan w:val="6"/>
            <w:shd w:val="clear" w:color="auto" w:fill="EBFBFF"/>
          </w:tcPr>
          <w:p>
            <w:pPr>
              <w:spacing w:after="0" w:line="169" w:lineRule="exact"/>
              <w:rPr>
                <w:rFonts w:ascii="Arial" w:cs="Arial" w:eastAsia="Arial" w:hAnsi="Arial"/>
                <w:sz w:val="18"/>
                <w:szCs w:val="18"/>
                <w:color w:val="7A04DD"/>
                <w:w w:val="90"/>
              </w:rPr>
            </w:pPr>
            <w:hyperlink r:id="rId237">
              <w:r>
                <w:rPr>
                  <w:rFonts w:ascii="Arial" w:cs="Arial" w:eastAsia="Arial" w:hAnsi="Arial"/>
                  <w:sz w:val="18"/>
                  <w:szCs w:val="18"/>
                  <w:color w:val="7A04DD"/>
                  <w:w w:val="90"/>
                </w:rPr>
                <w:t>Relocaton Agreement dated June 8, 2023 between Blackbaud, Inc. and</w:t>
              </w:r>
            </w:hyperlink>
          </w:p>
        </w:tc>
        <w:tc>
          <w:tcPr>
            <w:tcW w:w="30" w:type="dxa"/>
            <w:vAlign w:val="bottom"/>
            <w:tcBorders>
              <w:bottom w:val="single" w:sz="8" w:color="EBFBFF"/>
            </w:tcBorders>
            <w:shd w:val="clear" w:color="auto" w:fill="EBFBFF"/>
          </w:tcPr>
          <w:p>
            <w:pPr>
              <w:spacing w:after="0"/>
              <w:rPr>
                <w:sz w:val="16"/>
                <w:szCs w:val="16"/>
                <w:color w:val="auto"/>
              </w:rPr>
            </w:pPr>
          </w:p>
        </w:tc>
        <w:tc>
          <w:tcPr>
            <w:tcW w:w="1210" w:type="dxa"/>
            <w:vAlign w:val="bottom"/>
            <w:tcBorders>
              <w:bottom w:val="single" w:sz="8" w:color="EBFBFF"/>
            </w:tcBorders>
            <w:shd w:val="clear" w:color="auto" w:fill="EBFBFF"/>
          </w:tcPr>
          <w:p>
            <w:pPr>
              <w:spacing w:after="0"/>
              <w:rPr>
                <w:sz w:val="16"/>
                <w:szCs w:val="16"/>
                <w:color w:val="auto"/>
              </w:rPr>
            </w:pPr>
          </w:p>
        </w:tc>
        <w:tc>
          <w:tcPr>
            <w:tcW w:w="970" w:type="dxa"/>
            <w:vAlign w:val="bottom"/>
            <w:tcBorders>
              <w:bottom w:val="single" w:sz="8" w:color="EBFBFF"/>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85"/>
              </w:rPr>
              <w:t>8-K</w:t>
            </w:r>
          </w:p>
        </w:tc>
        <w:tc>
          <w:tcPr>
            <w:tcW w:w="130" w:type="dxa"/>
            <w:vAlign w:val="bottom"/>
            <w:tcBorders>
              <w:bottom w:val="single" w:sz="8" w:color="EBFBFF"/>
            </w:tcBorders>
            <w:shd w:val="clear" w:color="auto" w:fill="EBFBFF"/>
          </w:tcPr>
          <w:p>
            <w:pPr>
              <w:spacing w:after="0"/>
              <w:rPr>
                <w:sz w:val="16"/>
                <w:szCs w:val="16"/>
                <w:color w:val="auto"/>
              </w:rPr>
            </w:pPr>
          </w:p>
        </w:tc>
        <w:tc>
          <w:tcPr>
            <w:tcW w:w="1090" w:type="dxa"/>
            <w:vAlign w:val="bottom"/>
            <w:tcBorders>
              <w:bottom w:val="single" w:sz="8" w:color="EBFBFF"/>
            </w:tcBorders>
            <w:vMerge w:val="restart"/>
            <w:shd w:val="clear" w:color="auto" w:fill="EBFBFF"/>
          </w:tcPr>
          <w:p>
            <w:pPr>
              <w:jc w:val="right"/>
              <w:ind w:right="309"/>
              <w:spacing w:after="0"/>
              <w:rPr>
                <w:sz w:val="20"/>
                <w:szCs w:val="20"/>
                <w:color w:val="auto"/>
              </w:rPr>
            </w:pPr>
            <w:r>
              <w:rPr>
                <w:rFonts w:ascii="Arial" w:cs="Arial" w:eastAsia="Arial" w:hAnsi="Arial"/>
                <w:sz w:val="18"/>
                <w:szCs w:val="18"/>
                <w:color w:val="51555C"/>
              </w:rPr>
              <w:t>10.1</w:t>
            </w:r>
          </w:p>
        </w:tc>
        <w:tc>
          <w:tcPr>
            <w:tcW w:w="110" w:type="dxa"/>
            <w:vAlign w:val="bottom"/>
            <w:tcBorders>
              <w:bottom w:val="single" w:sz="8" w:color="EBFBFF"/>
            </w:tcBorders>
            <w:shd w:val="clear" w:color="auto" w:fill="EBFBFF"/>
          </w:tcPr>
          <w:p>
            <w:pPr>
              <w:spacing w:after="0"/>
              <w:rPr>
                <w:sz w:val="16"/>
                <w:szCs w:val="16"/>
                <w:color w:val="auto"/>
              </w:rPr>
            </w:pPr>
          </w:p>
        </w:tc>
        <w:tc>
          <w:tcPr>
            <w:tcW w:w="1260" w:type="dxa"/>
            <w:vAlign w:val="bottom"/>
            <w:tcBorders>
              <w:bottom w:val="single" w:sz="8" w:color="EBFBFF"/>
            </w:tcBorders>
            <w:vMerge w:val="restart"/>
            <w:shd w:val="clear" w:color="auto" w:fill="EBFBFF"/>
          </w:tcPr>
          <w:p>
            <w:pPr>
              <w:jc w:val="right"/>
              <w:ind w:right="159"/>
              <w:spacing w:after="0"/>
              <w:rPr>
                <w:sz w:val="20"/>
                <w:szCs w:val="20"/>
                <w:color w:val="auto"/>
              </w:rPr>
            </w:pPr>
            <w:r>
              <w:rPr>
                <w:rFonts w:ascii="Arial" w:cs="Arial" w:eastAsia="Arial" w:hAnsi="Arial"/>
                <w:sz w:val="18"/>
                <w:szCs w:val="18"/>
                <w:color w:val="51555C"/>
              </w:rPr>
              <w:t>6/12/2023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80" w:type="dxa"/>
            <w:vAlign w:val="bottom"/>
            <w:gridSpan w:val="2"/>
            <w:vMerge w:val="continue"/>
            <w:shd w:val="clear" w:color="auto" w:fill="EBFBFF"/>
          </w:tcPr>
          <w:p>
            <w:pPr>
              <w:spacing w:after="0"/>
              <w:rPr>
                <w:sz w:val="2"/>
                <w:szCs w:val="2"/>
                <w:color w:val="auto"/>
              </w:rPr>
            </w:pPr>
          </w:p>
        </w:tc>
        <w:tc>
          <w:tcPr>
            <w:tcW w:w="140" w:type="dxa"/>
            <w:vAlign w:val="bottom"/>
            <w:shd w:val="clear" w:color="auto" w:fill="EBFBFF"/>
          </w:tcPr>
          <w:p>
            <w:pPr>
              <w:spacing w:after="0"/>
              <w:rPr>
                <w:sz w:val="2"/>
                <w:szCs w:val="2"/>
                <w:color w:val="auto"/>
              </w:rPr>
            </w:pPr>
          </w:p>
        </w:tc>
        <w:tc>
          <w:tcPr>
            <w:tcW w:w="5230" w:type="dxa"/>
            <w:vAlign w:val="bottom"/>
            <w:gridSpan w:val="7"/>
            <w:vMerge w:val="restart"/>
            <w:shd w:val="clear" w:color="auto" w:fill="EBFBFF"/>
          </w:tcPr>
          <w:p>
            <w:pPr>
              <w:spacing w:after="0" w:line="196" w:lineRule="exact"/>
              <w:rPr>
                <w:rFonts w:ascii="Arial" w:cs="Arial" w:eastAsia="Arial" w:hAnsi="Arial"/>
                <w:sz w:val="18"/>
                <w:szCs w:val="18"/>
                <w:color w:val="7A04DD"/>
              </w:rPr>
            </w:pPr>
            <w:hyperlink r:id="rId237">
              <w:r>
                <w:rPr>
                  <w:rFonts w:ascii="Arial" w:cs="Arial" w:eastAsia="Arial" w:hAnsi="Arial"/>
                  <w:sz w:val="18"/>
                  <w:szCs w:val="18"/>
                  <w:color w:val="7A04DD"/>
                </w:rPr>
                <w:t>David J. Benjamin.</w:t>
              </w:r>
            </w:hyperlink>
          </w:p>
        </w:tc>
        <w:tc>
          <w:tcPr>
            <w:tcW w:w="1210" w:type="dxa"/>
            <w:vAlign w:val="bottom"/>
            <w:shd w:val="clear" w:color="auto" w:fill="EBFBFF"/>
          </w:tcPr>
          <w:p>
            <w:pPr>
              <w:spacing w:after="0"/>
              <w:rPr>
                <w:sz w:val="2"/>
                <w:szCs w:val="2"/>
                <w:color w:val="auto"/>
              </w:rPr>
            </w:pPr>
          </w:p>
        </w:tc>
        <w:tc>
          <w:tcPr>
            <w:tcW w:w="970" w:type="dxa"/>
            <w:vAlign w:val="bottom"/>
            <w:vMerge w:val="continue"/>
            <w:shd w:val="clear" w:color="auto" w:fill="EBFBFF"/>
          </w:tcPr>
          <w:p>
            <w:pPr>
              <w:spacing w:after="0"/>
              <w:rPr>
                <w:sz w:val="2"/>
                <w:szCs w:val="2"/>
                <w:color w:val="auto"/>
              </w:rPr>
            </w:pPr>
          </w:p>
        </w:tc>
        <w:tc>
          <w:tcPr>
            <w:tcW w:w="130" w:type="dxa"/>
            <w:vAlign w:val="bottom"/>
            <w:shd w:val="clear" w:color="auto" w:fill="EBFBFF"/>
          </w:tcPr>
          <w:p>
            <w:pPr>
              <w:spacing w:after="0"/>
              <w:rPr>
                <w:sz w:val="2"/>
                <w:szCs w:val="2"/>
                <w:color w:val="auto"/>
              </w:rPr>
            </w:pPr>
          </w:p>
        </w:tc>
        <w:tc>
          <w:tcPr>
            <w:tcW w:w="1090" w:type="dxa"/>
            <w:vAlign w:val="bottom"/>
            <w:vMerge w:val="continue"/>
            <w:shd w:val="clear" w:color="auto" w:fill="EBFBFF"/>
          </w:tcPr>
          <w:p>
            <w:pPr>
              <w:spacing w:after="0"/>
              <w:rPr>
                <w:sz w:val="2"/>
                <w:szCs w:val="2"/>
                <w:color w:val="auto"/>
              </w:rPr>
            </w:pPr>
          </w:p>
        </w:tc>
        <w:tc>
          <w:tcPr>
            <w:tcW w:w="110" w:type="dxa"/>
            <w:vAlign w:val="bottom"/>
            <w:shd w:val="clear" w:color="auto" w:fill="EBFBFF"/>
          </w:tcPr>
          <w:p>
            <w:pPr>
              <w:spacing w:after="0"/>
              <w:rPr>
                <w:sz w:val="2"/>
                <w:szCs w:val="2"/>
                <w:color w:val="auto"/>
              </w:rPr>
            </w:pPr>
          </w:p>
        </w:tc>
        <w:tc>
          <w:tcPr>
            <w:tcW w:w="1260" w:type="dxa"/>
            <w:vAlign w:val="bottom"/>
            <w:vMerge w:val="continue"/>
            <w:shd w:val="clear" w:color="auto" w:fill="EBFBFF"/>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EBFBFF"/>
            </w:tcBorders>
            <w:shd w:val="clear" w:color="auto" w:fill="EBFBFF"/>
          </w:tcPr>
          <w:p>
            <w:pPr>
              <w:spacing w:after="0"/>
              <w:rPr>
                <w:sz w:val="12"/>
                <w:szCs w:val="12"/>
                <w:color w:val="auto"/>
              </w:rPr>
            </w:pPr>
          </w:p>
        </w:tc>
        <w:tc>
          <w:tcPr>
            <w:tcW w:w="320" w:type="dxa"/>
            <w:vAlign w:val="bottom"/>
            <w:tcBorders>
              <w:top w:val="single" w:sz="8" w:color="7A04DD"/>
            </w:tcBorders>
            <w:shd w:val="clear" w:color="auto" w:fill="EBFBFF"/>
          </w:tcPr>
          <w:p>
            <w:pPr>
              <w:spacing w:after="0"/>
              <w:rPr>
                <w:sz w:val="12"/>
                <w:szCs w:val="12"/>
                <w:color w:val="auto"/>
              </w:rPr>
            </w:pPr>
          </w:p>
        </w:tc>
        <w:tc>
          <w:tcPr>
            <w:tcW w:w="140" w:type="dxa"/>
            <w:vAlign w:val="bottom"/>
            <w:tcBorders>
              <w:top w:val="single" w:sz="8" w:color="EBFBFF"/>
            </w:tcBorders>
            <w:shd w:val="clear" w:color="auto" w:fill="EBFBFF"/>
          </w:tcPr>
          <w:p>
            <w:pPr>
              <w:spacing w:after="0"/>
              <w:rPr>
                <w:sz w:val="12"/>
                <w:szCs w:val="12"/>
                <w:color w:val="auto"/>
              </w:rPr>
            </w:pPr>
          </w:p>
        </w:tc>
        <w:tc>
          <w:tcPr>
            <w:tcW w:w="5230" w:type="dxa"/>
            <w:vAlign w:val="bottom"/>
            <w:tcBorders>
              <w:top w:val="single" w:sz="8" w:color="EBFBFF"/>
            </w:tcBorders>
            <w:gridSpan w:val="7"/>
            <w:vMerge w:val="continue"/>
            <w:shd w:val="clear" w:color="auto" w:fill="EBFBFF"/>
          </w:tcPr>
          <w:p>
            <w:pPr>
              <w:spacing w:after="0"/>
              <w:rPr>
                <w:sz w:val="12"/>
                <w:szCs w:val="12"/>
                <w:color w:val="auto"/>
              </w:rPr>
            </w:pPr>
          </w:p>
        </w:tc>
        <w:tc>
          <w:tcPr>
            <w:tcW w:w="1210" w:type="dxa"/>
            <w:vAlign w:val="bottom"/>
            <w:tcBorders>
              <w:top w:val="single" w:sz="8" w:color="EBFBFF"/>
            </w:tcBorders>
            <w:shd w:val="clear" w:color="auto" w:fill="EBFBFF"/>
          </w:tcPr>
          <w:p>
            <w:pPr>
              <w:spacing w:after="0"/>
              <w:rPr>
                <w:sz w:val="12"/>
                <w:szCs w:val="12"/>
                <w:color w:val="auto"/>
              </w:rPr>
            </w:pPr>
          </w:p>
        </w:tc>
        <w:tc>
          <w:tcPr>
            <w:tcW w:w="970" w:type="dxa"/>
            <w:vAlign w:val="bottom"/>
            <w:tcBorders>
              <w:top w:val="single" w:sz="8" w:color="EBFBFF"/>
            </w:tcBorders>
            <w:shd w:val="clear" w:color="auto" w:fill="EBFBFF"/>
          </w:tcPr>
          <w:p>
            <w:pPr>
              <w:spacing w:after="0"/>
              <w:rPr>
                <w:sz w:val="12"/>
                <w:szCs w:val="12"/>
                <w:color w:val="auto"/>
              </w:rPr>
            </w:pPr>
          </w:p>
        </w:tc>
        <w:tc>
          <w:tcPr>
            <w:tcW w:w="130" w:type="dxa"/>
            <w:vAlign w:val="bottom"/>
            <w:tcBorders>
              <w:top w:val="single" w:sz="8" w:color="EBFBFF"/>
            </w:tcBorders>
            <w:shd w:val="clear" w:color="auto" w:fill="EBFBFF"/>
          </w:tcPr>
          <w:p>
            <w:pPr>
              <w:spacing w:after="0"/>
              <w:rPr>
                <w:sz w:val="12"/>
                <w:szCs w:val="12"/>
                <w:color w:val="auto"/>
              </w:rPr>
            </w:pPr>
          </w:p>
        </w:tc>
        <w:tc>
          <w:tcPr>
            <w:tcW w:w="1090" w:type="dxa"/>
            <w:vAlign w:val="bottom"/>
            <w:tcBorders>
              <w:top w:val="single" w:sz="8" w:color="EBFBFF"/>
            </w:tcBorders>
            <w:shd w:val="clear" w:color="auto" w:fill="EBFBFF"/>
          </w:tcPr>
          <w:p>
            <w:pPr>
              <w:spacing w:after="0"/>
              <w:rPr>
                <w:sz w:val="12"/>
                <w:szCs w:val="12"/>
                <w:color w:val="auto"/>
              </w:rPr>
            </w:pPr>
          </w:p>
        </w:tc>
        <w:tc>
          <w:tcPr>
            <w:tcW w:w="110" w:type="dxa"/>
            <w:vAlign w:val="bottom"/>
            <w:tcBorders>
              <w:top w:val="single" w:sz="8" w:color="EBFBFF"/>
            </w:tcBorders>
            <w:shd w:val="clear" w:color="auto" w:fill="EBFBFF"/>
          </w:tcPr>
          <w:p>
            <w:pPr>
              <w:spacing w:after="0"/>
              <w:rPr>
                <w:sz w:val="12"/>
                <w:szCs w:val="12"/>
                <w:color w:val="auto"/>
              </w:rPr>
            </w:pPr>
          </w:p>
        </w:tc>
        <w:tc>
          <w:tcPr>
            <w:tcW w:w="1260" w:type="dxa"/>
            <w:vAlign w:val="bottom"/>
            <w:tcBorders>
              <w:top w:val="single" w:sz="8" w:color="EBFBFF"/>
            </w:tcBorders>
            <w:shd w:val="clear" w:color="auto" w:fill="EBFB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300" w:type="dxa"/>
            <w:vAlign w:val="bottom"/>
            <w:tcBorders>
              <w:top w:val="single" w:sz="8" w:color="7A04DD"/>
            </w:tcBorders>
            <w:shd w:val="clear" w:color="auto" w:fill="EBFBFF"/>
          </w:tcPr>
          <w:p>
            <w:pPr>
              <w:spacing w:after="0"/>
              <w:rPr>
                <w:sz w:val="5"/>
                <w:szCs w:val="5"/>
                <w:color w:val="auto"/>
              </w:rPr>
            </w:pPr>
          </w:p>
        </w:tc>
        <w:tc>
          <w:tcPr>
            <w:tcW w:w="1040" w:type="dxa"/>
            <w:vAlign w:val="bottom"/>
            <w:tcBorders>
              <w:top w:val="single" w:sz="8" w:color="EBFBFF"/>
            </w:tcBorders>
            <w:shd w:val="clear" w:color="auto" w:fill="EBFBFF"/>
          </w:tcPr>
          <w:p>
            <w:pPr>
              <w:spacing w:after="0"/>
              <w:rPr>
                <w:sz w:val="5"/>
                <w:szCs w:val="5"/>
                <w:color w:val="auto"/>
              </w:rPr>
            </w:pPr>
          </w:p>
        </w:tc>
        <w:tc>
          <w:tcPr>
            <w:tcW w:w="26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1210" w:type="dxa"/>
            <w:vAlign w:val="bottom"/>
            <w:tcBorders>
              <w:top w:val="single" w:sz="8" w:color="EBFBFF"/>
            </w:tcBorders>
            <w:shd w:val="clear" w:color="auto" w:fill="EBFBFF"/>
          </w:tcPr>
          <w:p>
            <w:pPr>
              <w:spacing w:after="0"/>
              <w:rPr>
                <w:sz w:val="5"/>
                <w:szCs w:val="5"/>
                <w:color w:val="auto"/>
              </w:rPr>
            </w:pPr>
          </w:p>
        </w:tc>
        <w:tc>
          <w:tcPr>
            <w:tcW w:w="970" w:type="dxa"/>
            <w:vAlign w:val="bottom"/>
            <w:tcBorders>
              <w:top w:val="single" w:sz="8" w:color="EBFBFF"/>
            </w:tcBorders>
            <w:shd w:val="clear" w:color="auto" w:fill="EBFBFF"/>
          </w:tcPr>
          <w:p>
            <w:pPr>
              <w:spacing w:after="0"/>
              <w:rPr>
                <w:sz w:val="5"/>
                <w:szCs w:val="5"/>
                <w:color w:val="auto"/>
              </w:rPr>
            </w:pPr>
          </w:p>
        </w:tc>
        <w:tc>
          <w:tcPr>
            <w:tcW w:w="130" w:type="dxa"/>
            <w:vAlign w:val="bottom"/>
            <w:tcBorders>
              <w:top w:val="single" w:sz="8" w:color="EBFBFF"/>
            </w:tcBorders>
            <w:shd w:val="clear" w:color="auto" w:fill="EBFBFF"/>
          </w:tcPr>
          <w:p>
            <w:pPr>
              <w:spacing w:after="0"/>
              <w:rPr>
                <w:sz w:val="5"/>
                <w:szCs w:val="5"/>
                <w:color w:val="auto"/>
              </w:rPr>
            </w:pPr>
          </w:p>
        </w:tc>
        <w:tc>
          <w:tcPr>
            <w:tcW w:w="1090" w:type="dxa"/>
            <w:vAlign w:val="bottom"/>
            <w:tcBorders>
              <w:top w:val="single" w:sz="8" w:color="EBFBFF"/>
            </w:tcBorders>
            <w:shd w:val="clear" w:color="auto" w:fill="EBFBFF"/>
          </w:tcPr>
          <w:p>
            <w:pPr>
              <w:spacing w:after="0"/>
              <w:rPr>
                <w:sz w:val="5"/>
                <w:szCs w:val="5"/>
                <w:color w:val="auto"/>
              </w:rPr>
            </w:pPr>
          </w:p>
        </w:tc>
        <w:tc>
          <w:tcPr>
            <w:tcW w:w="110" w:type="dxa"/>
            <w:vAlign w:val="bottom"/>
            <w:tcBorders>
              <w:top w:val="single" w:sz="8" w:color="EBFBFF"/>
            </w:tcBorders>
            <w:shd w:val="clear" w:color="auto" w:fill="EBFBFF"/>
          </w:tcPr>
          <w:p>
            <w:pPr>
              <w:spacing w:after="0"/>
              <w:rPr>
                <w:sz w:val="5"/>
                <w:szCs w:val="5"/>
                <w:color w:val="auto"/>
              </w:rPr>
            </w:pPr>
          </w:p>
        </w:tc>
        <w:tc>
          <w:tcPr>
            <w:tcW w:w="1260" w:type="dxa"/>
            <w:vAlign w:val="bottom"/>
            <w:tcBorders>
              <w:top w:val="single" w:sz="8" w:color="EBFBFF"/>
            </w:tcBorders>
            <w:shd w:val="clear" w:color="auto" w:fill="EBFB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7A04DD"/>
              </w:rPr>
              <w:t>31.</w:t>
            </w:r>
            <w:r>
              <w:rPr>
                <w:rFonts w:ascii="Arial" w:cs="Arial" w:eastAsia="Arial" w:hAnsi="Arial"/>
                <w:sz w:val="18"/>
                <w:szCs w:val="18"/>
                <w:u w:val="single" w:color="auto"/>
                <w:color w:val="7A04DD"/>
              </w:rPr>
              <w:t>1</w:t>
            </w:r>
          </w:p>
        </w:tc>
        <w:tc>
          <w:tcPr>
            <w:tcW w:w="140" w:type="dxa"/>
            <w:vAlign w:val="bottom"/>
          </w:tcPr>
          <w:p>
            <w:pPr>
              <w:spacing w:after="0"/>
              <w:rPr>
                <w:sz w:val="21"/>
                <w:szCs w:val="21"/>
                <w:color w:val="auto"/>
              </w:rPr>
            </w:pPr>
          </w:p>
        </w:tc>
        <w:tc>
          <w:tcPr>
            <w:tcW w:w="5230" w:type="dxa"/>
            <w:vAlign w:val="bottom"/>
            <w:gridSpan w:val="7"/>
          </w:tcPr>
          <w:p>
            <w:pPr>
              <w:spacing w:after="0"/>
              <w:rPr>
                <w:sz w:val="20"/>
                <w:szCs w:val="20"/>
                <w:color w:val="auto"/>
              </w:rPr>
            </w:pPr>
            <w:r>
              <w:rPr>
                <w:rFonts w:ascii="Arial" w:cs="Arial" w:eastAsia="Arial" w:hAnsi="Arial"/>
                <w:sz w:val="18"/>
                <w:szCs w:val="18"/>
                <w:color w:val="7A04DD"/>
                <w:w w:val="99"/>
              </w:rPr>
              <w:t>Certfcaton by the Chief Executve Ofcer pursuant to Secton 302 of</w:t>
            </w:r>
          </w:p>
        </w:tc>
        <w:tc>
          <w:tcPr>
            <w:tcW w:w="1210" w:type="dxa"/>
            <w:vAlign w:val="bottom"/>
          </w:tcPr>
          <w:p>
            <w:pPr>
              <w:jc w:val="center"/>
              <w:spacing w:after="0"/>
              <w:rPr>
                <w:sz w:val="20"/>
                <w:szCs w:val="20"/>
                <w:color w:val="auto"/>
              </w:rPr>
            </w:pPr>
            <w:r>
              <w:rPr>
                <w:rFonts w:ascii="Arial" w:cs="Arial" w:eastAsia="Arial" w:hAnsi="Arial"/>
                <w:sz w:val="18"/>
                <w:szCs w:val="18"/>
                <w:color w:val="51555C"/>
                <w:w w:val="82"/>
              </w:rPr>
              <w:t>X</w:t>
            </w:r>
          </w:p>
        </w:tc>
        <w:tc>
          <w:tcPr>
            <w:tcW w:w="9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09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top w:val="single" w:sz="8" w:color="7A04DD"/>
            </w:tcBorders>
            <w:gridSpan w:val="4"/>
          </w:tcPr>
          <w:p>
            <w:pPr>
              <w:spacing w:after="0" w:line="196" w:lineRule="exact"/>
              <w:rPr>
                <w:sz w:val="20"/>
                <w:szCs w:val="20"/>
                <w:color w:val="auto"/>
              </w:rPr>
            </w:pPr>
            <w:r>
              <w:rPr>
                <w:rFonts w:ascii="Arial" w:cs="Arial" w:eastAsia="Arial" w:hAnsi="Arial"/>
                <w:sz w:val="18"/>
                <w:szCs w:val="18"/>
                <w:color w:val="7A04DD"/>
              </w:rPr>
              <w:t>the Sarbanes-Oxley Act of 2002.</w:t>
            </w:r>
          </w:p>
        </w:tc>
        <w:tc>
          <w:tcPr>
            <w:tcW w:w="170" w:type="dxa"/>
            <w:vAlign w:val="bottom"/>
            <w:gridSpan w:val="3"/>
          </w:tcPr>
          <w:p>
            <w:pPr>
              <w:spacing w:after="0"/>
              <w:rPr>
                <w:sz w:val="17"/>
                <w:szCs w:val="17"/>
                <w:color w:val="auto"/>
              </w:rPr>
            </w:pPr>
          </w:p>
        </w:tc>
        <w:tc>
          <w:tcPr>
            <w:tcW w:w="1210" w:type="dxa"/>
            <w:vAlign w:val="bottom"/>
          </w:tcPr>
          <w:p>
            <w:pPr>
              <w:spacing w:after="0"/>
              <w:rPr>
                <w:sz w:val="17"/>
                <w:szCs w:val="17"/>
                <w:color w:val="auto"/>
              </w:rPr>
            </w:pPr>
          </w:p>
        </w:tc>
        <w:tc>
          <w:tcPr>
            <w:tcW w:w="9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0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Borders>
              <w:top w:val="single" w:sz="8" w:color="7A04DD"/>
            </w:tcBorders>
          </w:tcPr>
          <w:p>
            <w:pPr>
              <w:spacing w:after="0"/>
              <w:rPr>
                <w:sz w:val="5"/>
                <w:szCs w:val="5"/>
                <w:color w:val="auto"/>
              </w:rPr>
            </w:pPr>
          </w:p>
        </w:tc>
        <w:tc>
          <w:tcPr>
            <w:tcW w:w="1040" w:type="dxa"/>
            <w:vAlign w:val="bottom"/>
            <w:tcBorders>
              <w:top w:val="single" w:sz="8" w:color="7A04DD"/>
            </w:tcBorders>
          </w:tcPr>
          <w:p>
            <w:pPr>
              <w:spacing w:after="0"/>
              <w:rPr>
                <w:sz w:val="5"/>
                <w:szCs w:val="5"/>
                <w:color w:val="auto"/>
              </w:rPr>
            </w:pPr>
          </w:p>
        </w:tc>
        <w:tc>
          <w:tcPr>
            <w:tcW w:w="2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 w:type="dxa"/>
            <w:vAlign w:val="bottom"/>
          </w:tcPr>
          <w:p>
            <w:pPr>
              <w:spacing w:after="0"/>
              <w:rPr>
                <w:sz w:val="5"/>
                <w:szCs w:val="5"/>
                <w:color w:val="auto"/>
              </w:rPr>
            </w:pPr>
          </w:p>
        </w:tc>
        <w:tc>
          <w:tcPr>
            <w:tcW w:w="1210" w:type="dxa"/>
            <w:vAlign w:val="bottom"/>
          </w:tcPr>
          <w:p>
            <w:pPr>
              <w:spacing w:after="0"/>
              <w:rPr>
                <w:sz w:val="5"/>
                <w:szCs w:val="5"/>
                <w:color w:val="auto"/>
              </w:rPr>
            </w:pPr>
          </w:p>
        </w:tc>
        <w:tc>
          <w:tcPr>
            <w:tcW w:w="970" w:type="dxa"/>
            <w:vAlign w:val="bottom"/>
          </w:tcPr>
          <w:p>
            <w:pPr>
              <w:spacing w:after="0"/>
              <w:rPr>
                <w:sz w:val="5"/>
                <w:szCs w:val="5"/>
                <w:color w:val="auto"/>
              </w:rPr>
            </w:pPr>
          </w:p>
        </w:tc>
        <w:tc>
          <w:tcPr>
            <w:tcW w:w="130" w:type="dxa"/>
            <w:vAlign w:val="bottom"/>
          </w:tcPr>
          <w:p>
            <w:pPr>
              <w:spacing w:after="0"/>
              <w:rPr>
                <w:sz w:val="5"/>
                <w:szCs w:val="5"/>
                <w:color w:val="auto"/>
              </w:rPr>
            </w:pPr>
          </w:p>
        </w:tc>
        <w:tc>
          <w:tcPr>
            <w:tcW w:w="1090" w:type="dxa"/>
            <w:vAlign w:val="bottom"/>
          </w:tcPr>
          <w:p>
            <w:pPr>
              <w:spacing w:after="0"/>
              <w:rPr>
                <w:sz w:val="5"/>
                <w:szCs w:val="5"/>
                <w:color w:val="auto"/>
              </w:rPr>
            </w:pPr>
          </w:p>
        </w:tc>
        <w:tc>
          <w:tcPr>
            <w:tcW w:w="11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gridSpan w:val="2"/>
            <w:shd w:val="clear" w:color="auto" w:fill="EBFBFF"/>
          </w:tcPr>
          <w:p>
            <w:pPr>
              <w:jc w:val="right"/>
              <w:spacing w:after="0"/>
              <w:rPr>
                <w:sz w:val="20"/>
                <w:szCs w:val="20"/>
                <w:color w:val="auto"/>
              </w:rPr>
            </w:pPr>
            <w:r>
              <w:rPr>
                <w:rFonts w:ascii="Arial" w:cs="Arial" w:eastAsia="Arial" w:hAnsi="Arial"/>
                <w:sz w:val="18"/>
                <w:szCs w:val="18"/>
                <w:color w:val="7A04DD"/>
              </w:rPr>
              <w:t>31.</w:t>
            </w:r>
            <w:r>
              <w:rPr>
                <w:rFonts w:ascii="Arial" w:cs="Arial" w:eastAsia="Arial" w:hAnsi="Arial"/>
                <w:sz w:val="18"/>
                <w:szCs w:val="18"/>
                <w:u w:val="single" w:color="auto"/>
                <w:color w:val="7A04DD"/>
              </w:rPr>
              <w:t>2</w:t>
            </w:r>
          </w:p>
        </w:tc>
        <w:tc>
          <w:tcPr>
            <w:tcW w:w="140" w:type="dxa"/>
            <w:vAlign w:val="bottom"/>
            <w:shd w:val="clear" w:color="auto" w:fill="EBFBFF"/>
          </w:tcPr>
          <w:p>
            <w:pPr>
              <w:spacing w:after="0"/>
              <w:rPr>
                <w:sz w:val="21"/>
                <w:szCs w:val="21"/>
                <w:color w:val="auto"/>
              </w:rPr>
            </w:pPr>
          </w:p>
        </w:tc>
        <w:tc>
          <w:tcPr>
            <w:tcW w:w="5230" w:type="dxa"/>
            <w:vAlign w:val="bottom"/>
            <w:gridSpan w:val="7"/>
            <w:shd w:val="clear" w:color="auto" w:fill="EBFBFF"/>
          </w:tcPr>
          <w:p>
            <w:pPr>
              <w:spacing w:after="0"/>
              <w:rPr>
                <w:sz w:val="20"/>
                <w:szCs w:val="20"/>
                <w:color w:val="auto"/>
              </w:rPr>
            </w:pPr>
            <w:r>
              <w:rPr>
                <w:rFonts w:ascii="Arial" w:cs="Arial" w:eastAsia="Arial" w:hAnsi="Arial"/>
                <w:sz w:val="18"/>
                <w:szCs w:val="18"/>
                <w:color w:val="7A04DD"/>
              </w:rPr>
              <w:t>Certfcaton by the Chief Financial Ofcer pursuant to Secton 302 of</w:t>
            </w:r>
          </w:p>
        </w:tc>
        <w:tc>
          <w:tcPr>
            <w:tcW w:w="121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82"/>
              </w:rPr>
              <w:t>X</w:t>
            </w:r>
          </w:p>
        </w:tc>
        <w:tc>
          <w:tcPr>
            <w:tcW w:w="970" w:type="dxa"/>
            <w:vAlign w:val="bottom"/>
            <w:shd w:val="clear" w:color="auto" w:fill="EBFBFF"/>
          </w:tcPr>
          <w:p>
            <w:pPr>
              <w:spacing w:after="0"/>
              <w:rPr>
                <w:sz w:val="21"/>
                <w:szCs w:val="21"/>
                <w:color w:val="auto"/>
              </w:rPr>
            </w:pPr>
          </w:p>
        </w:tc>
        <w:tc>
          <w:tcPr>
            <w:tcW w:w="130" w:type="dxa"/>
            <w:vAlign w:val="bottom"/>
            <w:shd w:val="clear" w:color="auto" w:fill="EBFBFF"/>
          </w:tcPr>
          <w:p>
            <w:pPr>
              <w:spacing w:after="0"/>
              <w:rPr>
                <w:sz w:val="21"/>
                <w:szCs w:val="21"/>
                <w:color w:val="auto"/>
              </w:rPr>
            </w:pPr>
          </w:p>
        </w:tc>
        <w:tc>
          <w:tcPr>
            <w:tcW w:w="1090" w:type="dxa"/>
            <w:vAlign w:val="bottom"/>
            <w:shd w:val="clear" w:color="auto" w:fill="EBFBFF"/>
          </w:tcPr>
          <w:p>
            <w:pPr>
              <w:spacing w:after="0"/>
              <w:rPr>
                <w:sz w:val="21"/>
                <w:szCs w:val="21"/>
                <w:color w:val="auto"/>
              </w:rPr>
            </w:pPr>
          </w:p>
        </w:tc>
        <w:tc>
          <w:tcPr>
            <w:tcW w:w="110" w:type="dxa"/>
            <w:vAlign w:val="bottom"/>
            <w:shd w:val="clear" w:color="auto" w:fill="EBFBFF"/>
          </w:tcPr>
          <w:p>
            <w:pPr>
              <w:spacing w:after="0"/>
              <w:rPr>
                <w:sz w:val="21"/>
                <w:szCs w:val="21"/>
                <w:color w:val="auto"/>
              </w:rPr>
            </w:pPr>
          </w:p>
        </w:tc>
        <w:tc>
          <w:tcPr>
            <w:tcW w:w="1260" w:type="dxa"/>
            <w:vAlign w:val="bottom"/>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EBFBFF"/>
            </w:tcBorders>
            <w:shd w:val="clear" w:color="auto" w:fill="EBFBFF"/>
          </w:tcPr>
          <w:p>
            <w:pPr>
              <w:spacing w:after="0"/>
              <w:rPr>
                <w:sz w:val="17"/>
                <w:szCs w:val="17"/>
                <w:color w:val="auto"/>
              </w:rPr>
            </w:pPr>
          </w:p>
        </w:tc>
        <w:tc>
          <w:tcPr>
            <w:tcW w:w="320" w:type="dxa"/>
            <w:vAlign w:val="bottom"/>
            <w:tcBorders>
              <w:top w:val="single" w:sz="8" w:color="7A04DD"/>
            </w:tcBorders>
            <w:shd w:val="clear" w:color="auto" w:fill="EBFBFF"/>
          </w:tcPr>
          <w:p>
            <w:pPr>
              <w:spacing w:after="0"/>
              <w:rPr>
                <w:sz w:val="17"/>
                <w:szCs w:val="17"/>
                <w:color w:val="auto"/>
              </w:rPr>
            </w:pPr>
          </w:p>
        </w:tc>
        <w:tc>
          <w:tcPr>
            <w:tcW w:w="140" w:type="dxa"/>
            <w:vAlign w:val="bottom"/>
            <w:tcBorders>
              <w:top w:val="single" w:sz="8" w:color="EBFBFF"/>
            </w:tcBorders>
            <w:shd w:val="clear" w:color="auto" w:fill="EBFBFF"/>
          </w:tcPr>
          <w:p>
            <w:pPr>
              <w:spacing w:after="0"/>
              <w:rPr>
                <w:sz w:val="17"/>
                <w:szCs w:val="17"/>
                <w:color w:val="auto"/>
              </w:rPr>
            </w:pPr>
          </w:p>
        </w:tc>
        <w:tc>
          <w:tcPr>
            <w:tcW w:w="5000" w:type="dxa"/>
            <w:vAlign w:val="bottom"/>
            <w:tcBorders>
              <w:top w:val="single" w:sz="8" w:color="7A04DD"/>
            </w:tcBorders>
            <w:gridSpan w:val="3"/>
            <w:shd w:val="clear" w:color="auto" w:fill="EBFBFF"/>
          </w:tcPr>
          <w:p>
            <w:pPr>
              <w:spacing w:after="0" w:line="196" w:lineRule="exact"/>
              <w:rPr>
                <w:sz w:val="20"/>
                <w:szCs w:val="20"/>
                <w:color w:val="auto"/>
              </w:rPr>
            </w:pPr>
            <w:r>
              <w:rPr>
                <w:rFonts w:ascii="Arial" w:cs="Arial" w:eastAsia="Arial" w:hAnsi="Arial"/>
                <w:sz w:val="18"/>
                <w:szCs w:val="18"/>
                <w:color w:val="7A04DD"/>
              </w:rPr>
              <w:t>the Sarbanes-Oxley Act of 2002.</w:t>
            </w:r>
          </w:p>
        </w:tc>
        <w:tc>
          <w:tcPr>
            <w:tcW w:w="230" w:type="dxa"/>
            <w:vAlign w:val="bottom"/>
            <w:tcBorders>
              <w:top w:val="single" w:sz="8" w:color="EBFBFF"/>
            </w:tcBorders>
            <w:gridSpan w:val="4"/>
            <w:shd w:val="clear" w:color="auto" w:fill="EBFBFF"/>
          </w:tcPr>
          <w:p>
            <w:pPr>
              <w:spacing w:after="0"/>
              <w:rPr>
                <w:sz w:val="17"/>
                <w:szCs w:val="17"/>
                <w:color w:val="auto"/>
              </w:rPr>
            </w:pPr>
          </w:p>
        </w:tc>
        <w:tc>
          <w:tcPr>
            <w:tcW w:w="1210" w:type="dxa"/>
            <w:vAlign w:val="bottom"/>
            <w:tcBorders>
              <w:top w:val="single" w:sz="8" w:color="EBFBFF"/>
            </w:tcBorders>
            <w:shd w:val="clear" w:color="auto" w:fill="EBFBFF"/>
          </w:tcPr>
          <w:p>
            <w:pPr>
              <w:spacing w:after="0"/>
              <w:rPr>
                <w:sz w:val="17"/>
                <w:szCs w:val="17"/>
                <w:color w:val="auto"/>
              </w:rPr>
            </w:pPr>
          </w:p>
        </w:tc>
        <w:tc>
          <w:tcPr>
            <w:tcW w:w="970" w:type="dxa"/>
            <w:vAlign w:val="bottom"/>
            <w:tcBorders>
              <w:top w:val="single" w:sz="8" w:color="EBFBFF"/>
            </w:tcBorders>
            <w:shd w:val="clear" w:color="auto" w:fill="EBFBFF"/>
          </w:tcPr>
          <w:p>
            <w:pPr>
              <w:spacing w:after="0"/>
              <w:rPr>
                <w:sz w:val="17"/>
                <w:szCs w:val="17"/>
                <w:color w:val="auto"/>
              </w:rPr>
            </w:pPr>
          </w:p>
        </w:tc>
        <w:tc>
          <w:tcPr>
            <w:tcW w:w="130" w:type="dxa"/>
            <w:vAlign w:val="bottom"/>
            <w:tcBorders>
              <w:top w:val="single" w:sz="8" w:color="EBFBFF"/>
            </w:tcBorders>
            <w:shd w:val="clear" w:color="auto" w:fill="EBFBFF"/>
          </w:tcPr>
          <w:p>
            <w:pPr>
              <w:spacing w:after="0"/>
              <w:rPr>
                <w:sz w:val="17"/>
                <w:szCs w:val="17"/>
                <w:color w:val="auto"/>
              </w:rPr>
            </w:pPr>
          </w:p>
        </w:tc>
        <w:tc>
          <w:tcPr>
            <w:tcW w:w="1090" w:type="dxa"/>
            <w:vAlign w:val="bottom"/>
            <w:tcBorders>
              <w:top w:val="single" w:sz="8" w:color="EBFBFF"/>
            </w:tcBorders>
            <w:shd w:val="clear" w:color="auto" w:fill="EBFBFF"/>
          </w:tcPr>
          <w:p>
            <w:pPr>
              <w:spacing w:after="0"/>
              <w:rPr>
                <w:sz w:val="17"/>
                <w:szCs w:val="17"/>
                <w:color w:val="auto"/>
              </w:rPr>
            </w:pPr>
          </w:p>
        </w:tc>
        <w:tc>
          <w:tcPr>
            <w:tcW w:w="110" w:type="dxa"/>
            <w:vAlign w:val="bottom"/>
            <w:tcBorders>
              <w:top w:val="single" w:sz="8" w:color="EBFBFF"/>
            </w:tcBorders>
            <w:shd w:val="clear" w:color="auto" w:fill="EBFBFF"/>
          </w:tcPr>
          <w:p>
            <w:pPr>
              <w:spacing w:after="0"/>
              <w:rPr>
                <w:sz w:val="17"/>
                <w:szCs w:val="17"/>
                <w:color w:val="auto"/>
              </w:rPr>
            </w:pPr>
          </w:p>
        </w:tc>
        <w:tc>
          <w:tcPr>
            <w:tcW w:w="1260" w:type="dxa"/>
            <w:vAlign w:val="bottom"/>
            <w:tcBorders>
              <w:top w:val="single" w:sz="8" w:color="EBFBFF"/>
            </w:tcBorders>
            <w:shd w:val="clear" w:color="auto" w:fill="EBFB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Borders>
              <w:top w:val="single" w:sz="8" w:color="EBFBFF"/>
            </w:tcBorders>
            <w:shd w:val="clear" w:color="auto" w:fill="EBFBFF"/>
          </w:tcPr>
          <w:p>
            <w:pPr>
              <w:spacing w:after="0"/>
              <w:rPr>
                <w:sz w:val="5"/>
                <w:szCs w:val="5"/>
                <w:color w:val="auto"/>
              </w:rPr>
            </w:pPr>
          </w:p>
        </w:tc>
        <w:tc>
          <w:tcPr>
            <w:tcW w:w="3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300" w:type="dxa"/>
            <w:vAlign w:val="bottom"/>
            <w:tcBorders>
              <w:top w:val="single" w:sz="8" w:color="7A04DD"/>
            </w:tcBorders>
            <w:shd w:val="clear" w:color="auto" w:fill="EBFBFF"/>
          </w:tcPr>
          <w:p>
            <w:pPr>
              <w:spacing w:after="0"/>
              <w:rPr>
                <w:sz w:val="5"/>
                <w:szCs w:val="5"/>
                <w:color w:val="auto"/>
              </w:rPr>
            </w:pPr>
          </w:p>
        </w:tc>
        <w:tc>
          <w:tcPr>
            <w:tcW w:w="1040" w:type="dxa"/>
            <w:vAlign w:val="bottom"/>
            <w:tcBorders>
              <w:top w:val="single" w:sz="8" w:color="7A04DD"/>
            </w:tcBorders>
            <w:shd w:val="clear" w:color="auto" w:fill="EBFBFF"/>
          </w:tcPr>
          <w:p>
            <w:pPr>
              <w:spacing w:after="0"/>
              <w:rPr>
                <w:sz w:val="5"/>
                <w:szCs w:val="5"/>
                <w:color w:val="auto"/>
              </w:rPr>
            </w:pPr>
          </w:p>
        </w:tc>
        <w:tc>
          <w:tcPr>
            <w:tcW w:w="26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1210" w:type="dxa"/>
            <w:vAlign w:val="bottom"/>
            <w:tcBorders>
              <w:top w:val="single" w:sz="8" w:color="EBFBFF"/>
            </w:tcBorders>
            <w:shd w:val="clear" w:color="auto" w:fill="EBFBFF"/>
          </w:tcPr>
          <w:p>
            <w:pPr>
              <w:spacing w:after="0"/>
              <w:rPr>
                <w:sz w:val="5"/>
                <w:szCs w:val="5"/>
                <w:color w:val="auto"/>
              </w:rPr>
            </w:pPr>
          </w:p>
        </w:tc>
        <w:tc>
          <w:tcPr>
            <w:tcW w:w="970" w:type="dxa"/>
            <w:vAlign w:val="bottom"/>
            <w:tcBorders>
              <w:top w:val="single" w:sz="8" w:color="EBFBFF"/>
            </w:tcBorders>
            <w:shd w:val="clear" w:color="auto" w:fill="EBFBFF"/>
          </w:tcPr>
          <w:p>
            <w:pPr>
              <w:spacing w:after="0"/>
              <w:rPr>
                <w:sz w:val="5"/>
                <w:szCs w:val="5"/>
                <w:color w:val="auto"/>
              </w:rPr>
            </w:pPr>
          </w:p>
        </w:tc>
        <w:tc>
          <w:tcPr>
            <w:tcW w:w="130" w:type="dxa"/>
            <w:vAlign w:val="bottom"/>
            <w:tcBorders>
              <w:top w:val="single" w:sz="8" w:color="EBFBFF"/>
            </w:tcBorders>
            <w:shd w:val="clear" w:color="auto" w:fill="EBFBFF"/>
          </w:tcPr>
          <w:p>
            <w:pPr>
              <w:spacing w:after="0"/>
              <w:rPr>
                <w:sz w:val="5"/>
                <w:szCs w:val="5"/>
                <w:color w:val="auto"/>
              </w:rPr>
            </w:pPr>
          </w:p>
        </w:tc>
        <w:tc>
          <w:tcPr>
            <w:tcW w:w="1090" w:type="dxa"/>
            <w:vAlign w:val="bottom"/>
            <w:tcBorders>
              <w:top w:val="single" w:sz="8" w:color="EBFBFF"/>
            </w:tcBorders>
            <w:shd w:val="clear" w:color="auto" w:fill="EBFBFF"/>
          </w:tcPr>
          <w:p>
            <w:pPr>
              <w:spacing w:after="0"/>
              <w:rPr>
                <w:sz w:val="5"/>
                <w:szCs w:val="5"/>
                <w:color w:val="auto"/>
              </w:rPr>
            </w:pPr>
          </w:p>
        </w:tc>
        <w:tc>
          <w:tcPr>
            <w:tcW w:w="110" w:type="dxa"/>
            <w:vAlign w:val="bottom"/>
            <w:tcBorders>
              <w:top w:val="single" w:sz="8" w:color="EBFBFF"/>
            </w:tcBorders>
            <w:shd w:val="clear" w:color="auto" w:fill="EBFBFF"/>
          </w:tcPr>
          <w:p>
            <w:pPr>
              <w:spacing w:after="0"/>
              <w:rPr>
                <w:sz w:val="5"/>
                <w:szCs w:val="5"/>
                <w:color w:val="auto"/>
              </w:rPr>
            </w:pPr>
          </w:p>
        </w:tc>
        <w:tc>
          <w:tcPr>
            <w:tcW w:w="1260" w:type="dxa"/>
            <w:vAlign w:val="bottom"/>
            <w:tcBorders>
              <w:top w:val="single" w:sz="8" w:color="EBFBFF"/>
            </w:tcBorders>
            <w:shd w:val="clear" w:color="auto" w:fill="EBFB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7A04DD"/>
              </w:rPr>
              <w:t>32.</w:t>
            </w:r>
            <w:r>
              <w:rPr>
                <w:rFonts w:ascii="Arial" w:cs="Arial" w:eastAsia="Arial" w:hAnsi="Arial"/>
                <w:sz w:val="18"/>
                <w:szCs w:val="18"/>
                <w:u w:val="single" w:color="auto"/>
                <w:color w:val="7A04DD"/>
              </w:rPr>
              <w:t>1</w:t>
            </w:r>
          </w:p>
        </w:tc>
        <w:tc>
          <w:tcPr>
            <w:tcW w:w="140" w:type="dxa"/>
            <w:vAlign w:val="bottom"/>
          </w:tcPr>
          <w:p>
            <w:pPr>
              <w:spacing w:after="0"/>
              <w:rPr>
                <w:sz w:val="21"/>
                <w:szCs w:val="21"/>
                <w:color w:val="auto"/>
              </w:rPr>
            </w:pPr>
          </w:p>
        </w:tc>
        <w:tc>
          <w:tcPr>
            <w:tcW w:w="5230" w:type="dxa"/>
            <w:vAlign w:val="bottom"/>
            <w:gridSpan w:val="7"/>
          </w:tcPr>
          <w:p>
            <w:pPr>
              <w:spacing w:after="0"/>
              <w:rPr>
                <w:sz w:val="20"/>
                <w:szCs w:val="20"/>
                <w:color w:val="auto"/>
              </w:rPr>
            </w:pPr>
            <w:r>
              <w:rPr>
                <w:rFonts w:ascii="Arial" w:cs="Arial" w:eastAsia="Arial" w:hAnsi="Arial"/>
                <w:sz w:val="18"/>
                <w:szCs w:val="18"/>
                <w:color w:val="7A04DD"/>
                <w:w w:val="97"/>
              </w:rPr>
              <w:t>Certfcaton by the Chief Executve Ofcer pursuant to 18 U.S.C. 1350</w:t>
            </w:r>
          </w:p>
        </w:tc>
        <w:tc>
          <w:tcPr>
            <w:tcW w:w="1210" w:type="dxa"/>
            <w:vAlign w:val="bottom"/>
          </w:tcPr>
          <w:p>
            <w:pPr>
              <w:jc w:val="center"/>
              <w:spacing w:after="0"/>
              <w:rPr>
                <w:sz w:val="20"/>
                <w:szCs w:val="20"/>
                <w:color w:val="auto"/>
              </w:rPr>
            </w:pPr>
            <w:r>
              <w:rPr>
                <w:rFonts w:ascii="Arial" w:cs="Arial" w:eastAsia="Arial" w:hAnsi="Arial"/>
                <w:sz w:val="18"/>
                <w:szCs w:val="18"/>
                <w:color w:val="51555C"/>
                <w:w w:val="82"/>
              </w:rPr>
              <w:t>X</w:t>
            </w:r>
          </w:p>
        </w:tc>
        <w:tc>
          <w:tcPr>
            <w:tcW w:w="97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09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60" w:type="dxa"/>
            <w:vAlign w:val="bottom"/>
            <w:gridSpan w:val="4"/>
            <w:shd w:val="clear" w:color="auto" w:fill="7A04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 w:type="dxa"/>
            <w:vAlign w:val="bottom"/>
            <w:gridSpan w:val="2"/>
          </w:tcPr>
          <w:p>
            <w:pPr>
              <w:spacing w:after="0" w:line="20" w:lineRule="exact"/>
              <w:rPr>
                <w:sz w:val="1"/>
                <w:szCs w:val="1"/>
                <w:color w:val="auto"/>
              </w:rPr>
            </w:pPr>
          </w:p>
        </w:tc>
        <w:tc>
          <w:tcPr>
            <w:tcW w:w="1210" w:type="dxa"/>
            <w:vAlign w:val="bottom"/>
          </w:tcPr>
          <w:p>
            <w:pPr>
              <w:spacing w:after="0" w:line="20" w:lineRule="exact"/>
              <w:rPr>
                <w:sz w:val="1"/>
                <w:szCs w:val="1"/>
                <w:color w:val="auto"/>
              </w:rPr>
            </w:pPr>
          </w:p>
        </w:tc>
        <w:tc>
          <w:tcPr>
            <w:tcW w:w="9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0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30" w:type="dxa"/>
            <w:vAlign w:val="bottom"/>
            <w:gridSpan w:val="7"/>
          </w:tcPr>
          <w:p>
            <w:pPr>
              <w:spacing w:after="0" w:line="196" w:lineRule="exact"/>
              <w:rPr>
                <w:sz w:val="20"/>
                <w:szCs w:val="20"/>
                <w:color w:val="auto"/>
              </w:rPr>
            </w:pPr>
            <w:r>
              <w:rPr>
                <w:rFonts w:ascii="Arial" w:cs="Arial" w:eastAsia="Arial" w:hAnsi="Arial"/>
                <w:sz w:val="18"/>
                <w:szCs w:val="18"/>
                <w:color w:val="7A04DD"/>
                <w:w w:val="92"/>
              </w:rPr>
              <w:t>as adopted pursuant to Secton 906 of the Sarbanes-Oxley Act of 2002.</w:t>
            </w:r>
          </w:p>
        </w:tc>
        <w:tc>
          <w:tcPr>
            <w:tcW w:w="1210" w:type="dxa"/>
            <w:vAlign w:val="bottom"/>
          </w:tcPr>
          <w:p>
            <w:pPr>
              <w:spacing w:after="0"/>
              <w:rPr>
                <w:sz w:val="17"/>
                <w:szCs w:val="17"/>
                <w:color w:val="auto"/>
              </w:rPr>
            </w:pPr>
          </w:p>
        </w:tc>
        <w:tc>
          <w:tcPr>
            <w:tcW w:w="9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10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7A04DD"/>
          </w:tcPr>
          <w:p>
            <w:pPr>
              <w:spacing w:after="0" w:line="20" w:lineRule="exact"/>
              <w:rPr>
                <w:sz w:val="1"/>
                <w:szCs w:val="1"/>
                <w:color w:val="auto"/>
              </w:rPr>
            </w:pPr>
          </w:p>
        </w:tc>
        <w:tc>
          <w:tcPr>
            <w:tcW w:w="1040" w:type="dxa"/>
            <w:vAlign w:val="bottom"/>
            <w:shd w:val="clear" w:color="auto" w:fill="7A04DD"/>
          </w:tcPr>
          <w:p>
            <w:pPr>
              <w:spacing w:after="0" w:line="20" w:lineRule="exact"/>
              <w:rPr>
                <w:sz w:val="1"/>
                <w:szCs w:val="1"/>
                <w:color w:val="auto"/>
              </w:rPr>
            </w:pPr>
          </w:p>
        </w:tc>
        <w:tc>
          <w:tcPr>
            <w:tcW w:w="266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1210" w:type="dxa"/>
            <w:vAlign w:val="bottom"/>
          </w:tcPr>
          <w:p>
            <w:pPr>
              <w:spacing w:after="0" w:line="20" w:lineRule="exact"/>
              <w:rPr>
                <w:sz w:val="1"/>
                <w:szCs w:val="1"/>
                <w:color w:val="auto"/>
              </w:rPr>
            </w:pPr>
          </w:p>
        </w:tc>
        <w:tc>
          <w:tcPr>
            <w:tcW w:w="97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0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-1568450</wp:posOffset>
            </wp:positionV>
            <wp:extent cx="29489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p>
      <w:pPr>
        <w:spacing w:after="0" w:line="116" w:lineRule="exact"/>
        <w:rPr>
          <w:sz w:val="20"/>
          <w:szCs w:val="20"/>
          <w:color w:val="auto"/>
        </w:rPr>
      </w:pPr>
    </w:p>
    <w:p>
      <w:pPr>
        <w:ind w:left="1240" w:hanging="466"/>
        <w:spacing w:after="0" w:line="316" w:lineRule="auto"/>
        <w:tabs>
          <w:tab w:leader="none" w:pos="1220" w:val="left"/>
        </w:tabs>
        <w:rPr>
          <w:sz w:val="20"/>
          <w:szCs w:val="20"/>
          <w:color w:val="auto"/>
        </w:rPr>
      </w:pPr>
      <w:r>
        <w:rPr>
          <w:rFonts w:ascii="Arial" w:cs="Arial" w:eastAsia="Arial" w:hAnsi="Arial"/>
          <w:sz w:val="18"/>
          <w:szCs w:val="18"/>
          <w:u w:val="single" w:color="auto"/>
          <w:color w:val="7A04DD"/>
        </w:rPr>
        <w:t>32.2</w:t>
      </w:r>
      <w:r>
        <w:rPr>
          <w:sz w:val="20"/>
          <w:szCs w:val="20"/>
          <w:color w:val="auto"/>
        </w:rPr>
        <w:tab/>
      </w:r>
      <w:r>
        <w:rPr>
          <w:rFonts w:ascii="Arial" w:cs="Arial" w:eastAsia="Arial" w:hAnsi="Arial"/>
          <w:sz w:val="16"/>
          <w:szCs w:val="16"/>
          <w:u w:val="single" w:color="auto"/>
          <w:color w:val="7A04DD"/>
        </w:rPr>
        <w:t>Certfcaton by the Chief Financial Ofcer pursuant to 18 U.S.C. 1350 as adopted pursuant to Secton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-337820</wp:posOffset>
            </wp:positionV>
            <wp:extent cx="7123430" cy="3429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23430" cy="342900"/>
                    </a:xfrm>
                    <a:prstGeom prst="rect">
                      <a:avLst/>
                    </a:prstGeom>
                    <a:noFill/>
                  </pic:spPr>
                </pic:pic>
              </a:graphicData>
            </a:graphic>
          </wp:anchor>
        </w:drawing>
      </w:r>
    </w:p>
    <w:p>
      <w:pPr>
        <w:ind w:left="1240" w:right="20" w:hanging="710"/>
        <w:spacing w:after="0" w:line="262" w:lineRule="auto"/>
        <w:tabs>
          <w:tab w:leader="none" w:pos="1220" w:val="left"/>
        </w:tabs>
        <w:rPr>
          <w:sz w:val="20"/>
          <w:szCs w:val="20"/>
          <w:color w:val="auto"/>
        </w:rPr>
      </w:pPr>
      <w:r>
        <w:rPr>
          <w:rFonts w:ascii="Arial" w:cs="Arial" w:eastAsia="Arial" w:hAnsi="Arial"/>
          <w:sz w:val="18"/>
          <w:szCs w:val="18"/>
          <w:color w:val="51555C"/>
        </w:rPr>
        <w:t>101.INS</w:t>
        <w:tab/>
        <w:t>Inline XBRL Instance Document - the Instance Document does not appear in the interactve data fle because its XBRL tags are embedded within the Inline XBRL Document.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51555C"/>
        </w:rPr>
        <w:t>X</w:t>
      </w: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51555C"/>
        </w:rPr>
        <w:t>X</w:t>
      </w:r>
    </w:p>
    <w:p>
      <w:pPr>
        <w:spacing w:after="0" w:line="558" w:lineRule="exact"/>
        <w:rPr>
          <w:sz w:val="20"/>
          <w:szCs w:val="20"/>
          <w:color w:val="auto"/>
        </w:rPr>
      </w:pPr>
    </w:p>
    <w:p>
      <w:pPr>
        <w:sectPr>
          <w:pgSz w:w="11900" w:h="16838" w:orient="portrait"/>
          <w:cols w:equalWidth="0" w:num="2">
            <w:col w:w="6400" w:space="620"/>
            <w:col w:w="4220"/>
          </w:cols>
          <w:pgMar w:left="320" w:top="102" w:right="33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101.SCH</w:t>
            </w:r>
          </w:p>
        </w:tc>
        <w:tc>
          <w:tcPr>
            <w:tcW w:w="5360" w:type="dxa"/>
            <w:vAlign w:val="bottom"/>
            <w:tcBorders>
              <w:bottom w:val="single" w:sz="8" w:color="EBFBFF"/>
            </w:tcBorders>
            <w:shd w:val="clear" w:color="auto" w:fill="EBFBFF"/>
          </w:tcPr>
          <w:p>
            <w:pPr>
              <w:ind w:left="60"/>
              <w:spacing w:after="0"/>
              <w:rPr>
                <w:sz w:val="20"/>
                <w:szCs w:val="20"/>
                <w:color w:val="auto"/>
              </w:rPr>
            </w:pPr>
            <w:r>
              <w:rPr>
                <w:rFonts w:ascii="Arial" w:cs="Arial" w:eastAsia="Arial" w:hAnsi="Arial"/>
                <w:sz w:val="18"/>
                <w:szCs w:val="18"/>
                <w:color w:val="51555C"/>
              </w:rPr>
              <w:t>Inline XBRL Taxonomy Extension Schema Document.</w:t>
            </w:r>
          </w:p>
        </w:tc>
        <w:tc>
          <w:tcPr>
            <w:tcW w:w="4700" w:type="dxa"/>
            <w:vAlign w:val="bottom"/>
            <w:tcBorders>
              <w:bottom w:val="single" w:sz="8" w:color="EBFBFF"/>
            </w:tcBorders>
            <w:shd w:val="clear" w:color="auto" w:fill="EBFBFF"/>
          </w:tcPr>
          <w:p>
            <w:pPr>
              <w:ind w:left="480"/>
              <w:spacing w:after="0"/>
              <w:rPr>
                <w:sz w:val="20"/>
                <w:szCs w:val="20"/>
                <w:color w:val="auto"/>
              </w:rPr>
            </w:pPr>
            <w:r>
              <w:rPr>
                <w:rFonts w:ascii="Arial" w:cs="Arial" w:eastAsia="Arial" w:hAnsi="Arial"/>
                <w:sz w:val="18"/>
                <w:szCs w:val="18"/>
                <w:color w:val="51555C"/>
              </w:rPr>
              <w:t>X</w:t>
            </w:r>
          </w:p>
        </w:tc>
      </w:tr>
      <w:tr>
        <w:trPr>
          <w:trHeight w:val="227"/>
        </w:trPr>
        <w:tc>
          <w:tcPr>
            <w:tcW w:w="1160" w:type="dxa"/>
            <w:vAlign w:val="bottom"/>
          </w:tcPr>
          <w:p>
            <w:pPr>
              <w:jc w:val="right"/>
              <w:spacing w:after="0"/>
              <w:rPr>
                <w:sz w:val="20"/>
                <w:szCs w:val="20"/>
                <w:color w:val="auto"/>
              </w:rPr>
            </w:pPr>
            <w:r>
              <w:rPr>
                <w:rFonts w:ascii="Arial" w:cs="Arial" w:eastAsia="Arial" w:hAnsi="Arial"/>
                <w:sz w:val="18"/>
                <w:szCs w:val="18"/>
                <w:color w:val="51555C"/>
              </w:rPr>
              <w:t>101.CAL</w:t>
            </w:r>
          </w:p>
        </w:tc>
        <w:tc>
          <w:tcPr>
            <w:tcW w:w="5360" w:type="dxa"/>
            <w:vAlign w:val="bottom"/>
          </w:tcPr>
          <w:p>
            <w:pPr>
              <w:ind w:left="60"/>
              <w:spacing w:after="0"/>
              <w:rPr>
                <w:sz w:val="20"/>
                <w:szCs w:val="20"/>
                <w:color w:val="auto"/>
              </w:rPr>
            </w:pPr>
            <w:r>
              <w:rPr>
                <w:rFonts w:ascii="Arial" w:cs="Arial" w:eastAsia="Arial" w:hAnsi="Arial"/>
                <w:sz w:val="18"/>
                <w:szCs w:val="18"/>
                <w:color w:val="51555C"/>
              </w:rPr>
              <w:t>Inline XBRL Taxonomy Extension Calculaton Linkbase Document.</w:t>
            </w:r>
          </w:p>
        </w:tc>
        <w:tc>
          <w:tcPr>
            <w:tcW w:w="4700" w:type="dxa"/>
            <w:vAlign w:val="bottom"/>
          </w:tcPr>
          <w:p>
            <w:pPr>
              <w:ind w:left="480"/>
              <w:spacing w:after="0"/>
              <w:rPr>
                <w:sz w:val="20"/>
                <w:szCs w:val="20"/>
                <w:color w:val="auto"/>
              </w:rPr>
            </w:pPr>
            <w:r>
              <w:rPr>
                <w:rFonts w:ascii="Arial" w:cs="Arial" w:eastAsia="Arial" w:hAnsi="Arial"/>
                <w:sz w:val="18"/>
                <w:szCs w:val="18"/>
                <w:color w:val="51555C"/>
              </w:rPr>
              <w:t>X</w:t>
            </w:r>
          </w:p>
        </w:tc>
      </w:tr>
      <w:tr>
        <w:trPr>
          <w:trHeight w:val="43"/>
        </w:trPr>
        <w:tc>
          <w:tcPr>
            <w:tcW w:w="116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700" w:type="dxa"/>
            <w:vAlign w:val="bottom"/>
          </w:tcPr>
          <w:p>
            <w:pPr>
              <w:spacing w:after="0"/>
              <w:rPr>
                <w:sz w:val="3"/>
                <w:szCs w:val="3"/>
                <w:color w:val="auto"/>
              </w:rPr>
            </w:pPr>
          </w:p>
        </w:tc>
      </w:tr>
      <w:tr>
        <w:trPr>
          <w:trHeight w:val="250"/>
        </w:trPr>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101.DEF</w:t>
            </w:r>
          </w:p>
        </w:tc>
        <w:tc>
          <w:tcPr>
            <w:tcW w:w="5360" w:type="dxa"/>
            <w:vAlign w:val="bottom"/>
            <w:tcBorders>
              <w:bottom w:val="single" w:sz="8" w:color="EBFBFF"/>
            </w:tcBorders>
            <w:shd w:val="clear" w:color="auto" w:fill="EBFBFF"/>
          </w:tcPr>
          <w:p>
            <w:pPr>
              <w:ind w:left="60"/>
              <w:spacing w:after="0"/>
              <w:rPr>
                <w:sz w:val="20"/>
                <w:szCs w:val="20"/>
                <w:color w:val="auto"/>
              </w:rPr>
            </w:pPr>
            <w:r>
              <w:rPr>
                <w:rFonts w:ascii="Arial" w:cs="Arial" w:eastAsia="Arial" w:hAnsi="Arial"/>
                <w:sz w:val="18"/>
                <w:szCs w:val="18"/>
                <w:color w:val="51555C"/>
              </w:rPr>
              <w:t>Inline XBRL Taxonomy Extension Defniton Linkbase Document.</w:t>
            </w:r>
          </w:p>
        </w:tc>
        <w:tc>
          <w:tcPr>
            <w:tcW w:w="4700" w:type="dxa"/>
            <w:vAlign w:val="bottom"/>
            <w:tcBorders>
              <w:bottom w:val="single" w:sz="8" w:color="EBFBFF"/>
            </w:tcBorders>
            <w:shd w:val="clear" w:color="auto" w:fill="EBFBFF"/>
          </w:tcPr>
          <w:p>
            <w:pPr>
              <w:ind w:left="480"/>
              <w:spacing w:after="0"/>
              <w:rPr>
                <w:sz w:val="20"/>
                <w:szCs w:val="20"/>
                <w:color w:val="auto"/>
              </w:rPr>
            </w:pPr>
            <w:r>
              <w:rPr>
                <w:rFonts w:ascii="Arial" w:cs="Arial" w:eastAsia="Arial" w:hAnsi="Arial"/>
                <w:sz w:val="18"/>
                <w:szCs w:val="18"/>
                <w:color w:val="51555C"/>
              </w:rPr>
              <w:t>X</w:t>
            </w:r>
          </w:p>
        </w:tc>
      </w:tr>
      <w:tr>
        <w:trPr>
          <w:trHeight w:val="227"/>
        </w:trPr>
        <w:tc>
          <w:tcPr>
            <w:tcW w:w="1160" w:type="dxa"/>
            <w:vAlign w:val="bottom"/>
          </w:tcPr>
          <w:p>
            <w:pPr>
              <w:jc w:val="right"/>
              <w:spacing w:after="0"/>
              <w:rPr>
                <w:sz w:val="20"/>
                <w:szCs w:val="20"/>
                <w:color w:val="auto"/>
              </w:rPr>
            </w:pPr>
            <w:r>
              <w:rPr>
                <w:rFonts w:ascii="Arial" w:cs="Arial" w:eastAsia="Arial" w:hAnsi="Arial"/>
                <w:sz w:val="18"/>
                <w:szCs w:val="18"/>
                <w:color w:val="51555C"/>
              </w:rPr>
              <w:t>101.LAB</w:t>
            </w:r>
          </w:p>
        </w:tc>
        <w:tc>
          <w:tcPr>
            <w:tcW w:w="5360" w:type="dxa"/>
            <w:vAlign w:val="bottom"/>
          </w:tcPr>
          <w:p>
            <w:pPr>
              <w:ind w:left="60"/>
              <w:spacing w:after="0"/>
              <w:rPr>
                <w:sz w:val="20"/>
                <w:szCs w:val="20"/>
                <w:color w:val="auto"/>
              </w:rPr>
            </w:pPr>
            <w:r>
              <w:rPr>
                <w:rFonts w:ascii="Arial" w:cs="Arial" w:eastAsia="Arial" w:hAnsi="Arial"/>
                <w:sz w:val="18"/>
                <w:szCs w:val="18"/>
                <w:color w:val="51555C"/>
              </w:rPr>
              <w:t>Inline XBRL Taxonomy Extension Label Linkbase Document.</w:t>
            </w:r>
          </w:p>
        </w:tc>
        <w:tc>
          <w:tcPr>
            <w:tcW w:w="4700" w:type="dxa"/>
            <w:vAlign w:val="bottom"/>
          </w:tcPr>
          <w:p>
            <w:pPr>
              <w:ind w:left="480"/>
              <w:spacing w:after="0"/>
              <w:rPr>
                <w:sz w:val="20"/>
                <w:szCs w:val="20"/>
                <w:color w:val="auto"/>
              </w:rPr>
            </w:pPr>
            <w:r>
              <w:rPr>
                <w:rFonts w:ascii="Arial" w:cs="Arial" w:eastAsia="Arial" w:hAnsi="Arial"/>
                <w:sz w:val="18"/>
                <w:szCs w:val="18"/>
                <w:color w:val="51555C"/>
              </w:rPr>
              <w:t>X</w:t>
            </w:r>
          </w:p>
        </w:tc>
      </w:tr>
      <w:tr>
        <w:trPr>
          <w:trHeight w:val="43"/>
        </w:trPr>
        <w:tc>
          <w:tcPr>
            <w:tcW w:w="1160" w:type="dxa"/>
            <w:vAlign w:val="bottom"/>
          </w:tcPr>
          <w:p>
            <w:pPr>
              <w:spacing w:after="0"/>
              <w:rPr>
                <w:sz w:val="3"/>
                <w:szCs w:val="3"/>
                <w:color w:val="auto"/>
              </w:rPr>
            </w:pPr>
          </w:p>
        </w:tc>
        <w:tc>
          <w:tcPr>
            <w:tcW w:w="5360" w:type="dxa"/>
            <w:vAlign w:val="bottom"/>
          </w:tcPr>
          <w:p>
            <w:pPr>
              <w:spacing w:after="0"/>
              <w:rPr>
                <w:sz w:val="3"/>
                <w:szCs w:val="3"/>
                <w:color w:val="auto"/>
              </w:rPr>
            </w:pPr>
          </w:p>
        </w:tc>
        <w:tc>
          <w:tcPr>
            <w:tcW w:w="4700" w:type="dxa"/>
            <w:vAlign w:val="bottom"/>
          </w:tcPr>
          <w:p>
            <w:pPr>
              <w:spacing w:after="0"/>
              <w:rPr>
                <w:sz w:val="3"/>
                <w:szCs w:val="3"/>
                <w:color w:val="auto"/>
              </w:rPr>
            </w:pPr>
          </w:p>
        </w:tc>
      </w:tr>
      <w:tr>
        <w:trPr>
          <w:trHeight w:val="250"/>
        </w:trPr>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101.PRE</w:t>
            </w:r>
          </w:p>
        </w:tc>
        <w:tc>
          <w:tcPr>
            <w:tcW w:w="5360" w:type="dxa"/>
            <w:vAlign w:val="bottom"/>
            <w:tcBorders>
              <w:bottom w:val="single" w:sz="8" w:color="EBFBFF"/>
            </w:tcBorders>
            <w:shd w:val="clear" w:color="auto" w:fill="EBFBFF"/>
          </w:tcPr>
          <w:p>
            <w:pPr>
              <w:ind w:left="60"/>
              <w:spacing w:after="0"/>
              <w:rPr>
                <w:sz w:val="20"/>
                <w:szCs w:val="20"/>
                <w:color w:val="auto"/>
              </w:rPr>
            </w:pPr>
            <w:r>
              <w:rPr>
                <w:rFonts w:ascii="Arial" w:cs="Arial" w:eastAsia="Arial" w:hAnsi="Arial"/>
                <w:sz w:val="18"/>
                <w:szCs w:val="18"/>
                <w:color w:val="51555C"/>
                <w:w w:val="97"/>
              </w:rPr>
              <w:t>Inline XBRL Taxonomy Extension Presentaton Linkbase Document.</w:t>
            </w:r>
          </w:p>
        </w:tc>
        <w:tc>
          <w:tcPr>
            <w:tcW w:w="4700" w:type="dxa"/>
            <w:vAlign w:val="bottom"/>
            <w:tcBorders>
              <w:bottom w:val="single" w:sz="8" w:color="EBFBFF"/>
            </w:tcBorders>
            <w:shd w:val="clear" w:color="auto" w:fill="EBFBFF"/>
          </w:tcPr>
          <w:p>
            <w:pPr>
              <w:ind w:left="480"/>
              <w:spacing w:after="0"/>
              <w:rPr>
                <w:sz w:val="20"/>
                <w:szCs w:val="20"/>
                <w:color w:val="auto"/>
              </w:rPr>
            </w:pPr>
            <w:r>
              <w:rPr>
                <w:rFonts w:ascii="Arial" w:cs="Arial" w:eastAsia="Arial" w:hAnsi="Arial"/>
                <w:sz w:val="18"/>
                <w:szCs w:val="18"/>
                <w:color w:val="51555C"/>
              </w:rPr>
              <w:t>X</w:t>
            </w:r>
          </w:p>
        </w:tc>
      </w:tr>
      <w:tr>
        <w:trPr>
          <w:trHeight w:val="211"/>
        </w:trPr>
        <w:tc>
          <w:tcPr>
            <w:tcW w:w="1160" w:type="dxa"/>
            <w:vAlign w:val="bottom"/>
          </w:tcPr>
          <w:p>
            <w:pPr>
              <w:jc w:val="right"/>
              <w:spacing w:after="0"/>
              <w:rPr>
                <w:sz w:val="20"/>
                <w:szCs w:val="20"/>
                <w:color w:val="auto"/>
              </w:rPr>
            </w:pPr>
            <w:r>
              <w:rPr>
                <w:rFonts w:ascii="Arial" w:cs="Arial" w:eastAsia="Arial" w:hAnsi="Arial"/>
                <w:sz w:val="18"/>
                <w:szCs w:val="18"/>
                <w:color w:val="51555C"/>
              </w:rPr>
              <w:t>104</w:t>
            </w:r>
          </w:p>
        </w:tc>
        <w:tc>
          <w:tcPr>
            <w:tcW w:w="5360" w:type="dxa"/>
            <w:vAlign w:val="bottom"/>
          </w:tcPr>
          <w:p>
            <w:pPr>
              <w:ind w:left="60"/>
              <w:spacing w:after="0"/>
              <w:rPr>
                <w:sz w:val="20"/>
                <w:szCs w:val="20"/>
                <w:color w:val="auto"/>
              </w:rPr>
            </w:pPr>
            <w:r>
              <w:rPr>
                <w:rFonts w:ascii="Arial" w:cs="Arial" w:eastAsia="Arial" w:hAnsi="Arial"/>
                <w:sz w:val="18"/>
                <w:szCs w:val="18"/>
                <w:color w:val="51555C"/>
              </w:rPr>
              <w:t>Cover Page Interactve Data File (formated as Inline XBRL and</w:t>
            </w:r>
          </w:p>
        </w:tc>
        <w:tc>
          <w:tcPr>
            <w:tcW w:w="4700" w:type="dxa"/>
            <w:vAlign w:val="bottom"/>
          </w:tcPr>
          <w:p>
            <w:pPr>
              <w:ind w:left="480"/>
              <w:spacing w:after="0"/>
              <w:rPr>
                <w:sz w:val="20"/>
                <w:szCs w:val="20"/>
                <w:color w:val="auto"/>
              </w:rPr>
            </w:pPr>
            <w:r>
              <w:rPr>
                <w:rFonts w:ascii="Arial" w:cs="Arial" w:eastAsia="Arial" w:hAnsi="Arial"/>
                <w:sz w:val="18"/>
                <w:szCs w:val="18"/>
                <w:color w:val="51555C"/>
              </w:rPr>
              <w:t>X</w:t>
            </w:r>
          </w:p>
        </w:tc>
      </w:tr>
      <w:tr>
        <w:trPr>
          <w:trHeight w:val="227"/>
        </w:trPr>
        <w:tc>
          <w:tcPr>
            <w:tcW w:w="1160" w:type="dxa"/>
            <w:vAlign w:val="bottom"/>
          </w:tcPr>
          <w:p>
            <w:pPr>
              <w:spacing w:after="0"/>
              <w:rPr>
                <w:sz w:val="19"/>
                <w:szCs w:val="19"/>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51555C"/>
              </w:rPr>
              <w:t>contained in Exhibit 101).</w:t>
            </w:r>
          </w:p>
        </w:tc>
        <w:tc>
          <w:tcPr>
            <w:tcW w:w="4700" w:type="dxa"/>
            <w:vAlign w:val="bottom"/>
          </w:tcPr>
          <w:p>
            <w:pPr>
              <w:spacing w:after="0"/>
              <w:rPr>
                <w:sz w:val="19"/>
                <w:szCs w:val="19"/>
                <w:color w:val="auto"/>
              </w:rPr>
            </w:pPr>
          </w:p>
        </w:tc>
      </w:tr>
      <w:tr>
        <w:trPr>
          <w:trHeight w:val="48"/>
        </w:trPr>
        <w:tc>
          <w:tcPr>
            <w:tcW w:w="1160" w:type="dxa"/>
            <w:vAlign w:val="bottom"/>
            <w:tcBorders>
              <w:bottom w:val="single" w:sz="8" w:color="0CD973"/>
            </w:tcBorders>
          </w:tcPr>
          <w:p>
            <w:pPr>
              <w:spacing w:after="0"/>
              <w:rPr>
                <w:sz w:val="4"/>
                <w:szCs w:val="4"/>
                <w:color w:val="auto"/>
              </w:rPr>
            </w:pPr>
          </w:p>
        </w:tc>
        <w:tc>
          <w:tcPr>
            <w:tcW w:w="5360" w:type="dxa"/>
            <w:vAlign w:val="bottom"/>
            <w:tcBorders>
              <w:bottom w:val="single" w:sz="8" w:color="0CD973"/>
            </w:tcBorders>
          </w:tcPr>
          <w:p>
            <w:pPr>
              <w:spacing w:after="0"/>
              <w:rPr>
                <w:sz w:val="4"/>
                <w:szCs w:val="4"/>
                <w:color w:val="auto"/>
              </w:rPr>
            </w:pPr>
          </w:p>
        </w:tc>
        <w:tc>
          <w:tcPr>
            <w:tcW w:w="4700" w:type="dxa"/>
            <w:vAlign w:val="bottom"/>
            <w:tcBorders>
              <w:bottom w:val="single" w:sz="8" w:color="0CD97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283210</wp:posOffset>
            </wp:positionV>
            <wp:extent cx="66040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60400" cy="17145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320" w:type="dxa"/>
            <w:vAlign w:val="bottom"/>
          </w:tcPr>
          <w:p>
            <w:pPr>
              <w:ind w:left="7660"/>
              <w:spacing w:after="0"/>
              <w:rPr>
                <w:sz w:val="20"/>
                <w:szCs w:val="20"/>
                <w:color w:val="auto"/>
              </w:rPr>
            </w:pPr>
            <w:r>
              <w:rPr>
                <w:rFonts w:ascii="Arial" w:cs="Arial" w:eastAsia="Arial" w:hAnsi="Arial"/>
                <w:sz w:val="14"/>
                <w:szCs w:val="14"/>
                <w:color w:val="51555C"/>
              </w:rPr>
              <w:t>Second Quarter 2023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53</w:t>
            </w:r>
          </w:p>
        </w:tc>
      </w:tr>
      <w:tr>
        <w:trPr>
          <w:trHeight w:val="36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7A04DD"/>
        </w:rPr>
        <w:t>Table of Contents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sz w:val="1"/>
          <w:szCs w:val="1"/>
          <w:color w:val="auto"/>
        </w:rPr>
        <w:drawing>
          <wp:inline distT="0" distB="0" distL="0" distR="0">
            <wp:extent cx="248285" cy="24892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313" w:lineRule="exact"/>
        <w:rPr>
          <w:sz w:val="20"/>
          <w:szCs w:val="20"/>
          <w:color w:val="auto"/>
        </w:rPr>
      </w:pPr>
    </w:p>
    <w:p>
      <w:pPr>
        <w:spacing w:after="0" w:line="273" w:lineRule="auto"/>
        <w:rPr>
          <w:sz w:val="20"/>
          <w:szCs w:val="20"/>
          <w:color w:val="auto"/>
        </w:rPr>
      </w:pPr>
      <w:r>
        <w:rPr>
          <w:rFonts w:ascii="Arial" w:cs="Arial" w:eastAsia="Arial" w:hAnsi="Arial"/>
          <w:sz w:val="18"/>
          <w:szCs w:val="18"/>
          <w:color w:val="51555C"/>
        </w:rPr>
        <w:t>Pursuant to the requirements of the Securites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500" w:type="dxa"/>
            <w:vAlign w:val="bottom"/>
            <w:gridSpan w:val="2"/>
          </w:tcPr>
          <w:p>
            <w:pPr>
              <w:ind w:left="1160"/>
              <w:spacing w:after="0"/>
              <w:rPr>
                <w:sz w:val="20"/>
                <w:szCs w:val="20"/>
                <w:color w:val="auto"/>
              </w:rPr>
            </w:pPr>
            <w:r>
              <w:rPr>
                <w:rFonts w:ascii="Arial" w:cs="Arial" w:eastAsia="Arial" w:hAnsi="Arial"/>
                <w:sz w:val="18"/>
                <w:szCs w:val="18"/>
                <w:b w:val="1"/>
                <w:bCs w:val="1"/>
                <w:color w:val="51555C"/>
              </w:rPr>
              <w:t>BLACKBAUD, INC.</w:t>
            </w:r>
          </w:p>
        </w:tc>
      </w:tr>
      <w:tr>
        <w:trPr>
          <w:trHeight w:val="538"/>
        </w:trPr>
        <w:tc>
          <w:tcPr>
            <w:tcW w:w="540" w:type="dxa"/>
            <w:vAlign w:val="bottom"/>
          </w:tcPr>
          <w:p>
            <w:pPr>
              <w:ind w:left="20"/>
              <w:spacing w:after="0"/>
              <w:rPr>
                <w:sz w:val="20"/>
                <w:szCs w:val="20"/>
                <w:color w:val="auto"/>
              </w:rPr>
            </w:pPr>
            <w:r>
              <w:rPr>
                <w:rFonts w:ascii="Arial" w:cs="Arial" w:eastAsia="Arial" w:hAnsi="Arial"/>
                <w:sz w:val="18"/>
                <w:szCs w:val="18"/>
                <w:color w:val="51555C"/>
              </w:rPr>
              <w:t>Date:</w:t>
            </w:r>
          </w:p>
        </w:tc>
        <w:tc>
          <w:tcPr>
            <w:tcW w:w="4160" w:type="dxa"/>
            <w:vAlign w:val="bottom"/>
          </w:tcPr>
          <w:p>
            <w:pPr>
              <w:ind w:left="140"/>
              <w:spacing w:after="0"/>
              <w:rPr>
                <w:sz w:val="20"/>
                <w:szCs w:val="20"/>
                <w:color w:val="auto"/>
              </w:rPr>
            </w:pPr>
            <w:r>
              <w:rPr>
                <w:rFonts w:ascii="Arial" w:cs="Arial" w:eastAsia="Arial" w:hAnsi="Arial"/>
                <w:sz w:val="18"/>
                <w:szCs w:val="18"/>
                <w:color w:val="51555C"/>
              </w:rPr>
              <w:t>August 3, 2023</w:t>
            </w:r>
          </w:p>
        </w:tc>
        <w:tc>
          <w:tcPr>
            <w:tcW w:w="1620" w:type="dxa"/>
            <w:vAlign w:val="bottom"/>
          </w:tcPr>
          <w:p>
            <w:pPr>
              <w:ind w:left="1160"/>
              <w:spacing w:after="0"/>
              <w:rPr>
                <w:sz w:val="20"/>
                <w:szCs w:val="20"/>
                <w:color w:val="auto"/>
              </w:rPr>
            </w:pPr>
            <w:r>
              <w:rPr>
                <w:rFonts w:ascii="Arial" w:cs="Arial" w:eastAsia="Arial" w:hAnsi="Arial"/>
                <w:sz w:val="18"/>
                <w:szCs w:val="18"/>
                <w:color w:val="51555C"/>
              </w:rPr>
              <w:t>By:</w:t>
            </w:r>
          </w:p>
        </w:tc>
        <w:tc>
          <w:tcPr>
            <w:tcW w:w="4880" w:type="dxa"/>
            <w:vAlign w:val="bottom"/>
          </w:tcPr>
          <w:p>
            <w:pPr>
              <w:ind w:left="20"/>
              <w:spacing w:after="0"/>
              <w:rPr>
                <w:sz w:val="20"/>
                <w:szCs w:val="20"/>
                <w:color w:val="auto"/>
              </w:rPr>
            </w:pPr>
            <w:r>
              <w:rPr>
                <w:rFonts w:ascii="Arial" w:cs="Arial" w:eastAsia="Arial" w:hAnsi="Arial"/>
                <w:sz w:val="18"/>
                <w:szCs w:val="18"/>
                <w:color w:val="51555C"/>
              </w:rPr>
              <w:t>/s/ Michael P. Gianoni</w:t>
            </w:r>
          </w:p>
        </w:tc>
      </w:tr>
      <w:tr>
        <w:trPr>
          <w:trHeight w:val="48"/>
        </w:trPr>
        <w:tc>
          <w:tcPr>
            <w:tcW w:w="5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880" w:type="dxa"/>
            <w:vAlign w:val="bottom"/>
            <w:tcBorders>
              <w:bottom w:val="single" w:sz="8" w:color="51555C"/>
            </w:tcBorders>
          </w:tcPr>
          <w:p>
            <w:pPr>
              <w:spacing w:after="0"/>
              <w:rPr>
                <w:sz w:val="4"/>
                <w:szCs w:val="4"/>
                <w:color w:val="auto"/>
              </w:rPr>
            </w:pPr>
          </w:p>
        </w:tc>
      </w:tr>
      <w:tr>
        <w:trPr>
          <w:trHeight w:val="220"/>
        </w:trPr>
        <w:tc>
          <w:tcPr>
            <w:tcW w:w="5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Michael P. Gianoni</w:t>
            </w:r>
          </w:p>
        </w:tc>
      </w:tr>
      <w:tr>
        <w:trPr>
          <w:trHeight w:val="265"/>
        </w:trPr>
        <w:tc>
          <w:tcPr>
            <w:tcW w:w="5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President and Chief Executve Ofcer</w:t>
            </w:r>
          </w:p>
        </w:tc>
      </w:tr>
      <w:tr>
        <w:trPr>
          <w:trHeight w:val="270"/>
        </w:trPr>
        <w:tc>
          <w:tcPr>
            <w:tcW w:w="5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(Principal Executve Ofcer)</w:t>
            </w:r>
          </w:p>
        </w:tc>
      </w:tr>
      <w:tr>
        <w:trPr>
          <w:trHeight w:val="540"/>
        </w:trPr>
        <w:tc>
          <w:tcPr>
            <w:tcW w:w="540" w:type="dxa"/>
            <w:vAlign w:val="bottom"/>
          </w:tcPr>
          <w:p>
            <w:pPr>
              <w:ind w:left="20"/>
              <w:spacing w:after="0"/>
              <w:rPr>
                <w:sz w:val="20"/>
                <w:szCs w:val="20"/>
                <w:color w:val="auto"/>
              </w:rPr>
            </w:pPr>
            <w:r>
              <w:rPr>
                <w:rFonts w:ascii="Arial" w:cs="Arial" w:eastAsia="Arial" w:hAnsi="Arial"/>
                <w:sz w:val="18"/>
                <w:szCs w:val="18"/>
                <w:color w:val="51555C"/>
              </w:rPr>
              <w:t>Date:</w:t>
            </w:r>
          </w:p>
        </w:tc>
        <w:tc>
          <w:tcPr>
            <w:tcW w:w="4160" w:type="dxa"/>
            <w:vAlign w:val="bottom"/>
          </w:tcPr>
          <w:p>
            <w:pPr>
              <w:ind w:left="140"/>
              <w:spacing w:after="0"/>
              <w:rPr>
                <w:sz w:val="20"/>
                <w:szCs w:val="20"/>
                <w:color w:val="auto"/>
              </w:rPr>
            </w:pPr>
            <w:r>
              <w:rPr>
                <w:rFonts w:ascii="Arial" w:cs="Arial" w:eastAsia="Arial" w:hAnsi="Arial"/>
                <w:sz w:val="18"/>
                <w:szCs w:val="18"/>
                <w:color w:val="51555C"/>
              </w:rPr>
              <w:t>August 3, 2023</w:t>
            </w:r>
          </w:p>
        </w:tc>
        <w:tc>
          <w:tcPr>
            <w:tcW w:w="1620" w:type="dxa"/>
            <w:vAlign w:val="bottom"/>
          </w:tcPr>
          <w:p>
            <w:pPr>
              <w:ind w:left="1160"/>
              <w:spacing w:after="0"/>
              <w:rPr>
                <w:sz w:val="20"/>
                <w:szCs w:val="20"/>
                <w:color w:val="auto"/>
              </w:rPr>
            </w:pPr>
            <w:r>
              <w:rPr>
                <w:rFonts w:ascii="Arial" w:cs="Arial" w:eastAsia="Arial" w:hAnsi="Arial"/>
                <w:sz w:val="18"/>
                <w:szCs w:val="18"/>
                <w:color w:val="51555C"/>
              </w:rPr>
              <w:t>By:</w:t>
            </w:r>
          </w:p>
        </w:tc>
        <w:tc>
          <w:tcPr>
            <w:tcW w:w="4880" w:type="dxa"/>
            <w:vAlign w:val="bottom"/>
          </w:tcPr>
          <w:p>
            <w:pPr>
              <w:ind w:left="20"/>
              <w:spacing w:after="0"/>
              <w:rPr>
                <w:sz w:val="20"/>
                <w:szCs w:val="20"/>
                <w:color w:val="auto"/>
              </w:rPr>
            </w:pPr>
            <w:r>
              <w:rPr>
                <w:rFonts w:ascii="Arial" w:cs="Arial" w:eastAsia="Arial" w:hAnsi="Arial"/>
                <w:sz w:val="18"/>
                <w:szCs w:val="18"/>
                <w:color w:val="51555C"/>
              </w:rPr>
              <w:t>/s/ Anthony W. Boor</w:t>
            </w:r>
          </w:p>
        </w:tc>
      </w:tr>
      <w:tr>
        <w:trPr>
          <w:trHeight w:val="49"/>
        </w:trPr>
        <w:tc>
          <w:tcPr>
            <w:tcW w:w="5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880" w:type="dxa"/>
            <w:vAlign w:val="bottom"/>
            <w:tcBorders>
              <w:bottom w:val="single" w:sz="8" w:color="51555C"/>
            </w:tcBorders>
          </w:tcPr>
          <w:p>
            <w:pPr>
              <w:spacing w:after="0"/>
              <w:rPr>
                <w:sz w:val="4"/>
                <w:szCs w:val="4"/>
                <w:color w:val="auto"/>
              </w:rPr>
            </w:pPr>
          </w:p>
        </w:tc>
      </w:tr>
      <w:tr>
        <w:trPr>
          <w:trHeight w:val="220"/>
        </w:trPr>
        <w:tc>
          <w:tcPr>
            <w:tcW w:w="5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Anthony W. Boor</w:t>
            </w:r>
          </w:p>
        </w:tc>
      </w:tr>
      <w:tr>
        <w:trPr>
          <w:trHeight w:val="265"/>
        </w:trPr>
        <w:tc>
          <w:tcPr>
            <w:tcW w:w="5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Executve Vice President and Chief Financial Ofcer</w:t>
            </w:r>
          </w:p>
        </w:tc>
      </w:tr>
      <w:tr>
        <w:trPr>
          <w:trHeight w:val="270"/>
        </w:trPr>
        <w:tc>
          <w:tcPr>
            <w:tcW w:w="54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(Principal Financial and Accountng Ofcer)</w:t>
            </w:r>
          </w:p>
        </w:tc>
      </w:tr>
      <w:tr>
        <w:trPr>
          <w:trHeight w:val="706"/>
        </w:trPr>
        <w:tc>
          <w:tcPr>
            <w:tcW w:w="540" w:type="dxa"/>
            <w:vAlign w:val="bottom"/>
          </w:tcPr>
          <w:p>
            <w:pPr>
              <w:spacing w:after="0"/>
              <w:rPr>
                <w:sz w:val="20"/>
                <w:szCs w:val="20"/>
                <w:color w:val="auto"/>
              </w:rPr>
            </w:pPr>
            <w:r>
              <w:rPr>
                <w:rFonts w:ascii="Arial" w:cs="Arial" w:eastAsia="Arial" w:hAnsi="Arial"/>
                <w:sz w:val="14"/>
                <w:szCs w:val="14"/>
                <w:color w:val="51555C"/>
              </w:rPr>
              <w:t>54</w:t>
            </w:r>
          </w:p>
        </w:tc>
        <w:tc>
          <w:tcPr>
            <w:tcW w:w="4160" w:type="dxa"/>
            <w:vAlign w:val="bottom"/>
          </w:tcPr>
          <w:p>
            <w:pPr>
              <w:ind w:left="1120"/>
              <w:spacing w:after="0"/>
              <w:rPr>
                <w:sz w:val="20"/>
                <w:szCs w:val="20"/>
                <w:color w:val="auto"/>
              </w:rPr>
            </w:pPr>
            <w:r>
              <w:rPr>
                <w:rFonts w:ascii="Arial" w:cs="Arial" w:eastAsia="Arial" w:hAnsi="Arial"/>
                <w:sz w:val="14"/>
                <w:szCs w:val="14"/>
                <w:color w:val="51555C"/>
              </w:rPr>
              <w:t>Second Quarter 2023 Form 10-Q</w:t>
            </w:r>
          </w:p>
        </w:tc>
        <w:tc>
          <w:tcPr>
            <w:tcW w:w="162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-133350</wp:posOffset>
            </wp:positionV>
            <wp:extent cx="65151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51555C"/>
        </w:rPr>
        <w:t>EXHIBIT 31.1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1555C"/>
        </w:rPr>
        <w:t>I, Michael P. Gianoni, certfy that:</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51555C"/>
        </w:rPr>
      </w:pPr>
      <w:r>
        <w:rPr>
          <w:rFonts w:ascii="Arial" w:cs="Arial" w:eastAsia="Arial" w:hAnsi="Arial"/>
          <w:sz w:val="18"/>
          <w:szCs w:val="18"/>
          <w:color w:val="51555C"/>
        </w:rPr>
        <w:t>I have reviewed this quarterly report on Form 10-Q of Blackbaud, Inc.;</w:t>
      </w:r>
    </w:p>
    <w:p>
      <w:pPr>
        <w:spacing w:after="0" w:line="171" w:lineRule="exact"/>
        <w:rPr>
          <w:rFonts w:ascii="Arial" w:cs="Arial" w:eastAsia="Arial" w:hAnsi="Arial"/>
          <w:sz w:val="18"/>
          <w:szCs w:val="18"/>
          <w:color w:val="51555C"/>
        </w:rPr>
      </w:pPr>
    </w:p>
    <w:p>
      <w:pPr>
        <w:jc w:val="both"/>
        <w:ind w:left="660" w:right="120" w:hanging="328"/>
        <w:spacing w:after="0" w:line="262" w:lineRule="auto"/>
        <w:tabs>
          <w:tab w:leader="none" w:pos="660" w:val="left"/>
        </w:tabs>
        <w:numPr>
          <w:ilvl w:val="0"/>
          <w:numId w:val="48"/>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8"/>
          <w:szCs w:val="18"/>
          <w:color w:val="51555C"/>
        </w:rPr>
      </w:pPr>
    </w:p>
    <w:p>
      <w:pPr>
        <w:ind w:left="660" w:right="220" w:hanging="328"/>
        <w:spacing w:after="0" w:line="303" w:lineRule="auto"/>
        <w:tabs>
          <w:tab w:leader="none" w:pos="660" w:val="left"/>
        </w:tabs>
        <w:numPr>
          <w:ilvl w:val="0"/>
          <w:numId w:val="48"/>
        </w:numPr>
        <w:rPr>
          <w:rFonts w:ascii="Arial" w:cs="Arial" w:eastAsia="Arial" w:hAnsi="Arial"/>
          <w:sz w:val="17"/>
          <w:szCs w:val="17"/>
          <w:color w:val="51555C"/>
        </w:rPr>
      </w:pPr>
      <w:r>
        <w:rPr>
          <w:rFonts w:ascii="Arial" w:cs="Arial" w:eastAsia="Arial" w:hAnsi="Arial"/>
          <w:sz w:val="17"/>
          <w:szCs w:val="17"/>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0" w:lineRule="exact"/>
        <w:rPr>
          <w:rFonts w:ascii="Arial" w:cs="Arial" w:eastAsia="Arial" w:hAnsi="Arial"/>
          <w:sz w:val="17"/>
          <w:szCs w:val="17"/>
          <w:color w:val="51555C"/>
        </w:rPr>
      </w:pPr>
    </w:p>
    <w:p>
      <w:pPr>
        <w:jc w:val="both"/>
        <w:ind w:left="660" w:right="220" w:hanging="328"/>
        <w:spacing w:after="0" w:line="262" w:lineRule="auto"/>
        <w:tabs>
          <w:tab w:leader="none" w:pos="660" w:val="left"/>
        </w:tabs>
        <w:numPr>
          <w:ilvl w:val="0"/>
          <w:numId w:val="48"/>
        </w:numPr>
        <w:rPr>
          <w:rFonts w:ascii="Arial" w:cs="Arial" w:eastAsia="Arial" w:hAnsi="Arial"/>
          <w:sz w:val="18"/>
          <w:szCs w:val="18"/>
          <w:color w:val="51555C"/>
        </w:rPr>
      </w:pPr>
      <w:r>
        <w:rPr>
          <w:rFonts w:ascii="Arial" w:cs="Arial" w:eastAsia="Arial" w:hAnsi="Arial"/>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32" w:lineRule="exact"/>
        <w:rPr>
          <w:rFonts w:ascii="Arial" w:cs="Arial" w:eastAsia="Arial" w:hAnsi="Arial"/>
          <w:sz w:val="18"/>
          <w:szCs w:val="18"/>
          <w:color w:val="51555C"/>
        </w:rPr>
      </w:pPr>
    </w:p>
    <w:p>
      <w:pPr>
        <w:ind w:left="980" w:right="80" w:hanging="324"/>
        <w:spacing w:after="0" w:line="262" w:lineRule="auto"/>
        <w:tabs>
          <w:tab w:leader="none" w:pos="980" w:val="left"/>
        </w:tabs>
        <w:numPr>
          <w:ilvl w:val="1"/>
          <w:numId w:val="48"/>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32" w:lineRule="exact"/>
        <w:rPr>
          <w:rFonts w:ascii="Arial" w:cs="Arial" w:eastAsia="Arial" w:hAnsi="Arial"/>
          <w:sz w:val="18"/>
          <w:szCs w:val="18"/>
          <w:color w:val="51555C"/>
        </w:rPr>
      </w:pPr>
    </w:p>
    <w:p>
      <w:pPr>
        <w:ind w:left="980" w:right="220" w:hanging="324"/>
        <w:spacing w:after="0" w:line="262" w:lineRule="auto"/>
        <w:tabs>
          <w:tab w:leader="none" w:pos="980" w:val="left"/>
        </w:tabs>
        <w:numPr>
          <w:ilvl w:val="1"/>
          <w:numId w:val="48"/>
        </w:numPr>
        <w:rPr>
          <w:rFonts w:ascii="Arial" w:cs="Arial" w:eastAsia="Arial" w:hAnsi="Arial"/>
          <w:sz w:val="18"/>
          <w:szCs w:val="18"/>
          <w:color w:val="51555C"/>
        </w:rPr>
      </w:pPr>
      <w:r>
        <w:rPr>
          <w:rFonts w:ascii="Arial" w:cs="Arial" w:eastAsia="Arial" w:hAnsi="Arial"/>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32" w:lineRule="exact"/>
        <w:rPr>
          <w:rFonts w:ascii="Arial" w:cs="Arial" w:eastAsia="Arial" w:hAnsi="Arial"/>
          <w:sz w:val="18"/>
          <w:szCs w:val="18"/>
          <w:color w:val="51555C"/>
        </w:rPr>
      </w:pPr>
    </w:p>
    <w:p>
      <w:pPr>
        <w:jc w:val="both"/>
        <w:ind w:left="980" w:right="320" w:hanging="324"/>
        <w:spacing w:after="0" w:line="337" w:lineRule="auto"/>
        <w:tabs>
          <w:tab w:leader="none" w:pos="980" w:val="left"/>
        </w:tabs>
        <w:numPr>
          <w:ilvl w:val="1"/>
          <w:numId w:val="48"/>
        </w:numPr>
        <w:rPr>
          <w:rFonts w:ascii="Arial" w:cs="Arial" w:eastAsia="Arial" w:hAnsi="Arial"/>
          <w:sz w:val="16"/>
          <w:szCs w:val="16"/>
          <w:color w:val="51555C"/>
        </w:rPr>
      </w:pPr>
      <w:r>
        <w:rPr>
          <w:rFonts w:ascii="Arial" w:cs="Arial" w:eastAsia="Arial" w:hAnsi="Arial"/>
          <w:sz w:val="16"/>
          <w:szCs w:val="16"/>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77" w:lineRule="exact"/>
        <w:rPr>
          <w:rFonts w:ascii="Arial" w:cs="Arial" w:eastAsia="Arial" w:hAnsi="Arial"/>
          <w:sz w:val="16"/>
          <w:szCs w:val="16"/>
          <w:color w:val="51555C"/>
        </w:rPr>
      </w:pPr>
    </w:p>
    <w:p>
      <w:pPr>
        <w:ind w:left="980" w:right="80" w:hanging="324"/>
        <w:spacing w:after="0" w:line="262" w:lineRule="auto"/>
        <w:tabs>
          <w:tab w:leader="none" w:pos="980" w:val="left"/>
        </w:tabs>
        <w:numPr>
          <w:ilvl w:val="1"/>
          <w:numId w:val="48"/>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32" w:lineRule="exact"/>
        <w:rPr>
          <w:rFonts w:ascii="Arial" w:cs="Arial" w:eastAsia="Arial" w:hAnsi="Arial"/>
          <w:sz w:val="18"/>
          <w:szCs w:val="18"/>
          <w:color w:val="51555C"/>
        </w:rPr>
      </w:pPr>
    </w:p>
    <w:p>
      <w:pPr>
        <w:ind w:left="660" w:right="160" w:hanging="328"/>
        <w:spacing w:after="0" w:line="303" w:lineRule="auto"/>
        <w:tabs>
          <w:tab w:leader="none" w:pos="660" w:val="left"/>
        </w:tabs>
        <w:numPr>
          <w:ilvl w:val="0"/>
          <w:numId w:val="48"/>
        </w:numPr>
        <w:rPr>
          <w:rFonts w:ascii="Arial" w:cs="Arial" w:eastAsia="Arial" w:hAnsi="Arial"/>
          <w:sz w:val="17"/>
          <w:szCs w:val="17"/>
          <w:color w:val="51555C"/>
        </w:rPr>
      </w:pPr>
      <w:r>
        <w:rPr>
          <w:rFonts w:ascii="Arial" w:cs="Arial" w:eastAsia="Arial" w:hAnsi="Arial"/>
          <w:sz w:val="17"/>
          <w:szCs w:val="17"/>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00" w:lineRule="exact"/>
        <w:rPr>
          <w:rFonts w:ascii="Arial" w:cs="Arial" w:eastAsia="Arial" w:hAnsi="Arial"/>
          <w:sz w:val="17"/>
          <w:szCs w:val="17"/>
          <w:color w:val="51555C"/>
        </w:rPr>
      </w:pPr>
    </w:p>
    <w:p>
      <w:pPr>
        <w:ind w:left="980" w:right="760" w:hanging="324"/>
        <w:spacing w:after="0" w:line="337" w:lineRule="auto"/>
        <w:tabs>
          <w:tab w:leader="none" w:pos="980" w:val="left"/>
        </w:tabs>
        <w:numPr>
          <w:ilvl w:val="1"/>
          <w:numId w:val="48"/>
        </w:numPr>
        <w:rPr>
          <w:rFonts w:ascii="Arial" w:cs="Arial" w:eastAsia="Arial" w:hAnsi="Arial"/>
          <w:sz w:val="16"/>
          <w:szCs w:val="16"/>
          <w:color w:val="51555C"/>
        </w:rPr>
      </w:pPr>
      <w:r>
        <w:rPr>
          <w:rFonts w:ascii="Arial" w:cs="Arial" w:eastAsia="Arial" w:hAnsi="Arial"/>
          <w:sz w:val="16"/>
          <w:szCs w:val="16"/>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77" w:lineRule="exact"/>
        <w:rPr>
          <w:rFonts w:ascii="Arial" w:cs="Arial" w:eastAsia="Arial" w:hAnsi="Arial"/>
          <w:sz w:val="16"/>
          <w:szCs w:val="16"/>
          <w:color w:val="51555C"/>
        </w:rPr>
      </w:pPr>
    </w:p>
    <w:p>
      <w:pPr>
        <w:ind w:left="980" w:right="320" w:hanging="324"/>
        <w:spacing w:after="0" w:line="273" w:lineRule="auto"/>
        <w:tabs>
          <w:tab w:leader="none" w:pos="980" w:val="left"/>
        </w:tabs>
        <w:numPr>
          <w:ilvl w:val="1"/>
          <w:numId w:val="48"/>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signifcant role in the registrant’s internal control over fnancial reportng.</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8"/>
                <w:szCs w:val="18"/>
                <w:color w:val="51555C"/>
              </w:rPr>
              <w:t>Date:   August 3, 2023</w:t>
            </w:r>
          </w:p>
        </w:tc>
        <w:tc>
          <w:tcPr>
            <w:tcW w:w="2540" w:type="dxa"/>
            <w:vAlign w:val="bottom"/>
          </w:tcPr>
          <w:p>
            <w:pPr>
              <w:ind w:left="2020"/>
              <w:spacing w:after="0"/>
              <w:rPr>
                <w:sz w:val="20"/>
                <w:szCs w:val="20"/>
                <w:color w:val="auto"/>
              </w:rPr>
            </w:pPr>
            <w:r>
              <w:rPr>
                <w:rFonts w:ascii="Arial" w:cs="Arial" w:eastAsia="Arial" w:hAnsi="Arial"/>
                <w:sz w:val="18"/>
                <w:szCs w:val="18"/>
                <w:color w:val="51555C"/>
              </w:rPr>
              <w:t>By:</w:t>
            </w:r>
          </w:p>
        </w:tc>
        <w:tc>
          <w:tcPr>
            <w:tcW w:w="4860" w:type="dxa"/>
            <w:vAlign w:val="bottom"/>
          </w:tcPr>
          <w:p>
            <w:pPr>
              <w:spacing w:after="0"/>
              <w:rPr>
                <w:sz w:val="20"/>
                <w:szCs w:val="20"/>
                <w:color w:val="auto"/>
              </w:rPr>
            </w:pPr>
            <w:r>
              <w:rPr>
                <w:rFonts w:ascii="Arial" w:cs="Arial" w:eastAsia="Arial" w:hAnsi="Arial"/>
                <w:sz w:val="18"/>
                <w:szCs w:val="18"/>
                <w:color w:val="51555C"/>
              </w:rPr>
              <w:t>/s/ Michael P. Gianoni</w:t>
            </w:r>
          </w:p>
        </w:tc>
      </w:tr>
      <w:tr>
        <w:trPr>
          <w:trHeight w:val="22"/>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r>
      <w:tr>
        <w:trPr>
          <w:trHeight w:val="204"/>
        </w:trPr>
        <w:tc>
          <w:tcPr>
            <w:tcW w:w="3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60" w:type="dxa"/>
            <w:vAlign w:val="bottom"/>
          </w:tcPr>
          <w:p>
            <w:pPr>
              <w:spacing w:after="0" w:line="204" w:lineRule="exact"/>
              <w:rPr>
                <w:sz w:val="20"/>
                <w:szCs w:val="20"/>
                <w:color w:val="auto"/>
              </w:rPr>
            </w:pPr>
            <w:r>
              <w:rPr>
                <w:rFonts w:ascii="Arial" w:cs="Arial" w:eastAsia="Arial" w:hAnsi="Arial"/>
                <w:sz w:val="18"/>
                <w:szCs w:val="18"/>
                <w:color w:val="51555C"/>
              </w:rPr>
              <w:t>Michael P. Gianoni</w:t>
            </w:r>
          </w:p>
        </w:tc>
      </w:tr>
      <w:tr>
        <w:trPr>
          <w:trHeight w:val="227"/>
        </w:trPr>
        <w:tc>
          <w:tcPr>
            <w:tcW w:w="3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51555C"/>
              </w:rPr>
              <w:t>President and Chief Executve Ofcer</w:t>
            </w:r>
          </w:p>
        </w:tc>
      </w:tr>
      <w:tr>
        <w:trPr>
          <w:trHeight w:val="243"/>
        </w:trPr>
        <w:tc>
          <w:tcPr>
            <w:tcW w:w="3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51555C"/>
              </w:rPr>
              <w:t>(Principal Executve Ofcer)</w:t>
            </w:r>
          </w:p>
        </w:tc>
      </w:tr>
    </w:tbl>
    <w:p>
      <w:pPr>
        <w:sectPr>
          <w:pgSz w:w="11900" w:h="16838" w:orient="portrait"/>
          <w:cols w:equalWidth="0" w:num="1">
            <w:col w:w="11240"/>
          </w:cols>
          <w:pgMar w:left="320" w:top="87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51555C"/>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51555C"/>
        </w:rPr>
        <w:t>I, Anthony W. Boor, certfy that:</w:t>
      </w:r>
    </w:p>
    <w:p>
      <w:pPr>
        <w:spacing w:after="0" w:line="17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51555C"/>
        </w:rPr>
      </w:pPr>
      <w:r>
        <w:rPr>
          <w:rFonts w:ascii="Arial" w:cs="Arial" w:eastAsia="Arial" w:hAnsi="Arial"/>
          <w:sz w:val="18"/>
          <w:szCs w:val="18"/>
          <w:color w:val="51555C"/>
        </w:rPr>
        <w:t>I have reviewed this quarterly report on Form 10-Q of Blackbaud, Inc.;</w:t>
      </w:r>
    </w:p>
    <w:p>
      <w:pPr>
        <w:spacing w:after="0" w:line="171" w:lineRule="exact"/>
        <w:rPr>
          <w:rFonts w:ascii="Arial" w:cs="Arial" w:eastAsia="Arial" w:hAnsi="Arial"/>
          <w:sz w:val="18"/>
          <w:szCs w:val="18"/>
          <w:color w:val="51555C"/>
        </w:rPr>
      </w:pPr>
    </w:p>
    <w:p>
      <w:pPr>
        <w:jc w:val="both"/>
        <w:ind w:left="660" w:right="120" w:hanging="328"/>
        <w:spacing w:after="0" w:line="262" w:lineRule="auto"/>
        <w:tabs>
          <w:tab w:leader="none" w:pos="660" w:val="left"/>
        </w:tabs>
        <w:numPr>
          <w:ilvl w:val="0"/>
          <w:numId w:val="49"/>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8"/>
          <w:szCs w:val="18"/>
          <w:color w:val="51555C"/>
        </w:rPr>
      </w:pPr>
    </w:p>
    <w:p>
      <w:pPr>
        <w:ind w:left="660" w:right="220" w:hanging="328"/>
        <w:spacing w:after="0" w:line="303" w:lineRule="auto"/>
        <w:tabs>
          <w:tab w:leader="none" w:pos="660" w:val="left"/>
        </w:tabs>
        <w:numPr>
          <w:ilvl w:val="0"/>
          <w:numId w:val="49"/>
        </w:numPr>
        <w:rPr>
          <w:rFonts w:ascii="Arial" w:cs="Arial" w:eastAsia="Arial" w:hAnsi="Arial"/>
          <w:sz w:val="17"/>
          <w:szCs w:val="17"/>
          <w:color w:val="51555C"/>
        </w:rPr>
      </w:pPr>
      <w:r>
        <w:rPr>
          <w:rFonts w:ascii="Arial" w:cs="Arial" w:eastAsia="Arial" w:hAnsi="Arial"/>
          <w:sz w:val="17"/>
          <w:szCs w:val="17"/>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00" w:lineRule="exact"/>
        <w:rPr>
          <w:rFonts w:ascii="Arial" w:cs="Arial" w:eastAsia="Arial" w:hAnsi="Arial"/>
          <w:sz w:val="17"/>
          <w:szCs w:val="17"/>
          <w:color w:val="51555C"/>
        </w:rPr>
      </w:pPr>
    </w:p>
    <w:p>
      <w:pPr>
        <w:jc w:val="both"/>
        <w:ind w:left="660" w:right="220" w:hanging="328"/>
        <w:spacing w:after="0" w:line="262" w:lineRule="auto"/>
        <w:tabs>
          <w:tab w:leader="none" w:pos="660" w:val="left"/>
        </w:tabs>
        <w:numPr>
          <w:ilvl w:val="0"/>
          <w:numId w:val="49"/>
        </w:numPr>
        <w:rPr>
          <w:rFonts w:ascii="Arial" w:cs="Arial" w:eastAsia="Arial" w:hAnsi="Arial"/>
          <w:sz w:val="18"/>
          <w:szCs w:val="18"/>
          <w:color w:val="51555C"/>
        </w:rPr>
      </w:pPr>
      <w:r>
        <w:rPr>
          <w:rFonts w:ascii="Arial" w:cs="Arial" w:eastAsia="Arial" w:hAnsi="Arial"/>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32" w:lineRule="exact"/>
        <w:rPr>
          <w:rFonts w:ascii="Arial" w:cs="Arial" w:eastAsia="Arial" w:hAnsi="Arial"/>
          <w:sz w:val="18"/>
          <w:szCs w:val="18"/>
          <w:color w:val="51555C"/>
        </w:rPr>
      </w:pPr>
    </w:p>
    <w:p>
      <w:pPr>
        <w:ind w:left="980" w:right="80" w:hanging="324"/>
        <w:spacing w:after="0" w:line="262" w:lineRule="auto"/>
        <w:tabs>
          <w:tab w:leader="none" w:pos="980" w:val="left"/>
        </w:tabs>
        <w:numPr>
          <w:ilvl w:val="1"/>
          <w:numId w:val="49"/>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32" w:lineRule="exact"/>
        <w:rPr>
          <w:rFonts w:ascii="Arial" w:cs="Arial" w:eastAsia="Arial" w:hAnsi="Arial"/>
          <w:sz w:val="18"/>
          <w:szCs w:val="18"/>
          <w:color w:val="51555C"/>
        </w:rPr>
      </w:pPr>
    </w:p>
    <w:p>
      <w:pPr>
        <w:ind w:left="980" w:right="220" w:hanging="324"/>
        <w:spacing w:after="0" w:line="262" w:lineRule="auto"/>
        <w:tabs>
          <w:tab w:leader="none" w:pos="980" w:val="left"/>
        </w:tabs>
        <w:numPr>
          <w:ilvl w:val="1"/>
          <w:numId w:val="49"/>
        </w:numPr>
        <w:rPr>
          <w:rFonts w:ascii="Arial" w:cs="Arial" w:eastAsia="Arial" w:hAnsi="Arial"/>
          <w:sz w:val="18"/>
          <w:szCs w:val="18"/>
          <w:color w:val="51555C"/>
        </w:rPr>
      </w:pPr>
      <w:r>
        <w:rPr>
          <w:rFonts w:ascii="Arial" w:cs="Arial" w:eastAsia="Arial" w:hAnsi="Arial"/>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32" w:lineRule="exact"/>
        <w:rPr>
          <w:rFonts w:ascii="Arial" w:cs="Arial" w:eastAsia="Arial" w:hAnsi="Arial"/>
          <w:sz w:val="18"/>
          <w:szCs w:val="18"/>
          <w:color w:val="51555C"/>
        </w:rPr>
      </w:pPr>
    </w:p>
    <w:p>
      <w:pPr>
        <w:jc w:val="both"/>
        <w:ind w:left="980" w:right="320" w:hanging="324"/>
        <w:spacing w:after="0" w:line="337" w:lineRule="auto"/>
        <w:tabs>
          <w:tab w:leader="none" w:pos="980" w:val="left"/>
        </w:tabs>
        <w:numPr>
          <w:ilvl w:val="1"/>
          <w:numId w:val="49"/>
        </w:numPr>
        <w:rPr>
          <w:rFonts w:ascii="Arial" w:cs="Arial" w:eastAsia="Arial" w:hAnsi="Arial"/>
          <w:sz w:val="16"/>
          <w:szCs w:val="16"/>
          <w:color w:val="51555C"/>
        </w:rPr>
      </w:pPr>
      <w:r>
        <w:rPr>
          <w:rFonts w:ascii="Arial" w:cs="Arial" w:eastAsia="Arial" w:hAnsi="Arial"/>
          <w:sz w:val="16"/>
          <w:szCs w:val="16"/>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77" w:lineRule="exact"/>
        <w:rPr>
          <w:rFonts w:ascii="Arial" w:cs="Arial" w:eastAsia="Arial" w:hAnsi="Arial"/>
          <w:sz w:val="16"/>
          <w:szCs w:val="16"/>
          <w:color w:val="51555C"/>
        </w:rPr>
      </w:pPr>
    </w:p>
    <w:p>
      <w:pPr>
        <w:ind w:left="980" w:right="80" w:hanging="324"/>
        <w:spacing w:after="0" w:line="262" w:lineRule="auto"/>
        <w:tabs>
          <w:tab w:leader="none" w:pos="980" w:val="left"/>
        </w:tabs>
        <w:numPr>
          <w:ilvl w:val="1"/>
          <w:numId w:val="49"/>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32" w:lineRule="exact"/>
        <w:rPr>
          <w:rFonts w:ascii="Arial" w:cs="Arial" w:eastAsia="Arial" w:hAnsi="Arial"/>
          <w:sz w:val="18"/>
          <w:szCs w:val="18"/>
          <w:color w:val="51555C"/>
        </w:rPr>
      </w:pPr>
    </w:p>
    <w:p>
      <w:pPr>
        <w:ind w:left="660" w:right="160" w:hanging="328"/>
        <w:spacing w:after="0" w:line="303" w:lineRule="auto"/>
        <w:tabs>
          <w:tab w:leader="none" w:pos="660" w:val="left"/>
        </w:tabs>
        <w:numPr>
          <w:ilvl w:val="0"/>
          <w:numId w:val="49"/>
        </w:numPr>
        <w:rPr>
          <w:rFonts w:ascii="Arial" w:cs="Arial" w:eastAsia="Arial" w:hAnsi="Arial"/>
          <w:sz w:val="17"/>
          <w:szCs w:val="17"/>
          <w:color w:val="51555C"/>
        </w:rPr>
      </w:pPr>
      <w:r>
        <w:rPr>
          <w:rFonts w:ascii="Arial" w:cs="Arial" w:eastAsia="Arial" w:hAnsi="Arial"/>
          <w:sz w:val="17"/>
          <w:szCs w:val="17"/>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00" w:lineRule="exact"/>
        <w:rPr>
          <w:rFonts w:ascii="Arial" w:cs="Arial" w:eastAsia="Arial" w:hAnsi="Arial"/>
          <w:sz w:val="17"/>
          <w:szCs w:val="17"/>
          <w:color w:val="51555C"/>
        </w:rPr>
      </w:pPr>
    </w:p>
    <w:p>
      <w:pPr>
        <w:ind w:left="980" w:right="760" w:hanging="324"/>
        <w:spacing w:after="0" w:line="337" w:lineRule="auto"/>
        <w:tabs>
          <w:tab w:leader="none" w:pos="980" w:val="left"/>
        </w:tabs>
        <w:numPr>
          <w:ilvl w:val="1"/>
          <w:numId w:val="49"/>
        </w:numPr>
        <w:rPr>
          <w:rFonts w:ascii="Arial" w:cs="Arial" w:eastAsia="Arial" w:hAnsi="Arial"/>
          <w:sz w:val="16"/>
          <w:szCs w:val="16"/>
          <w:color w:val="51555C"/>
        </w:rPr>
      </w:pPr>
      <w:r>
        <w:rPr>
          <w:rFonts w:ascii="Arial" w:cs="Arial" w:eastAsia="Arial" w:hAnsi="Arial"/>
          <w:sz w:val="16"/>
          <w:szCs w:val="16"/>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77" w:lineRule="exact"/>
        <w:rPr>
          <w:rFonts w:ascii="Arial" w:cs="Arial" w:eastAsia="Arial" w:hAnsi="Arial"/>
          <w:sz w:val="16"/>
          <w:szCs w:val="16"/>
          <w:color w:val="51555C"/>
        </w:rPr>
      </w:pPr>
    </w:p>
    <w:p>
      <w:pPr>
        <w:ind w:left="980" w:right="320" w:hanging="324"/>
        <w:spacing w:after="0" w:line="273" w:lineRule="auto"/>
        <w:tabs>
          <w:tab w:leader="none" w:pos="980" w:val="left"/>
        </w:tabs>
        <w:numPr>
          <w:ilvl w:val="1"/>
          <w:numId w:val="49"/>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signifcant role in the registrant’s internal control over fnancial reportng.</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8"/>
                <w:szCs w:val="18"/>
                <w:color w:val="51555C"/>
              </w:rPr>
              <w:t>Date:   August 3, 2023</w:t>
            </w:r>
          </w:p>
        </w:tc>
        <w:tc>
          <w:tcPr>
            <w:tcW w:w="2540" w:type="dxa"/>
            <w:vAlign w:val="bottom"/>
          </w:tcPr>
          <w:p>
            <w:pPr>
              <w:ind w:left="2020"/>
              <w:spacing w:after="0"/>
              <w:rPr>
                <w:sz w:val="20"/>
                <w:szCs w:val="20"/>
                <w:color w:val="auto"/>
              </w:rPr>
            </w:pPr>
            <w:r>
              <w:rPr>
                <w:rFonts w:ascii="Arial" w:cs="Arial" w:eastAsia="Arial" w:hAnsi="Arial"/>
                <w:sz w:val="18"/>
                <w:szCs w:val="18"/>
                <w:color w:val="51555C"/>
              </w:rPr>
              <w:t>By:</w:t>
            </w:r>
          </w:p>
        </w:tc>
        <w:tc>
          <w:tcPr>
            <w:tcW w:w="4860" w:type="dxa"/>
            <w:vAlign w:val="bottom"/>
          </w:tcPr>
          <w:p>
            <w:pPr>
              <w:spacing w:after="0"/>
              <w:rPr>
                <w:sz w:val="20"/>
                <w:szCs w:val="20"/>
                <w:color w:val="auto"/>
              </w:rPr>
            </w:pPr>
            <w:r>
              <w:rPr>
                <w:rFonts w:ascii="Arial" w:cs="Arial" w:eastAsia="Arial" w:hAnsi="Arial"/>
                <w:sz w:val="18"/>
                <w:szCs w:val="18"/>
                <w:color w:val="51555C"/>
              </w:rPr>
              <w:t>/s/ Anthony W. Boor</w:t>
            </w:r>
          </w:p>
        </w:tc>
      </w:tr>
      <w:tr>
        <w:trPr>
          <w:trHeight w:val="22"/>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r>
      <w:tr>
        <w:trPr>
          <w:trHeight w:val="204"/>
        </w:trPr>
        <w:tc>
          <w:tcPr>
            <w:tcW w:w="3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60" w:type="dxa"/>
            <w:vAlign w:val="bottom"/>
          </w:tcPr>
          <w:p>
            <w:pPr>
              <w:spacing w:after="0" w:line="204" w:lineRule="exact"/>
              <w:rPr>
                <w:sz w:val="20"/>
                <w:szCs w:val="20"/>
                <w:color w:val="auto"/>
              </w:rPr>
            </w:pPr>
            <w:r>
              <w:rPr>
                <w:rFonts w:ascii="Arial" w:cs="Arial" w:eastAsia="Arial" w:hAnsi="Arial"/>
                <w:sz w:val="18"/>
                <w:szCs w:val="18"/>
                <w:color w:val="51555C"/>
              </w:rPr>
              <w:t>Anthony W. Boor</w:t>
            </w:r>
          </w:p>
        </w:tc>
      </w:tr>
      <w:tr>
        <w:trPr>
          <w:trHeight w:val="227"/>
        </w:trPr>
        <w:tc>
          <w:tcPr>
            <w:tcW w:w="3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51555C"/>
              </w:rPr>
              <w:t>Executve Vice President and Chief Financial Ofcer</w:t>
            </w:r>
          </w:p>
        </w:tc>
      </w:tr>
      <w:tr>
        <w:trPr>
          <w:trHeight w:val="243"/>
        </w:trPr>
        <w:tc>
          <w:tcPr>
            <w:tcW w:w="3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51555C"/>
              </w:rPr>
              <w:t>(Principal Financial and Accountng Ofcer)</w:t>
            </w:r>
          </w:p>
        </w:tc>
      </w:tr>
    </w:tbl>
    <w:p>
      <w:pPr>
        <w:sectPr>
          <w:pgSz w:w="11900" w:h="16838" w:orient="portrait"/>
          <w:cols w:equalWidth="0" w:num="1">
            <w:col w:w="11240"/>
          </w:cols>
          <w:pgMar w:left="320" w:top="87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51555C"/>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2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In connecton with the Quarterly Report on Form 10-Q of Blackbaud, Inc. (the “Company”) for the period ended June 30, 2023 as fled with the Securites and Exchange Commission on or about the date hereof (the “Report”), I, Michael P. Gianoni, President and Chief Executve Ofcer, hereby certfy, pursuant to 18 U.S.C. 1350, as adopted pursuant to Secton 906 of the Sarbanes-Oxley Act of 2002, that, to my knowledge:</w:t>
      </w:r>
    </w:p>
    <w:p>
      <w:pPr>
        <w:spacing w:after="0" w:line="13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Secton 13(a) or 15(d) of the Securites Exchange Act of 1934; and</w:t>
      </w:r>
    </w:p>
    <w:p>
      <w:pPr>
        <w:spacing w:after="0" w:line="171" w:lineRule="exact"/>
        <w:rPr>
          <w:rFonts w:ascii="Arial" w:cs="Arial" w:eastAsia="Arial" w:hAnsi="Arial"/>
          <w:sz w:val="18"/>
          <w:szCs w:val="18"/>
          <w:color w:val="51555C"/>
        </w:rPr>
      </w:pPr>
    </w:p>
    <w:p>
      <w:pPr>
        <w:ind w:left="660" w:hanging="328"/>
        <w:spacing w:after="0"/>
        <w:tabs>
          <w:tab w:leader="none" w:pos="660" w:val="left"/>
        </w:tabs>
        <w:numPr>
          <w:ilvl w:val="0"/>
          <w:numId w:val="50"/>
        </w:numPr>
        <w:rPr>
          <w:rFonts w:ascii="Arial" w:cs="Arial" w:eastAsia="Arial" w:hAnsi="Arial"/>
          <w:sz w:val="16"/>
          <w:szCs w:val="16"/>
          <w:color w:val="51555C"/>
        </w:rPr>
      </w:pPr>
      <w:r>
        <w:rPr>
          <w:rFonts w:ascii="Arial" w:cs="Arial" w:eastAsia="Arial" w:hAnsi="Arial"/>
          <w:sz w:val="16"/>
          <w:szCs w:val="16"/>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8"/>
                <w:szCs w:val="18"/>
                <w:color w:val="51555C"/>
              </w:rPr>
              <w:t>Date:   August 3, 2023</w:t>
            </w:r>
          </w:p>
        </w:tc>
        <w:tc>
          <w:tcPr>
            <w:tcW w:w="2540" w:type="dxa"/>
            <w:vAlign w:val="bottom"/>
          </w:tcPr>
          <w:p>
            <w:pPr>
              <w:ind w:left="2040"/>
              <w:spacing w:after="0"/>
              <w:rPr>
                <w:sz w:val="20"/>
                <w:szCs w:val="20"/>
                <w:color w:val="auto"/>
              </w:rPr>
            </w:pPr>
            <w:r>
              <w:rPr>
                <w:rFonts w:ascii="Arial" w:cs="Arial" w:eastAsia="Arial" w:hAnsi="Arial"/>
                <w:sz w:val="18"/>
                <w:szCs w:val="18"/>
                <w:color w:val="51555C"/>
              </w:rPr>
              <w:t>By:</w:t>
            </w:r>
          </w:p>
        </w:tc>
        <w:tc>
          <w:tcPr>
            <w:tcW w:w="4880" w:type="dxa"/>
            <w:vAlign w:val="bottom"/>
          </w:tcPr>
          <w:p>
            <w:pPr>
              <w:ind w:left="20"/>
              <w:spacing w:after="0"/>
              <w:rPr>
                <w:sz w:val="20"/>
                <w:szCs w:val="20"/>
                <w:color w:val="auto"/>
              </w:rPr>
            </w:pPr>
            <w:r>
              <w:rPr>
                <w:rFonts w:ascii="Arial" w:cs="Arial" w:eastAsia="Arial" w:hAnsi="Arial"/>
                <w:sz w:val="18"/>
                <w:szCs w:val="18"/>
                <w:color w:val="51555C"/>
              </w:rPr>
              <w:t>/s/ Michael P. Gianoni</w:t>
            </w:r>
          </w:p>
        </w:tc>
      </w:tr>
      <w:tr>
        <w:trPr>
          <w:trHeight w:val="22"/>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r>
      <w:tr>
        <w:trPr>
          <w:trHeight w:val="204"/>
        </w:trPr>
        <w:tc>
          <w:tcPr>
            <w:tcW w:w="3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80" w:type="dxa"/>
            <w:vAlign w:val="bottom"/>
          </w:tcPr>
          <w:p>
            <w:pPr>
              <w:ind w:left="20"/>
              <w:spacing w:after="0" w:line="204" w:lineRule="exact"/>
              <w:rPr>
                <w:sz w:val="20"/>
                <w:szCs w:val="20"/>
                <w:color w:val="auto"/>
              </w:rPr>
            </w:pPr>
            <w:r>
              <w:rPr>
                <w:rFonts w:ascii="Arial" w:cs="Arial" w:eastAsia="Arial" w:hAnsi="Arial"/>
                <w:sz w:val="18"/>
                <w:szCs w:val="18"/>
                <w:color w:val="51555C"/>
              </w:rPr>
              <w:t>Michael P. Gianoni</w:t>
            </w:r>
          </w:p>
        </w:tc>
      </w:tr>
      <w:tr>
        <w:trPr>
          <w:trHeight w:val="227"/>
        </w:trPr>
        <w:tc>
          <w:tcPr>
            <w:tcW w:w="3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President and Chief Executve Ofcer</w:t>
            </w:r>
          </w:p>
        </w:tc>
      </w:tr>
      <w:tr>
        <w:trPr>
          <w:trHeight w:val="243"/>
        </w:trPr>
        <w:tc>
          <w:tcPr>
            <w:tcW w:w="3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(Principal Executve Ofcer)</w:t>
            </w:r>
          </w:p>
        </w:tc>
      </w:tr>
    </w:tbl>
    <w:p>
      <w:pPr>
        <w:sectPr>
          <w:pgSz w:w="11900" w:h="16838" w:orient="portrait"/>
          <w:cols w:equalWidth="0" w:num="1">
            <w:col w:w="11240"/>
          </w:cols>
          <w:pgMar w:left="320" w:top="87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51555C"/>
        </w:rPr>
        <w:t>EXHIBIT 32.2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2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51555C"/>
        </w:rPr>
        <w:t>In connecton with the Quarterly Report on Form 10-Q of Blackbaud, Inc. (the “Company”) for the period ended June 30, 2023 as fled with the Securites and Exchange Commission on or about the date hereof (the “Report”), I, Anthony W. Boor, Executve Vice President and Chief Financial Ofcer, hereby certfy, pursuant to 18 U.S.C. 1350, as adopted pursuant to Secton 906 of the Sarbanes-Oxley Act of 2002, that, to my knowledge:</w:t>
      </w:r>
    </w:p>
    <w:p>
      <w:pPr>
        <w:spacing w:after="0" w:line="11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Secton 13(a) or 15(d) of the Securites Exchange Act of 1934; and</w:t>
      </w:r>
    </w:p>
    <w:p>
      <w:pPr>
        <w:spacing w:after="0" w:line="171" w:lineRule="exact"/>
        <w:rPr>
          <w:rFonts w:ascii="Arial" w:cs="Arial" w:eastAsia="Arial" w:hAnsi="Arial"/>
          <w:sz w:val="18"/>
          <w:szCs w:val="18"/>
          <w:color w:val="51555C"/>
        </w:rPr>
      </w:pPr>
    </w:p>
    <w:p>
      <w:pPr>
        <w:ind w:left="660" w:hanging="328"/>
        <w:spacing w:after="0"/>
        <w:tabs>
          <w:tab w:leader="none" w:pos="660" w:val="left"/>
        </w:tabs>
        <w:numPr>
          <w:ilvl w:val="0"/>
          <w:numId w:val="51"/>
        </w:numPr>
        <w:rPr>
          <w:rFonts w:ascii="Arial" w:cs="Arial" w:eastAsia="Arial" w:hAnsi="Arial"/>
          <w:sz w:val="16"/>
          <w:szCs w:val="16"/>
          <w:color w:val="51555C"/>
        </w:rPr>
      </w:pPr>
      <w:r>
        <w:rPr>
          <w:rFonts w:ascii="Arial" w:cs="Arial" w:eastAsia="Arial" w:hAnsi="Arial"/>
          <w:sz w:val="16"/>
          <w:szCs w:val="16"/>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8"/>
                <w:szCs w:val="18"/>
                <w:color w:val="51555C"/>
              </w:rPr>
              <w:t>Date:   August 3, 2023</w:t>
            </w:r>
          </w:p>
        </w:tc>
        <w:tc>
          <w:tcPr>
            <w:tcW w:w="2540" w:type="dxa"/>
            <w:vAlign w:val="bottom"/>
          </w:tcPr>
          <w:p>
            <w:pPr>
              <w:ind w:left="2040"/>
              <w:spacing w:after="0"/>
              <w:rPr>
                <w:sz w:val="20"/>
                <w:szCs w:val="20"/>
                <w:color w:val="auto"/>
              </w:rPr>
            </w:pPr>
            <w:r>
              <w:rPr>
                <w:rFonts w:ascii="Arial" w:cs="Arial" w:eastAsia="Arial" w:hAnsi="Arial"/>
                <w:sz w:val="18"/>
                <w:szCs w:val="18"/>
                <w:color w:val="51555C"/>
              </w:rPr>
              <w:t>By:</w:t>
            </w:r>
          </w:p>
        </w:tc>
        <w:tc>
          <w:tcPr>
            <w:tcW w:w="4880" w:type="dxa"/>
            <w:vAlign w:val="bottom"/>
          </w:tcPr>
          <w:p>
            <w:pPr>
              <w:ind w:left="20"/>
              <w:spacing w:after="0"/>
              <w:rPr>
                <w:sz w:val="20"/>
                <w:szCs w:val="20"/>
                <w:color w:val="auto"/>
              </w:rPr>
            </w:pPr>
            <w:r>
              <w:rPr>
                <w:rFonts w:ascii="Arial" w:cs="Arial" w:eastAsia="Arial" w:hAnsi="Arial"/>
                <w:sz w:val="18"/>
                <w:szCs w:val="18"/>
                <w:color w:val="51555C"/>
              </w:rPr>
              <w:t>/s/ Anthony W. Boor</w:t>
            </w:r>
          </w:p>
        </w:tc>
      </w:tr>
      <w:tr>
        <w:trPr>
          <w:trHeight w:val="22"/>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r>
      <w:tr>
        <w:trPr>
          <w:trHeight w:val="204"/>
        </w:trPr>
        <w:tc>
          <w:tcPr>
            <w:tcW w:w="3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80" w:type="dxa"/>
            <w:vAlign w:val="bottom"/>
          </w:tcPr>
          <w:p>
            <w:pPr>
              <w:ind w:left="20"/>
              <w:spacing w:after="0" w:line="204" w:lineRule="exact"/>
              <w:rPr>
                <w:sz w:val="20"/>
                <w:szCs w:val="20"/>
                <w:color w:val="auto"/>
              </w:rPr>
            </w:pPr>
            <w:r>
              <w:rPr>
                <w:rFonts w:ascii="Arial" w:cs="Arial" w:eastAsia="Arial" w:hAnsi="Arial"/>
                <w:sz w:val="18"/>
                <w:szCs w:val="18"/>
                <w:color w:val="51555C"/>
              </w:rPr>
              <w:t>Anthony W. Boor</w:t>
            </w:r>
          </w:p>
        </w:tc>
      </w:tr>
      <w:tr>
        <w:trPr>
          <w:trHeight w:val="227"/>
        </w:trPr>
        <w:tc>
          <w:tcPr>
            <w:tcW w:w="3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Executve Vice President and Chief Financial Ofcer</w:t>
            </w:r>
          </w:p>
        </w:tc>
      </w:tr>
      <w:tr>
        <w:trPr>
          <w:trHeight w:val="243"/>
        </w:trPr>
        <w:tc>
          <w:tcPr>
            <w:tcW w:w="3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51555C"/>
              </w:rPr>
              <w:t>(Principal Financial and Accountng Ofcer)</w:t>
            </w:r>
          </w:p>
        </w:tc>
      </w:tr>
    </w:tbl>
    <w:p>
      <w:pPr>
        <w:spacing w:after="0" w:line="1" w:lineRule="exact"/>
        <w:rPr>
          <w:sz w:val="20"/>
          <w:szCs w:val="20"/>
          <w:color w:val="auto"/>
        </w:rPr>
      </w:pP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6"/>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lowerRoman"/>
      <w:start w:val="2"/>
    </w:lvl>
  </w:abstractNum>
  <w:abstractNum w:abstractNumId="13">
    <w:nsid w:val="22221A70"/>
    <w:multiLevelType w:val="hybridMultilevel"/>
    <w:lvl w:ilvl="0">
      <w:lvlJc w:val="left"/>
      <w:lvlText w:val="%1."/>
      <w:numFmt w:val="decimal"/>
    </w:lvl>
    <w:lvl w:ilvl="1">
      <w:lvlJc w:val="left"/>
      <w:lvlText w:val="•"/>
      <w:numFmt w:val="bullet"/>
      <w:start w:val="1"/>
    </w:lvl>
    <w:lvl w:ilvl="2">
      <w:lvlJc w:val="left"/>
      <w:lvlText w:val="1"/>
      <w:numFmt w:val="bullet"/>
      <w:start w:val="1"/>
    </w:lvl>
  </w:abstractNum>
  <w:abstractNum w:abstractNumId="14">
    <w:nsid w:val="4516DDE9"/>
    <w:multiLevelType w:val="hybridMultilevel"/>
    <w:lvl w:ilvl="0">
      <w:lvlJc w:val="left"/>
      <w:lvlText w:val="%1."/>
      <w:numFmt w:val="decimal"/>
      <w:start w:val="1"/>
    </w:lvl>
    <w:lvl w:ilvl="1">
      <w:lvlJc w:val="left"/>
      <w:lvlText w:val="•"/>
      <w:numFmt w:val="bullet"/>
      <w:start w:val="1"/>
    </w:lvl>
  </w:abstractNum>
  <w:abstractNum w:abstractNumId="15">
    <w:nsid w:val="3006C83E"/>
    <w:multiLevelType w:val="hybridMultilevel"/>
    <w:lvl w:ilvl="0">
      <w:lvlJc w:val="left"/>
      <w:lvlText w:val="+"/>
      <w:numFmt w:val="bullet"/>
      <w:start w:val="1"/>
    </w:lvl>
    <w:lvl w:ilvl="1">
      <w:lvlJc w:val="left"/>
      <w:lvlText w:val="•"/>
      <w:numFmt w:val="bullet"/>
      <w:start w:val="1"/>
    </w:lvl>
  </w:abstractNum>
  <w:abstractNum w:abstractNumId="16">
    <w:nsid w:val="614FD4A1"/>
    <w:multiLevelType w:val="hybridMultilevel"/>
    <w:lvl w:ilvl="0">
      <w:lvlJc w:val="left"/>
      <w:lvlText w:val="-"/>
      <w:numFmt w:val="bullet"/>
      <w:start w:val="1"/>
    </w:lvl>
    <w:lvl w:ilvl="1">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lvl w:ilvl="1">
      <w:lvlJc w:val="left"/>
      <w:lvlText w:val="•"/>
      <w:numFmt w:val="bullet"/>
      <w:start w:val="1"/>
    </w:lvl>
  </w:abstractNum>
  <w:abstractNum w:abstractNumId="30">
    <w:nsid w:val="153EA438"/>
    <w:multiLevelType w:val="hybridMultilevel"/>
    <w:lvl w:ilvl="0">
      <w:lvlJc w:val="left"/>
      <w:lvlText w:val="-"/>
      <w:numFmt w:val="bullet"/>
      <w:start w:val="1"/>
    </w:lvl>
    <w:lvl w:ilvl="1">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4"/>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37" Type="http://schemas.openxmlformats.org/officeDocument/2006/relationships/hyperlink" Target="https://www.sec.gov/Archives/edgar/data/1280058/000128005823000026/exhibit101jun8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2023-08-03T08:25:00Z</dcterms:created>
  <dcterms:modified xsi:type="dcterms:W3CDTF">2023-08-03T08:25:00Z</dcterms:modified>
</cp:coreProperties>
</file>