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jc w:val="center"/>
        <w:spacing w:after="0"/>
        <w:rPr>
          <w:sz w:val="20"/>
          <w:szCs w:val="20"/>
          <w:color w:val="auto"/>
        </w:rPr>
      </w:pPr>
      <w:r>
        <w:rPr>
          <w:rFonts w:ascii="Calibri" w:cs="Calibri" w:eastAsia="Calibri" w:hAnsi="Calibri"/>
          <w:sz w:val="18"/>
          <w:szCs w:val="18"/>
          <w:b w:val="1"/>
          <w:bCs w:val="1"/>
          <w:color w:val="51555C"/>
        </w:rPr>
        <w:t>UNITED STATES</w:t>
      </w:r>
    </w:p>
    <w:p>
      <w:pPr>
        <w:jc w:val="center"/>
        <w:spacing w:after="0" w:line="235" w:lineRule="auto"/>
        <w:rPr>
          <w:sz w:val="20"/>
          <w:szCs w:val="20"/>
          <w:color w:val="auto"/>
        </w:rPr>
      </w:pPr>
      <w:r>
        <w:rPr>
          <w:rFonts w:ascii="Calibri" w:cs="Calibri" w:eastAsia="Calibri" w:hAnsi="Calibri"/>
          <w:sz w:val="18"/>
          <w:szCs w:val="18"/>
          <w:b w:val="1"/>
          <w:bCs w:val="1"/>
          <w:color w:val="51555C"/>
        </w:rPr>
        <w:t>SECURITIES AND EXCHANGE COMMISSION</w:t>
      </w:r>
    </w:p>
    <w:p>
      <w:pPr>
        <w:jc w:val="center"/>
        <w:spacing w:after="0" w:line="236" w:lineRule="auto"/>
        <w:rPr>
          <w:sz w:val="20"/>
          <w:szCs w:val="20"/>
          <w:color w:val="auto"/>
        </w:rPr>
      </w:pPr>
      <w:r>
        <w:rPr>
          <w:rFonts w:ascii="Calibri" w:cs="Calibri" w:eastAsia="Calibri" w:hAnsi="Calibri"/>
          <w:sz w:val="18"/>
          <w:szCs w:val="18"/>
          <w:color w:val="51555C"/>
        </w:rPr>
        <w:t>Washington, D.C. 20549</w:t>
      </w:r>
    </w:p>
    <w:p>
      <w:pPr>
        <w:spacing w:after="0" w:line="93"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51555C"/>
        </w:rPr>
        <w:t>FORM 10-K</w:t>
      </w:r>
    </w:p>
    <w:p>
      <w:pPr>
        <w:spacing w:after="0" w:line="167" w:lineRule="exact"/>
        <w:rPr>
          <w:sz w:val="24"/>
          <w:szCs w:val="24"/>
          <w:color w:val="auto"/>
        </w:rPr>
      </w:pPr>
    </w:p>
    <w:p>
      <w:pPr>
        <w:ind w:left="660" w:right="3680" w:hanging="524"/>
        <w:spacing w:after="0" w:line="223" w:lineRule="auto"/>
        <w:tabs>
          <w:tab w:leader="none" w:pos="444" w:val="left"/>
        </w:tabs>
        <w:numPr>
          <w:ilvl w:val="0"/>
          <w:numId w:val="1"/>
        </w:numPr>
        <w:rPr>
          <w:rFonts w:ascii="MS PGothic" w:cs="MS PGothic" w:eastAsia="MS PGothic" w:hAnsi="MS PGothic"/>
          <w:sz w:val="36"/>
          <w:szCs w:val="36"/>
          <w:color w:val="51555C"/>
          <w:vertAlign w:val="superscript"/>
        </w:rPr>
      </w:pPr>
      <w:r>
        <w:rPr>
          <w:rFonts w:ascii="Calibri" w:cs="Calibri" w:eastAsia="Calibri" w:hAnsi="Calibri"/>
          <w:sz w:val="18"/>
          <w:szCs w:val="18"/>
          <w:b w:val="1"/>
          <w:bCs w:val="1"/>
          <w:color w:val="51555C"/>
        </w:rPr>
        <w:t xml:space="preserve">ANNUAL REPORT PURSUANT TO SECTION 13 OR 15(d) OF THE SECURITIES EXCHANGE ACT OF 1934 </w:t>
      </w:r>
      <w:r>
        <w:rPr>
          <w:rFonts w:ascii="Calibri" w:cs="Calibri" w:eastAsia="Calibri" w:hAnsi="Calibri"/>
          <w:sz w:val="18"/>
          <w:szCs w:val="18"/>
          <w:color w:val="51555C"/>
        </w:rPr>
        <w:t>For the fscal year ended December 31, 2023</w:t>
      </w:r>
    </w:p>
    <w:p>
      <w:pPr>
        <w:spacing w:after="0" w:line="116"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51555C"/>
        </w:rPr>
        <w:t>or</w:t>
      </w:r>
    </w:p>
    <w:p>
      <w:pPr>
        <w:spacing w:after="0" w:line="168" w:lineRule="exact"/>
        <w:rPr>
          <w:sz w:val="24"/>
          <w:szCs w:val="24"/>
          <w:color w:val="auto"/>
        </w:rPr>
      </w:pPr>
    </w:p>
    <w:p>
      <w:pPr>
        <w:ind w:left="440" w:hanging="304"/>
        <w:spacing w:after="0"/>
        <w:tabs>
          <w:tab w:leader="none" w:pos="440" w:val="left"/>
        </w:tabs>
        <w:numPr>
          <w:ilvl w:val="0"/>
          <w:numId w:val="2"/>
        </w:numPr>
        <w:rPr>
          <w:rFonts w:ascii="MS PGothic" w:cs="MS PGothic" w:eastAsia="MS PGothic" w:hAnsi="MS PGothic"/>
          <w:sz w:val="18"/>
          <w:szCs w:val="18"/>
          <w:color w:val="51555C"/>
        </w:rPr>
      </w:pPr>
      <w:r>
        <w:rPr>
          <w:rFonts w:ascii="Calibri" w:cs="Calibri" w:eastAsia="Calibri" w:hAnsi="Calibri"/>
          <w:sz w:val="18"/>
          <w:szCs w:val="18"/>
          <w:b w:val="1"/>
          <w:bCs w:val="1"/>
          <w:color w:val="51555C"/>
        </w:rPr>
        <w:t>TRANSITION REPORT PURSUANT TO SECTION 13 OR 15(d) OF THE SECURITIES EXCHANGE ACT OF 1934</w:t>
      </w:r>
    </w:p>
    <w:p>
      <w:pPr>
        <w:spacing w:after="0" w:line="50" w:lineRule="exact"/>
        <w:rPr>
          <w:sz w:val="24"/>
          <w:szCs w:val="24"/>
          <w:color w:val="auto"/>
        </w:rPr>
      </w:pPr>
    </w:p>
    <w:p>
      <w:pPr>
        <w:ind w:left="660"/>
        <w:spacing w:after="0"/>
        <w:tabs>
          <w:tab w:leader="none" w:pos="3600" w:val="left"/>
          <w:tab w:leader="none" w:pos="4580" w:val="left"/>
        </w:tabs>
        <w:rPr>
          <w:sz w:val="20"/>
          <w:szCs w:val="20"/>
          <w:color w:val="auto"/>
        </w:rPr>
      </w:pPr>
      <w:r>
        <w:rPr>
          <w:rFonts w:ascii="Calibri" w:cs="Calibri" w:eastAsia="Calibri" w:hAnsi="Calibri"/>
          <w:sz w:val="18"/>
          <w:szCs w:val="18"/>
          <w:color w:val="51555C"/>
        </w:rPr>
        <w:t>For the transiton period from</w:t>
      </w:r>
      <w:r>
        <w:rPr>
          <w:sz w:val="20"/>
          <w:szCs w:val="20"/>
          <w:color w:val="auto"/>
        </w:rPr>
        <w:tab/>
      </w:r>
      <w:r>
        <w:rPr>
          <w:rFonts w:ascii="Calibri" w:cs="Calibri" w:eastAsia="Calibri" w:hAnsi="Calibri"/>
          <w:sz w:val="18"/>
          <w:szCs w:val="18"/>
          <w:color w:val="51555C"/>
        </w:rPr>
        <w:t>to</w:t>
      </w:r>
      <w:r>
        <w:rPr>
          <w:sz w:val="20"/>
          <w:szCs w:val="20"/>
          <w:color w:val="auto"/>
        </w:rPr>
        <w:tab/>
      </w:r>
      <w:r>
        <w:rPr>
          <w:rFonts w:ascii="Calibri" w:cs="Calibri" w:eastAsia="Calibri" w:hAnsi="Calibri"/>
          <w:sz w:val="15"/>
          <w:szCs w:val="15"/>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1792605</wp:posOffset>
            </wp:positionH>
            <wp:positionV relativeFrom="paragraph">
              <wp:posOffset>-19050</wp:posOffset>
            </wp:positionV>
            <wp:extent cx="11277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Calibri" w:cs="Calibri" w:eastAsia="Calibri" w:hAnsi="Calibri"/>
          <w:sz w:val="18"/>
          <w:szCs w:val="18"/>
          <w:color w:val="51555C"/>
        </w:rPr>
        <w:t xml:space="preserve">Commission fle number: </w:t>
      </w:r>
      <w:r>
        <w:rPr>
          <w:rFonts w:ascii="Calibri" w:cs="Calibri" w:eastAsia="Calibri" w:hAnsi="Calibri"/>
          <w:sz w:val="18"/>
          <w:szCs w:val="18"/>
          <w:b w:val="1"/>
          <w:bCs w:val="1"/>
          <w:color w:val="51555C"/>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66675</wp:posOffset>
            </wp:positionV>
            <wp:extent cx="1637030"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51555C"/>
        </w:rPr>
        <w:t>Blackbaud, Inc.</w:t>
      </w:r>
    </w:p>
    <w:p>
      <w:pPr>
        <w:jc w:val="center"/>
        <w:spacing w:after="0" w:line="237" w:lineRule="auto"/>
        <w:rPr>
          <w:sz w:val="20"/>
          <w:szCs w:val="20"/>
          <w:color w:val="auto"/>
        </w:rPr>
      </w:pPr>
      <w:r>
        <w:rPr>
          <w:rFonts w:ascii="Calibri" w:cs="Calibri" w:eastAsia="Calibri" w:hAnsi="Calibri"/>
          <w:sz w:val="14"/>
          <w:szCs w:val="14"/>
          <w:color w:val="51555C"/>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440" w:type="dxa"/>
            <w:vAlign w:val="bottom"/>
          </w:tcPr>
          <w:p>
            <w:pPr>
              <w:spacing w:after="0"/>
              <w:rPr>
                <w:sz w:val="19"/>
                <w:szCs w:val="19"/>
                <w:color w:val="auto"/>
              </w:rPr>
            </w:pPr>
          </w:p>
        </w:tc>
        <w:tc>
          <w:tcPr>
            <w:tcW w:w="2160" w:type="dxa"/>
            <w:vAlign w:val="bottom"/>
            <w:gridSpan w:val="2"/>
          </w:tcPr>
          <w:p>
            <w:pPr>
              <w:jc w:val="center"/>
              <w:ind w:left="490"/>
              <w:spacing w:after="0"/>
              <w:rPr>
                <w:sz w:val="20"/>
                <w:szCs w:val="20"/>
                <w:color w:val="auto"/>
              </w:rPr>
            </w:pPr>
            <w:r>
              <w:rPr>
                <w:rFonts w:ascii="Calibri" w:cs="Calibri" w:eastAsia="Calibri" w:hAnsi="Calibri"/>
                <w:sz w:val="18"/>
                <w:szCs w:val="18"/>
                <w:b w:val="1"/>
                <w:bCs w:val="1"/>
                <w:color w:val="51555C"/>
                <w:w w:val="97"/>
              </w:rPr>
              <w:t>Delaware</w:t>
            </w: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60" w:type="dxa"/>
            <w:vAlign w:val="bottom"/>
            <w:gridSpan w:val="2"/>
          </w:tcPr>
          <w:p>
            <w:pPr>
              <w:jc w:val="right"/>
              <w:ind w:right="1890"/>
              <w:spacing w:after="0"/>
              <w:rPr>
                <w:sz w:val="20"/>
                <w:szCs w:val="20"/>
                <w:color w:val="auto"/>
              </w:rPr>
            </w:pPr>
            <w:r>
              <w:rPr>
                <w:rFonts w:ascii="Calibri" w:cs="Calibri" w:eastAsia="Calibri" w:hAnsi="Calibri"/>
                <w:sz w:val="18"/>
                <w:szCs w:val="18"/>
                <w:b w:val="1"/>
                <w:bCs w:val="1"/>
                <w:color w:val="51555C"/>
              </w:rPr>
              <w:t>11-2617163</w:t>
            </w:r>
          </w:p>
        </w:tc>
        <w:tc>
          <w:tcPr>
            <w:tcW w:w="420" w:type="dxa"/>
            <w:vAlign w:val="bottom"/>
          </w:tcPr>
          <w:p>
            <w:pPr>
              <w:spacing w:after="0"/>
              <w:rPr>
                <w:sz w:val="19"/>
                <w:szCs w:val="19"/>
                <w:color w:val="auto"/>
              </w:rPr>
            </w:pPr>
          </w:p>
        </w:tc>
      </w:tr>
      <w:tr>
        <w:trPr>
          <w:trHeight w:val="220"/>
        </w:trPr>
        <w:tc>
          <w:tcPr>
            <w:tcW w:w="7360" w:type="dxa"/>
            <w:vAlign w:val="bottom"/>
            <w:gridSpan w:val="6"/>
          </w:tcPr>
          <w:p>
            <w:pPr>
              <w:jc w:val="center"/>
              <w:ind w:right="1760"/>
              <w:spacing w:after="0"/>
              <w:rPr>
                <w:sz w:val="20"/>
                <w:szCs w:val="20"/>
                <w:color w:val="auto"/>
              </w:rPr>
            </w:pPr>
            <w:r>
              <w:rPr>
                <w:rFonts w:ascii="Calibri" w:cs="Calibri" w:eastAsia="Calibri" w:hAnsi="Calibri"/>
                <w:sz w:val="14"/>
                <w:szCs w:val="14"/>
                <w:color w:val="51555C"/>
              </w:rPr>
              <w:t>(State or other jurisdicton of incorporaton or organizaton)</w:t>
            </w:r>
          </w:p>
        </w:tc>
        <w:tc>
          <w:tcPr>
            <w:tcW w:w="3880" w:type="dxa"/>
            <w:vAlign w:val="bottom"/>
            <w:gridSpan w:val="3"/>
          </w:tcPr>
          <w:p>
            <w:pPr>
              <w:jc w:val="center"/>
              <w:ind w:right="1760"/>
              <w:spacing w:after="0"/>
              <w:rPr>
                <w:sz w:val="20"/>
                <w:szCs w:val="20"/>
                <w:color w:val="auto"/>
              </w:rPr>
            </w:pPr>
            <w:r>
              <w:rPr>
                <w:rFonts w:ascii="Calibri" w:cs="Calibri" w:eastAsia="Calibri" w:hAnsi="Calibri"/>
                <w:sz w:val="14"/>
                <w:szCs w:val="14"/>
                <w:color w:val="51555C"/>
              </w:rPr>
              <w:t>(I.R.S. Employer Identfcaton No.)</w:t>
            </w:r>
          </w:p>
        </w:tc>
      </w:tr>
      <w:tr>
        <w:trPr>
          <w:trHeight w:val="348"/>
        </w:trPr>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60" w:type="dxa"/>
            <w:vAlign w:val="bottom"/>
            <w:gridSpan w:val="3"/>
          </w:tcPr>
          <w:p>
            <w:pPr>
              <w:jc w:val="center"/>
              <w:ind w:left="197"/>
              <w:spacing w:after="0"/>
              <w:rPr>
                <w:sz w:val="20"/>
                <w:szCs w:val="20"/>
                <w:color w:val="auto"/>
              </w:rPr>
            </w:pPr>
            <w:r>
              <w:rPr>
                <w:rFonts w:ascii="Calibri" w:cs="Calibri" w:eastAsia="Calibri" w:hAnsi="Calibri"/>
                <w:sz w:val="18"/>
                <w:szCs w:val="18"/>
                <w:b w:val="1"/>
                <w:bCs w:val="1"/>
                <w:color w:val="51555C"/>
                <w:w w:val="97"/>
              </w:rPr>
              <w:t>65 Fairchild Street</w:t>
            </w:r>
          </w:p>
        </w:tc>
        <w:tc>
          <w:tcPr>
            <w:tcW w:w="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2"/>
        </w:trPr>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760" w:type="dxa"/>
            <w:vAlign w:val="bottom"/>
            <w:gridSpan w:val="3"/>
          </w:tcPr>
          <w:p>
            <w:pPr>
              <w:jc w:val="center"/>
              <w:ind w:left="217"/>
              <w:spacing w:after="0" w:line="212" w:lineRule="exact"/>
              <w:rPr>
                <w:sz w:val="20"/>
                <w:szCs w:val="20"/>
                <w:color w:val="auto"/>
              </w:rPr>
            </w:pPr>
            <w:r>
              <w:rPr>
                <w:rFonts w:ascii="Calibri" w:cs="Calibri" w:eastAsia="Calibri" w:hAnsi="Calibri"/>
                <w:sz w:val="18"/>
                <w:szCs w:val="18"/>
                <w:b w:val="1"/>
                <w:bCs w:val="1"/>
                <w:color w:val="51555C"/>
                <w:w w:val="97"/>
              </w:rPr>
              <w:t>Charleston, South Carolina 29492</w:t>
            </w: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67"/>
        </w:trPr>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760" w:type="dxa"/>
            <w:vAlign w:val="bottom"/>
            <w:gridSpan w:val="3"/>
          </w:tcPr>
          <w:p>
            <w:pPr>
              <w:jc w:val="center"/>
              <w:ind w:left="197"/>
              <w:spacing w:after="0" w:line="168" w:lineRule="exact"/>
              <w:rPr>
                <w:sz w:val="20"/>
                <w:szCs w:val="20"/>
                <w:color w:val="auto"/>
              </w:rPr>
            </w:pPr>
            <w:r>
              <w:rPr>
                <w:rFonts w:ascii="Calibri" w:cs="Calibri" w:eastAsia="Calibri" w:hAnsi="Calibri"/>
                <w:sz w:val="14"/>
                <w:szCs w:val="14"/>
                <w:color w:val="51555C"/>
              </w:rPr>
              <w:t>(Address of principal executve ofces, including zip code)</w:t>
            </w: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11"/>
        </w:trPr>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gridSpan w:val="2"/>
          </w:tcPr>
          <w:p>
            <w:pPr>
              <w:jc w:val="center"/>
              <w:ind w:left="1277"/>
              <w:spacing w:after="0" w:line="210" w:lineRule="exact"/>
              <w:rPr>
                <w:sz w:val="20"/>
                <w:szCs w:val="20"/>
                <w:color w:val="auto"/>
              </w:rPr>
            </w:pPr>
            <w:r>
              <w:rPr>
                <w:rFonts w:ascii="Calibri" w:cs="Calibri" w:eastAsia="Calibri" w:hAnsi="Calibri"/>
                <w:sz w:val="18"/>
                <w:szCs w:val="18"/>
                <w:b w:val="1"/>
                <w:bCs w:val="1"/>
                <w:color w:val="51555C"/>
                <w:w w:val="98"/>
              </w:rPr>
              <w:t>(843) 216-6200</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70"/>
        </w:trPr>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760" w:type="dxa"/>
            <w:vAlign w:val="bottom"/>
            <w:gridSpan w:val="3"/>
          </w:tcPr>
          <w:p>
            <w:pPr>
              <w:jc w:val="center"/>
              <w:ind w:left="197"/>
              <w:spacing w:after="0"/>
              <w:rPr>
                <w:sz w:val="20"/>
                <w:szCs w:val="20"/>
                <w:color w:val="auto"/>
              </w:rPr>
            </w:pPr>
            <w:r>
              <w:rPr>
                <w:rFonts w:ascii="Calibri" w:cs="Calibri" w:eastAsia="Calibri" w:hAnsi="Calibri"/>
                <w:sz w:val="14"/>
                <w:szCs w:val="14"/>
                <w:color w:val="51555C"/>
              </w:rPr>
              <w:t>(Registrant's telephone number, including area code)</w:t>
            </w: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14"/>
        </w:trPr>
        <w:tc>
          <w:tcPr>
            <w:tcW w:w="1440" w:type="dxa"/>
            <w:vAlign w:val="bottom"/>
            <w:tcBorders>
              <w:bottom w:val="single" w:sz="8" w:color="51555C"/>
            </w:tcBorders>
          </w:tcPr>
          <w:p>
            <w:pPr>
              <w:spacing w:after="0"/>
              <w:rPr>
                <w:sz w:val="9"/>
                <w:szCs w:val="9"/>
                <w:color w:val="auto"/>
              </w:rPr>
            </w:pPr>
          </w:p>
        </w:tc>
        <w:tc>
          <w:tcPr>
            <w:tcW w:w="1260" w:type="dxa"/>
            <w:vAlign w:val="bottom"/>
            <w:tcBorders>
              <w:bottom w:val="single" w:sz="8" w:color="51555C"/>
            </w:tcBorders>
          </w:tcPr>
          <w:p>
            <w:pPr>
              <w:spacing w:after="0"/>
              <w:rPr>
                <w:sz w:val="9"/>
                <w:szCs w:val="9"/>
                <w:color w:val="auto"/>
              </w:rPr>
            </w:pPr>
          </w:p>
        </w:tc>
        <w:tc>
          <w:tcPr>
            <w:tcW w:w="2340" w:type="dxa"/>
            <w:vAlign w:val="bottom"/>
            <w:tcBorders>
              <w:bottom w:val="single" w:sz="8" w:color="51555C"/>
            </w:tcBorders>
            <w:gridSpan w:val="2"/>
          </w:tcPr>
          <w:p>
            <w:pPr>
              <w:spacing w:after="0"/>
              <w:rPr>
                <w:sz w:val="9"/>
                <w:szCs w:val="9"/>
                <w:color w:val="auto"/>
              </w:rPr>
            </w:pPr>
          </w:p>
        </w:tc>
        <w:tc>
          <w:tcPr>
            <w:tcW w:w="1260" w:type="dxa"/>
            <w:vAlign w:val="bottom"/>
            <w:tcBorders>
              <w:bottom w:val="single" w:sz="8" w:color="51555C"/>
            </w:tcBorders>
          </w:tcPr>
          <w:p>
            <w:pPr>
              <w:spacing w:after="0"/>
              <w:rPr>
                <w:sz w:val="9"/>
                <w:szCs w:val="9"/>
                <w:color w:val="auto"/>
              </w:rPr>
            </w:pPr>
          </w:p>
        </w:tc>
        <w:tc>
          <w:tcPr>
            <w:tcW w:w="1060" w:type="dxa"/>
            <w:vAlign w:val="bottom"/>
            <w:tcBorders>
              <w:bottom w:val="single" w:sz="8" w:color="51555C"/>
            </w:tcBorders>
          </w:tcPr>
          <w:p>
            <w:pPr>
              <w:spacing w:after="0"/>
              <w:rPr>
                <w:sz w:val="9"/>
                <w:szCs w:val="9"/>
                <w:color w:val="auto"/>
              </w:rPr>
            </w:pPr>
          </w:p>
        </w:tc>
        <w:tc>
          <w:tcPr>
            <w:tcW w:w="280" w:type="dxa"/>
            <w:vAlign w:val="bottom"/>
            <w:tcBorders>
              <w:bottom w:val="single" w:sz="8" w:color="51555C"/>
            </w:tcBorders>
          </w:tcPr>
          <w:p>
            <w:pPr>
              <w:spacing w:after="0"/>
              <w:rPr>
                <w:sz w:val="9"/>
                <w:szCs w:val="9"/>
                <w:color w:val="auto"/>
              </w:rPr>
            </w:pPr>
          </w:p>
        </w:tc>
        <w:tc>
          <w:tcPr>
            <w:tcW w:w="3180" w:type="dxa"/>
            <w:vAlign w:val="bottom"/>
            <w:tcBorders>
              <w:bottom w:val="single" w:sz="8" w:color="51555C"/>
            </w:tcBorders>
          </w:tcPr>
          <w:p>
            <w:pPr>
              <w:spacing w:after="0"/>
              <w:rPr>
                <w:sz w:val="9"/>
                <w:szCs w:val="9"/>
                <w:color w:val="auto"/>
              </w:rPr>
            </w:pPr>
          </w:p>
        </w:tc>
        <w:tc>
          <w:tcPr>
            <w:tcW w:w="420" w:type="dxa"/>
            <w:vAlign w:val="bottom"/>
            <w:tcBorders>
              <w:bottom w:val="single" w:sz="8" w:color="51555C"/>
            </w:tcBorders>
          </w:tcPr>
          <w:p>
            <w:pPr>
              <w:spacing w:after="0"/>
              <w:rPr>
                <w:sz w:val="9"/>
                <w:szCs w:val="9"/>
                <w:color w:val="auto"/>
              </w:rPr>
            </w:pPr>
          </w:p>
        </w:tc>
      </w:tr>
      <w:tr>
        <w:trPr>
          <w:trHeight w:val="254"/>
        </w:trPr>
        <w:tc>
          <w:tcPr>
            <w:tcW w:w="7360" w:type="dxa"/>
            <w:vAlign w:val="bottom"/>
            <w:gridSpan w:val="6"/>
          </w:tcPr>
          <w:p>
            <w:pPr>
              <w:jc w:val="center"/>
              <w:ind w:right="3200"/>
              <w:spacing w:after="0"/>
              <w:rPr>
                <w:sz w:val="20"/>
                <w:szCs w:val="20"/>
                <w:color w:val="auto"/>
              </w:rPr>
            </w:pPr>
            <w:r>
              <w:rPr>
                <w:rFonts w:ascii="Calibri" w:cs="Calibri" w:eastAsia="Calibri" w:hAnsi="Calibri"/>
                <w:sz w:val="18"/>
                <w:szCs w:val="18"/>
                <w:color w:val="51555C"/>
                <w:w w:val="99"/>
              </w:rPr>
              <w:t>Securites Registered Pursuant to Secton 12(b) of the Act:</w:t>
            </w:r>
          </w:p>
        </w:tc>
        <w:tc>
          <w:tcPr>
            <w:tcW w:w="2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39"/>
        </w:trPr>
        <w:tc>
          <w:tcPr>
            <w:tcW w:w="1440" w:type="dxa"/>
            <w:vAlign w:val="bottom"/>
          </w:tcPr>
          <w:p>
            <w:pPr>
              <w:spacing w:after="0"/>
              <w:rPr>
                <w:sz w:val="20"/>
                <w:szCs w:val="20"/>
                <w:color w:val="auto"/>
              </w:rPr>
            </w:pPr>
          </w:p>
        </w:tc>
        <w:tc>
          <w:tcPr>
            <w:tcW w:w="2160" w:type="dxa"/>
            <w:vAlign w:val="bottom"/>
            <w:gridSpan w:val="2"/>
          </w:tcPr>
          <w:p>
            <w:pPr>
              <w:jc w:val="center"/>
              <w:ind w:right="900"/>
              <w:spacing w:after="0"/>
              <w:rPr>
                <w:sz w:val="20"/>
                <w:szCs w:val="20"/>
                <w:color w:val="auto"/>
              </w:rPr>
            </w:pPr>
            <w:r>
              <w:rPr>
                <w:rFonts w:ascii="Calibri" w:cs="Calibri" w:eastAsia="Calibri" w:hAnsi="Calibri"/>
                <w:sz w:val="18"/>
                <w:szCs w:val="18"/>
                <w:color w:val="51555C"/>
                <w:w w:val="96"/>
              </w:rPr>
              <w:t>Title of Each Class</w:t>
            </w:r>
          </w:p>
        </w:tc>
        <w:tc>
          <w:tcPr>
            <w:tcW w:w="1440" w:type="dxa"/>
            <w:vAlign w:val="bottom"/>
          </w:tcPr>
          <w:p>
            <w:pPr>
              <w:spacing w:after="0"/>
              <w:rPr>
                <w:sz w:val="20"/>
                <w:szCs w:val="20"/>
                <w:color w:val="auto"/>
              </w:rPr>
            </w:pPr>
          </w:p>
        </w:tc>
        <w:tc>
          <w:tcPr>
            <w:tcW w:w="2320" w:type="dxa"/>
            <w:vAlign w:val="bottom"/>
            <w:gridSpan w:val="2"/>
          </w:tcPr>
          <w:p>
            <w:pPr>
              <w:jc w:val="center"/>
              <w:ind w:right="1060"/>
              <w:spacing w:after="0"/>
              <w:rPr>
                <w:sz w:val="20"/>
                <w:szCs w:val="20"/>
                <w:color w:val="auto"/>
              </w:rPr>
            </w:pPr>
            <w:r>
              <w:rPr>
                <w:rFonts w:ascii="Calibri" w:cs="Calibri" w:eastAsia="Calibri" w:hAnsi="Calibri"/>
                <w:sz w:val="18"/>
                <w:szCs w:val="18"/>
                <w:color w:val="51555C"/>
                <w:w w:val="96"/>
              </w:rPr>
              <w:t>Trading Symbol(s)</w:t>
            </w:r>
          </w:p>
        </w:tc>
        <w:tc>
          <w:tcPr>
            <w:tcW w:w="3880" w:type="dxa"/>
            <w:vAlign w:val="bottom"/>
            <w:gridSpan w:val="3"/>
          </w:tcPr>
          <w:p>
            <w:pPr>
              <w:jc w:val="center"/>
              <w:ind w:right="140"/>
              <w:spacing w:after="0"/>
              <w:rPr>
                <w:sz w:val="20"/>
                <w:szCs w:val="20"/>
                <w:color w:val="auto"/>
              </w:rPr>
            </w:pPr>
            <w:r>
              <w:rPr>
                <w:rFonts w:ascii="Calibri" w:cs="Calibri" w:eastAsia="Calibri" w:hAnsi="Calibri"/>
                <w:sz w:val="18"/>
                <w:szCs w:val="18"/>
                <w:color w:val="51555C"/>
                <w:w w:val="97"/>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1260" w:type="dxa"/>
            <w:vAlign w:val="bottom"/>
            <w:shd w:val="clear" w:color="auto" w:fill="51555C"/>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shd w:val="clear" w:color="auto" w:fill="51555C"/>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shd w:val="clear" w:color="auto" w:fill="51555C"/>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81"/>
        </w:trPr>
        <w:tc>
          <w:tcPr>
            <w:tcW w:w="3600" w:type="dxa"/>
            <w:vAlign w:val="bottom"/>
            <w:gridSpan w:val="3"/>
          </w:tcPr>
          <w:p>
            <w:pPr>
              <w:jc w:val="center"/>
              <w:ind w:left="435"/>
              <w:spacing w:after="0"/>
              <w:rPr>
                <w:sz w:val="20"/>
                <w:szCs w:val="20"/>
                <w:color w:val="auto"/>
              </w:rPr>
            </w:pPr>
            <w:r>
              <w:rPr>
                <w:rFonts w:ascii="Calibri" w:cs="Calibri" w:eastAsia="Calibri" w:hAnsi="Calibri"/>
                <w:sz w:val="18"/>
                <w:szCs w:val="18"/>
                <w:b w:val="1"/>
                <w:bCs w:val="1"/>
                <w:color w:val="51555C"/>
                <w:w w:val="97"/>
              </w:rPr>
              <w:t>Common Stock, $0.001 Par Value</w:t>
            </w:r>
          </w:p>
        </w:tc>
        <w:tc>
          <w:tcPr>
            <w:tcW w:w="1440" w:type="dxa"/>
            <w:vAlign w:val="bottom"/>
          </w:tcPr>
          <w:p>
            <w:pPr>
              <w:spacing w:after="0"/>
              <w:rPr>
                <w:sz w:val="24"/>
                <w:szCs w:val="24"/>
                <w:color w:val="auto"/>
              </w:rPr>
            </w:pPr>
          </w:p>
        </w:tc>
        <w:tc>
          <w:tcPr>
            <w:tcW w:w="2320" w:type="dxa"/>
            <w:vAlign w:val="bottom"/>
            <w:gridSpan w:val="2"/>
          </w:tcPr>
          <w:p>
            <w:pPr>
              <w:jc w:val="center"/>
              <w:ind w:right="1060"/>
              <w:spacing w:after="0"/>
              <w:rPr>
                <w:sz w:val="20"/>
                <w:szCs w:val="20"/>
                <w:color w:val="auto"/>
              </w:rPr>
            </w:pPr>
            <w:r>
              <w:rPr>
                <w:rFonts w:ascii="Calibri" w:cs="Calibri" w:eastAsia="Calibri" w:hAnsi="Calibri"/>
                <w:sz w:val="18"/>
                <w:szCs w:val="18"/>
                <w:b w:val="1"/>
                <w:bCs w:val="1"/>
                <w:color w:val="51555C"/>
              </w:rPr>
              <w:t>BLKB</w:t>
            </w:r>
          </w:p>
        </w:tc>
        <w:tc>
          <w:tcPr>
            <w:tcW w:w="280" w:type="dxa"/>
            <w:vAlign w:val="bottom"/>
          </w:tcPr>
          <w:p>
            <w:pPr>
              <w:spacing w:after="0"/>
              <w:rPr>
                <w:sz w:val="24"/>
                <w:szCs w:val="24"/>
                <w:color w:val="auto"/>
              </w:rPr>
            </w:pPr>
          </w:p>
        </w:tc>
        <w:tc>
          <w:tcPr>
            <w:tcW w:w="3600" w:type="dxa"/>
            <w:vAlign w:val="bottom"/>
            <w:gridSpan w:val="2"/>
          </w:tcPr>
          <w:p>
            <w:pPr>
              <w:jc w:val="center"/>
              <w:ind w:right="420"/>
              <w:spacing w:after="0"/>
              <w:rPr>
                <w:sz w:val="20"/>
                <w:szCs w:val="20"/>
                <w:color w:val="auto"/>
              </w:rPr>
            </w:pPr>
            <w:r>
              <w:rPr>
                <w:rFonts w:ascii="Calibri" w:cs="Calibri" w:eastAsia="Calibri" w:hAnsi="Calibri"/>
                <w:sz w:val="18"/>
                <w:szCs w:val="18"/>
                <w:b w:val="1"/>
                <w:bCs w:val="1"/>
                <w:color w:val="51555C"/>
                <w:w w:val="96"/>
              </w:rPr>
              <w:t>Nasdaq Global Select Market</w:t>
            </w:r>
          </w:p>
        </w:tc>
      </w:tr>
      <w:tr>
        <w:trPr>
          <w:trHeight w:val="270"/>
        </w:trPr>
        <w:tc>
          <w:tcPr>
            <w:tcW w:w="3600" w:type="dxa"/>
            <w:vAlign w:val="bottom"/>
            <w:gridSpan w:val="3"/>
          </w:tcPr>
          <w:p>
            <w:pPr>
              <w:jc w:val="center"/>
              <w:ind w:left="455"/>
              <w:spacing w:after="0"/>
              <w:rPr>
                <w:sz w:val="20"/>
                <w:szCs w:val="20"/>
                <w:color w:val="auto"/>
              </w:rPr>
            </w:pPr>
            <w:r>
              <w:rPr>
                <w:rFonts w:ascii="Calibri" w:cs="Calibri" w:eastAsia="Calibri" w:hAnsi="Calibri"/>
                <w:sz w:val="18"/>
                <w:szCs w:val="18"/>
                <w:b w:val="1"/>
                <w:bCs w:val="1"/>
                <w:color w:val="51555C"/>
                <w:w w:val="96"/>
              </w:rPr>
              <w:t>Preferred Stock Purchase Rights</w:t>
            </w:r>
          </w:p>
        </w:tc>
        <w:tc>
          <w:tcPr>
            <w:tcW w:w="1440" w:type="dxa"/>
            <w:vAlign w:val="bottom"/>
          </w:tcPr>
          <w:p>
            <w:pPr>
              <w:spacing w:after="0"/>
              <w:rPr>
                <w:sz w:val="23"/>
                <w:szCs w:val="23"/>
                <w:color w:val="auto"/>
              </w:rPr>
            </w:pPr>
          </w:p>
        </w:tc>
        <w:tc>
          <w:tcPr>
            <w:tcW w:w="2320" w:type="dxa"/>
            <w:vAlign w:val="bottom"/>
            <w:gridSpan w:val="2"/>
          </w:tcPr>
          <w:p>
            <w:pPr>
              <w:jc w:val="center"/>
              <w:ind w:right="1060"/>
              <w:spacing w:after="0"/>
              <w:rPr>
                <w:sz w:val="20"/>
                <w:szCs w:val="20"/>
                <w:color w:val="auto"/>
              </w:rPr>
            </w:pPr>
            <w:r>
              <w:rPr>
                <w:rFonts w:ascii="Calibri" w:cs="Calibri" w:eastAsia="Calibri" w:hAnsi="Calibri"/>
                <w:sz w:val="18"/>
                <w:szCs w:val="18"/>
                <w:b w:val="1"/>
                <w:bCs w:val="1"/>
                <w:color w:val="51555C"/>
                <w:w w:val="98"/>
              </w:rPr>
              <w:t>N/A</w:t>
            </w:r>
          </w:p>
        </w:tc>
        <w:tc>
          <w:tcPr>
            <w:tcW w:w="280" w:type="dxa"/>
            <w:vAlign w:val="bottom"/>
          </w:tcPr>
          <w:p>
            <w:pPr>
              <w:spacing w:after="0"/>
              <w:rPr>
                <w:sz w:val="23"/>
                <w:szCs w:val="23"/>
                <w:color w:val="auto"/>
              </w:rPr>
            </w:pPr>
          </w:p>
        </w:tc>
        <w:tc>
          <w:tcPr>
            <w:tcW w:w="3600" w:type="dxa"/>
            <w:vAlign w:val="bottom"/>
            <w:gridSpan w:val="2"/>
          </w:tcPr>
          <w:p>
            <w:pPr>
              <w:jc w:val="center"/>
              <w:ind w:right="420"/>
              <w:spacing w:after="0"/>
              <w:rPr>
                <w:sz w:val="20"/>
                <w:szCs w:val="20"/>
                <w:color w:val="auto"/>
              </w:rPr>
            </w:pPr>
            <w:r>
              <w:rPr>
                <w:rFonts w:ascii="Calibri" w:cs="Calibri" w:eastAsia="Calibri" w:hAnsi="Calibri"/>
                <w:sz w:val="18"/>
                <w:szCs w:val="18"/>
                <w:b w:val="1"/>
                <w:bCs w:val="1"/>
                <w:color w:val="51555C"/>
                <w:w w:val="96"/>
              </w:rPr>
              <w:t>Nasdaq Global Select Market</w:t>
            </w:r>
          </w:p>
        </w:tc>
      </w:tr>
    </w:tbl>
    <w:p>
      <w:pPr>
        <w:spacing w:after="0" w:line="50" w:lineRule="exact"/>
        <w:rPr>
          <w:sz w:val="24"/>
          <w:szCs w:val="24"/>
          <w:color w:val="auto"/>
        </w:rPr>
      </w:pPr>
    </w:p>
    <w:p>
      <w:pPr>
        <w:ind w:left="20"/>
        <w:spacing w:after="0"/>
        <w:rPr>
          <w:sz w:val="20"/>
          <w:szCs w:val="20"/>
          <w:color w:val="auto"/>
        </w:rPr>
      </w:pPr>
      <w:r>
        <w:rPr>
          <w:rFonts w:ascii="Calibri" w:cs="Calibri" w:eastAsia="Calibri" w:hAnsi="Calibri"/>
          <w:sz w:val="18"/>
          <w:szCs w:val="18"/>
          <w:color w:val="51555C"/>
        </w:rPr>
        <w:t xml:space="preserve">Securites Registered Pursuant to Secton 12(g) of the Act: </w:t>
      </w:r>
      <w:r>
        <w:rPr>
          <w:rFonts w:ascii="Calibri" w:cs="Calibri" w:eastAsia="Calibri" w:hAnsi="Calibri"/>
          <w:sz w:val="18"/>
          <w:szCs w:val="18"/>
          <w:b w:val="1"/>
          <w:bCs w:val="1"/>
          <w:color w:val="51555C"/>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4" w:lineRule="exact"/>
        <w:rPr>
          <w:sz w:val="24"/>
          <w:szCs w:val="24"/>
          <w:color w:val="auto"/>
        </w:rPr>
      </w:pPr>
    </w:p>
    <w:p>
      <w:pPr>
        <w:ind w:right="1760"/>
        <w:spacing w:after="0" w:line="320" w:lineRule="exact"/>
        <w:rPr>
          <w:sz w:val="20"/>
          <w:szCs w:val="20"/>
          <w:color w:val="auto"/>
        </w:rPr>
      </w:pPr>
      <w:r>
        <w:rPr>
          <w:rFonts w:ascii="Calibri" w:cs="Calibri" w:eastAsia="Calibri" w:hAnsi="Calibri"/>
          <w:sz w:val="17"/>
          <w:szCs w:val="17"/>
          <w:color w:val="51555C"/>
        </w:rPr>
        <w:t xml:space="preserve">Indicate by check mark if the registrant is a well-known seasoned issuer, as defned in Rule 405 of the Securites Act. Yes </w:t>
      </w:r>
      <w:r>
        <w:rPr>
          <w:rFonts w:ascii="MS PGothic" w:cs="MS PGothic" w:eastAsia="MS PGothic" w:hAnsi="MS PGothic"/>
          <w:sz w:val="17"/>
          <w:szCs w:val="17"/>
          <w:color w:val="51555C"/>
        </w:rPr>
        <w:t>☑</w:t>
      </w:r>
      <w:r>
        <w:rPr>
          <w:rFonts w:ascii="Calibri" w:cs="Calibri" w:eastAsia="Calibri" w:hAnsi="Calibri"/>
          <w:sz w:val="17"/>
          <w:szCs w:val="17"/>
          <w:color w:val="51555C"/>
        </w:rPr>
        <w:t xml:space="preserve"> No </w:t>
      </w:r>
      <w:r>
        <w:rPr>
          <w:rFonts w:ascii="MS PGothic" w:cs="MS PGothic" w:eastAsia="MS PGothic" w:hAnsi="MS PGothic"/>
          <w:sz w:val="17"/>
          <w:szCs w:val="17"/>
          <w:color w:val="51555C"/>
        </w:rPr>
        <w:t>☐</w:t>
      </w:r>
      <w:r>
        <w:rPr>
          <w:rFonts w:ascii="Calibri" w:cs="Calibri" w:eastAsia="Calibri" w:hAnsi="Calibri"/>
          <w:sz w:val="17"/>
          <w:szCs w:val="17"/>
          <w:color w:val="51555C"/>
        </w:rPr>
        <w:t xml:space="preserve"> Indicate by check mark if the registrant is not required to fle reports pursuant to Secton 13 or Secton 15(d) of the Act. Yes </w:t>
      </w:r>
      <w:r>
        <w:rPr>
          <w:rFonts w:ascii="MS PGothic" w:cs="MS PGothic" w:eastAsia="MS PGothic" w:hAnsi="MS PGothic"/>
          <w:sz w:val="17"/>
          <w:szCs w:val="17"/>
          <w:color w:val="51555C"/>
        </w:rPr>
        <w:t>☐</w:t>
      </w:r>
      <w:r>
        <w:rPr>
          <w:rFonts w:ascii="Calibri" w:cs="Calibri" w:eastAsia="Calibri" w:hAnsi="Calibri"/>
          <w:sz w:val="17"/>
          <w:szCs w:val="17"/>
          <w:color w:val="51555C"/>
        </w:rPr>
        <w:t xml:space="preserve"> No </w:t>
      </w:r>
      <w:r>
        <w:rPr>
          <w:rFonts w:ascii="MS PGothic" w:cs="MS PGothic" w:eastAsia="MS PGothic" w:hAnsi="MS PGothic"/>
          <w:sz w:val="17"/>
          <w:szCs w:val="17"/>
          <w:color w:val="51555C"/>
        </w:rPr>
        <w:t>☑</w:t>
      </w:r>
    </w:p>
    <w:p>
      <w:pPr>
        <w:spacing w:after="0" w:line="72" w:lineRule="exact"/>
        <w:rPr>
          <w:sz w:val="24"/>
          <w:szCs w:val="24"/>
          <w:color w:val="auto"/>
        </w:rPr>
      </w:pPr>
    </w:p>
    <w:p>
      <w:pPr>
        <w:jc w:val="both"/>
        <w:spacing w:after="0" w:line="233" w:lineRule="exact"/>
        <w:rPr>
          <w:sz w:val="20"/>
          <w:szCs w:val="20"/>
          <w:color w:val="auto"/>
        </w:rPr>
      </w:pPr>
      <w:r>
        <w:rPr>
          <w:rFonts w:ascii="Calibri" w:cs="Calibri" w:eastAsia="Calibri" w:hAnsi="Calibri"/>
          <w:sz w:val="18"/>
          <w:szCs w:val="18"/>
          <w:color w:val="51555C"/>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51555C"/>
        </w:rPr>
        <w:t>☑</w:t>
      </w:r>
      <w:r>
        <w:rPr>
          <w:rFonts w:ascii="Calibri" w:cs="Calibri" w:eastAsia="Calibri" w:hAnsi="Calibri"/>
          <w:sz w:val="18"/>
          <w:szCs w:val="18"/>
          <w:color w:val="51555C"/>
        </w:rPr>
        <w:t xml:space="preserve"> No </w:t>
      </w:r>
      <w:r>
        <w:rPr>
          <w:rFonts w:ascii="MS PGothic" w:cs="MS PGothic" w:eastAsia="MS PGothic" w:hAnsi="MS PGothic"/>
          <w:sz w:val="18"/>
          <w:szCs w:val="18"/>
          <w:color w:val="51555C"/>
        </w:rPr>
        <w:t>☐</w:t>
      </w:r>
    </w:p>
    <w:p>
      <w:pPr>
        <w:spacing w:after="0" w:line="72" w:lineRule="exact"/>
        <w:rPr>
          <w:sz w:val="24"/>
          <w:szCs w:val="24"/>
          <w:color w:val="auto"/>
        </w:rPr>
      </w:pPr>
    </w:p>
    <w:p>
      <w:pPr>
        <w:jc w:val="both"/>
        <w:spacing w:after="0" w:line="233" w:lineRule="exact"/>
        <w:rPr>
          <w:sz w:val="20"/>
          <w:szCs w:val="20"/>
          <w:color w:val="auto"/>
        </w:rPr>
      </w:pPr>
      <w:r>
        <w:rPr>
          <w:rFonts w:ascii="Calibri" w:cs="Calibri" w:eastAsia="Calibri" w:hAnsi="Calibri"/>
          <w:sz w:val="18"/>
          <w:szCs w:val="18"/>
          <w:color w:val="51555C"/>
        </w:rPr>
        <w:t xml:space="preserve">Indicate by check mark whether the registrant has submited electronically every Interactve Data File required to be submited pursuant to Rule 405 of Regulaton S-T (Secton 232.405 of this chapter) during the preceding 12 months (or for such shorter period that the registrant was required to submit such fles). Yes </w:t>
      </w:r>
      <w:r>
        <w:rPr>
          <w:rFonts w:ascii="MS PGothic" w:cs="MS PGothic" w:eastAsia="MS PGothic" w:hAnsi="MS PGothic"/>
          <w:sz w:val="18"/>
          <w:szCs w:val="18"/>
          <w:color w:val="51555C"/>
        </w:rPr>
        <w:t>☑</w:t>
      </w:r>
      <w:r>
        <w:rPr>
          <w:rFonts w:ascii="Calibri" w:cs="Calibri" w:eastAsia="Calibri" w:hAnsi="Calibri"/>
          <w:sz w:val="18"/>
          <w:szCs w:val="18"/>
          <w:color w:val="51555C"/>
        </w:rPr>
        <w:t xml:space="preserve"> No </w:t>
      </w:r>
      <w:r>
        <w:rPr>
          <w:rFonts w:ascii="MS PGothic" w:cs="MS PGothic" w:eastAsia="MS PGothic" w:hAnsi="MS PGothic"/>
          <w:sz w:val="18"/>
          <w:szCs w:val="18"/>
          <w:color w:val="51555C"/>
        </w:rPr>
        <w:t>☐</w:t>
      </w:r>
    </w:p>
    <w:p>
      <w:pPr>
        <w:spacing w:after="0" w:line="72" w:lineRule="exact"/>
        <w:rPr>
          <w:sz w:val="24"/>
          <w:szCs w:val="24"/>
          <w:color w:val="auto"/>
        </w:rPr>
      </w:pPr>
    </w:p>
    <w:p>
      <w:pPr>
        <w:jc w:val="both"/>
        <w:spacing w:after="0" w:line="235" w:lineRule="auto"/>
        <w:rPr>
          <w:sz w:val="20"/>
          <w:szCs w:val="20"/>
          <w:color w:val="auto"/>
        </w:rPr>
      </w:pPr>
      <w:r>
        <w:rPr>
          <w:rFonts w:ascii="Calibri" w:cs="Calibri" w:eastAsia="Calibri" w:hAnsi="Calibri"/>
          <w:sz w:val="18"/>
          <w:szCs w:val="18"/>
          <w:color w:val="51555C"/>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80" w:type="dxa"/>
            <w:vAlign w:val="bottom"/>
          </w:tcPr>
          <w:p>
            <w:pPr>
              <w:spacing w:after="0"/>
              <w:rPr>
                <w:sz w:val="20"/>
                <w:szCs w:val="20"/>
                <w:color w:val="auto"/>
              </w:rPr>
            </w:pPr>
            <w:r>
              <w:rPr>
                <w:rFonts w:ascii="Calibri" w:cs="Calibri" w:eastAsia="Calibri" w:hAnsi="Calibri"/>
                <w:sz w:val="18"/>
                <w:szCs w:val="18"/>
                <w:color w:val="51555C"/>
              </w:rPr>
              <w:t>Large accelerated fler</w:t>
            </w:r>
          </w:p>
        </w:tc>
        <w:tc>
          <w:tcPr>
            <w:tcW w:w="3400" w:type="dxa"/>
            <w:vAlign w:val="bottom"/>
          </w:tcPr>
          <w:p>
            <w:pPr>
              <w:ind w:left="420"/>
              <w:spacing w:after="0" w:line="181" w:lineRule="exact"/>
              <w:rPr>
                <w:sz w:val="20"/>
                <w:szCs w:val="20"/>
                <w:color w:val="auto"/>
              </w:rPr>
            </w:pPr>
            <w:r>
              <w:rPr>
                <w:rFonts w:ascii="MS PGothic" w:cs="MS PGothic" w:eastAsia="MS PGothic" w:hAnsi="MS PGothic"/>
                <w:sz w:val="18"/>
                <w:szCs w:val="18"/>
                <w:color w:val="51555C"/>
              </w:rPr>
              <w:t>☑</w:t>
            </w:r>
          </w:p>
        </w:tc>
        <w:tc>
          <w:tcPr>
            <w:tcW w:w="5180" w:type="dxa"/>
            <w:vAlign w:val="bottom"/>
          </w:tcPr>
          <w:p>
            <w:pPr>
              <w:ind w:left="2840"/>
              <w:spacing w:after="0"/>
              <w:rPr>
                <w:sz w:val="20"/>
                <w:szCs w:val="20"/>
                <w:color w:val="auto"/>
              </w:rPr>
            </w:pPr>
            <w:r>
              <w:rPr>
                <w:rFonts w:ascii="Calibri" w:cs="Calibri" w:eastAsia="Calibri" w:hAnsi="Calibri"/>
                <w:sz w:val="18"/>
                <w:szCs w:val="18"/>
                <w:color w:val="51555C"/>
              </w:rPr>
              <w:t>Accelerated fler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51555C"/>
                <w:w w:val="77"/>
              </w:rPr>
              <w:t>☐</w:t>
            </w:r>
          </w:p>
        </w:tc>
      </w:tr>
      <w:tr>
        <w:trPr>
          <w:trHeight w:val="270"/>
        </w:trPr>
        <w:tc>
          <w:tcPr>
            <w:tcW w:w="1980" w:type="dxa"/>
            <w:vAlign w:val="bottom"/>
          </w:tcPr>
          <w:p>
            <w:pPr>
              <w:spacing w:after="0"/>
              <w:rPr>
                <w:sz w:val="20"/>
                <w:szCs w:val="20"/>
                <w:color w:val="auto"/>
              </w:rPr>
            </w:pPr>
            <w:r>
              <w:rPr>
                <w:rFonts w:ascii="Calibri" w:cs="Calibri" w:eastAsia="Calibri" w:hAnsi="Calibri"/>
                <w:sz w:val="18"/>
                <w:szCs w:val="18"/>
                <w:color w:val="51555C"/>
              </w:rPr>
              <w:t>Non-accelerated fler</w:t>
            </w:r>
          </w:p>
        </w:tc>
        <w:tc>
          <w:tcPr>
            <w:tcW w:w="3400" w:type="dxa"/>
            <w:vAlign w:val="bottom"/>
          </w:tcPr>
          <w:p>
            <w:pPr>
              <w:ind w:left="420"/>
              <w:spacing w:after="0" w:line="181" w:lineRule="exact"/>
              <w:rPr>
                <w:sz w:val="20"/>
                <w:szCs w:val="20"/>
                <w:color w:val="auto"/>
              </w:rPr>
            </w:pPr>
            <w:r>
              <w:rPr>
                <w:rFonts w:ascii="MS PGothic" w:cs="MS PGothic" w:eastAsia="MS PGothic" w:hAnsi="MS PGothic"/>
                <w:sz w:val="18"/>
                <w:szCs w:val="18"/>
                <w:color w:val="51555C"/>
              </w:rPr>
              <w:t>☐</w:t>
            </w:r>
          </w:p>
        </w:tc>
        <w:tc>
          <w:tcPr>
            <w:tcW w:w="5180" w:type="dxa"/>
            <w:vAlign w:val="bottom"/>
          </w:tcPr>
          <w:p>
            <w:pPr>
              <w:ind w:left="2840"/>
              <w:spacing w:after="0"/>
              <w:rPr>
                <w:sz w:val="20"/>
                <w:szCs w:val="20"/>
                <w:color w:val="auto"/>
              </w:rPr>
            </w:pPr>
            <w:r>
              <w:rPr>
                <w:rFonts w:ascii="Calibri" w:cs="Calibri" w:eastAsia="Calibri" w:hAnsi="Calibri"/>
                <w:sz w:val="18"/>
                <w:szCs w:val="18"/>
                <w:color w:val="51555C"/>
              </w:rPr>
              <w:t>Smaller reportng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51555C"/>
                <w:w w:val="77"/>
              </w:rPr>
              <w:t>☐</w:t>
            </w:r>
          </w:p>
        </w:tc>
      </w:tr>
      <w:tr>
        <w:trPr>
          <w:trHeight w:val="303"/>
        </w:trPr>
        <w:tc>
          <w:tcPr>
            <w:tcW w:w="19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180" w:type="dxa"/>
            <w:vAlign w:val="bottom"/>
          </w:tcPr>
          <w:p>
            <w:pPr>
              <w:ind w:left="2840"/>
              <w:spacing w:after="0"/>
              <w:rPr>
                <w:sz w:val="20"/>
                <w:szCs w:val="20"/>
                <w:color w:val="auto"/>
              </w:rPr>
            </w:pPr>
            <w:r>
              <w:rPr>
                <w:rFonts w:ascii="Calibri" w:cs="Calibri" w:eastAsia="Calibri" w:hAnsi="Calibri"/>
                <w:sz w:val="18"/>
                <w:szCs w:val="18"/>
                <w:color w:val="51555C"/>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51555C"/>
                <w:w w:val="77"/>
              </w:rPr>
              <w:t>☐</w:t>
            </w:r>
          </w:p>
        </w:tc>
      </w:tr>
    </w:tbl>
    <w:p>
      <w:pPr>
        <w:spacing w:after="0" w:line="179" w:lineRule="exact"/>
        <w:rPr>
          <w:sz w:val="24"/>
          <w:szCs w:val="24"/>
          <w:color w:val="auto"/>
        </w:rPr>
      </w:pPr>
    </w:p>
    <w:p>
      <w:pPr>
        <w:jc w:val="both"/>
        <w:ind w:right="20"/>
        <w:spacing w:after="0" w:line="241" w:lineRule="exact"/>
        <w:rPr>
          <w:sz w:val="20"/>
          <w:szCs w:val="20"/>
          <w:color w:val="auto"/>
        </w:rPr>
      </w:pPr>
      <w:r>
        <w:rPr>
          <w:rFonts w:ascii="Calibri" w:cs="Calibri" w:eastAsia="Calibri" w:hAnsi="Calibri"/>
          <w:sz w:val="18"/>
          <w:szCs w:val="18"/>
          <w:color w:val="51555C"/>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51555C"/>
        </w:rPr>
        <w:t>☐</w:t>
      </w:r>
    </w:p>
    <w:p>
      <w:pPr>
        <w:spacing w:after="0" w:line="72" w:lineRule="exact"/>
        <w:rPr>
          <w:sz w:val="24"/>
          <w:szCs w:val="24"/>
          <w:color w:val="auto"/>
        </w:rPr>
      </w:pPr>
    </w:p>
    <w:p>
      <w:pPr>
        <w:jc w:val="both"/>
        <w:spacing w:after="0" w:line="233" w:lineRule="exact"/>
        <w:rPr>
          <w:sz w:val="20"/>
          <w:szCs w:val="20"/>
          <w:color w:val="auto"/>
        </w:rPr>
      </w:pPr>
      <w:r>
        <w:rPr>
          <w:rFonts w:ascii="Calibri" w:cs="Calibri" w:eastAsia="Calibri" w:hAnsi="Calibri"/>
          <w:sz w:val="18"/>
          <w:szCs w:val="18"/>
          <w:color w:val="51555C"/>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8"/>
          <w:szCs w:val="18"/>
          <w:color w:val="51555C"/>
        </w:rPr>
        <w:t>☑</w:t>
      </w:r>
    </w:p>
    <w:p>
      <w:pPr>
        <w:spacing w:after="0" w:line="72" w:lineRule="exact"/>
        <w:rPr>
          <w:sz w:val="24"/>
          <w:szCs w:val="24"/>
          <w:color w:val="auto"/>
        </w:rPr>
      </w:pPr>
    </w:p>
    <w:p>
      <w:pPr>
        <w:jc w:val="both"/>
        <w:spacing w:after="0" w:line="241" w:lineRule="exact"/>
        <w:rPr>
          <w:sz w:val="20"/>
          <w:szCs w:val="20"/>
          <w:color w:val="auto"/>
        </w:rPr>
      </w:pPr>
      <w:r>
        <w:rPr>
          <w:rFonts w:ascii="Calibri" w:cs="Calibri" w:eastAsia="Calibri" w:hAnsi="Calibri"/>
          <w:sz w:val="18"/>
          <w:szCs w:val="18"/>
          <w:color w:val="51555C"/>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8"/>
          <w:szCs w:val="18"/>
          <w:color w:val="51555C"/>
        </w:rPr>
        <w:t>☐</w:t>
      </w:r>
    </w:p>
    <w:p>
      <w:pPr>
        <w:spacing w:after="0" w:line="72" w:lineRule="exact"/>
        <w:rPr>
          <w:sz w:val="24"/>
          <w:szCs w:val="24"/>
          <w:color w:val="auto"/>
        </w:rPr>
      </w:pPr>
    </w:p>
    <w:p>
      <w:pPr>
        <w:jc w:val="both"/>
        <w:spacing w:after="0" w:line="241" w:lineRule="exact"/>
        <w:rPr>
          <w:sz w:val="20"/>
          <w:szCs w:val="20"/>
          <w:color w:val="auto"/>
        </w:rPr>
      </w:pPr>
      <w:r>
        <w:rPr>
          <w:rFonts w:ascii="Calibri" w:cs="Calibri" w:eastAsia="Calibri" w:hAnsi="Calibri"/>
          <w:sz w:val="18"/>
          <w:szCs w:val="18"/>
          <w:color w:val="51555C"/>
        </w:rPr>
        <w:t xml:space="preserve">Indicate by check mark whether any of those error correctons are restatements that required a recovery analysis of incentve-based compensaton received by any of the registrant’s executve ofcers during the relevant recovery period pursuant to §240.10D-1(b). </w:t>
      </w:r>
      <w:r>
        <w:rPr>
          <w:rFonts w:ascii="MS PGothic" w:cs="MS PGothic" w:eastAsia="MS PGothic" w:hAnsi="MS PGothic"/>
          <w:sz w:val="18"/>
          <w:szCs w:val="18"/>
          <w:color w:val="51555C"/>
        </w:rPr>
        <w:t>☐</w:t>
      </w:r>
    </w:p>
    <w:p>
      <w:pPr>
        <w:spacing w:after="0" w:line="35"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51555C"/>
        </w:rPr>
        <w:t xml:space="preserve">Indicate by check mark whether registrant is a shell company (as defned in Rule 12b-2 of the Exchange Act). Yes </w:t>
      </w:r>
      <w:r>
        <w:rPr>
          <w:rFonts w:ascii="MS PGothic" w:cs="MS PGothic" w:eastAsia="MS PGothic" w:hAnsi="MS PGothic"/>
          <w:sz w:val="18"/>
          <w:szCs w:val="18"/>
          <w:color w:val="51555C"/>
        </w:rPr>
        <w:t>☐</w:t>
      </w:r>
      <w:r>
        <w:rPr>
          <w:rFonts w:ascii="Calibri" w:cs="Calibri" w:eastAsia="Calibri" w:hAnsi="Calibri"/>
          <w:sz w:val="18"/>
          <w:szCs w:val="18"/>
          <w:color w:val="51555C"/>
        </w:rPr>
        <w:t xml:space="preserve"> No </w:t>
      </w:r>
      <w:r>
        <w:rPr>
          <w:rFonts w:ascii="MS PGothic" w:cs="MS PGothic" w:eastAsia="MS PGothic" w:hAnsi="MS PGothic"/>
          <w:sz w:val="18"/>
          <w:szCs w:val="18"/>
          <w:color w:val="51555C"/>
        </w:rPr>
        <w:t>☑</w:t>
      </w:r>
    </w:p>
    <w:p>
      <w:pPr>
        <w:spacing w:after="0" w:line="154" w:lineRule="exact"/>
        <w:rPr>
          <w:sz w:val="24"/>
          <w:szCs w:val="24"/>
          <w:color w:val="auto"/>
        </w:rPr>
      </w:pPr>
    </w:p>
    <w:p>
      <w:pPr>
        <w:jc w:val="both"/>
        <w:spacing w:after="0" w:line="235" w:lineRule="auto"/>
        <w:rPr>
          <w:sz w:val="20"/>
          <w:szCs w:val="20"/>
          <w:color w:val="auto"/>
        </w:rPr>
      </w:pPr>
      <w:r>
        <w:rPr>
          <w:rFonts w:ascii="Calibri" w:cs="Calibri" w:eastAsia="Calibri" w:hAnsi="Calibri"/>
          <w:sz w:val="18"/>
          <w:szCs w:val="18"/>
          <w:color w:val="51555C"/>
        </w:rPr>
        <w:t>The aggregate market value of the registrant's common stock held by non-afliates of the registrant on June 30, 2023 (based on the closing sale price of $71.18 on that date) was approximately $2,292,286,984. Common stock held by each ofcer and director and by each person known to the registrant who owned 10% or more of the outstanding common stock have been excluded in that such persons may be deemed to be afliates. This determinaton of afliate status is not necessarily a conclusive determinaton for other purposes.</w:t>
      </w:r>
    </w:p>
    <w:p>
      <w:pPr>
        <w:spacing w:after="0" w:line="107" w:lineRule="exact"/>
        <w:rPr>
          <w:sz w:val="24"/>
          <w:szCs w:val="24"/>
          <w:color w:val="auto"/>
        </w:rPr>
      </w:pPr>
    </w:p>
    <w:p>
      <w:pPr>
        <w:spacing w:after="0"/>
        <w:rPr>
          <w:sz w:val="20"/>
          <w:szCs w:val="20"/>
          <w:color w:val="auto"/>
        </w:rPr>
      </w:pPr>
      <w:r>
        <w:rPr>
          <w:rFonts w:ascii="Calibri" w:cs="Calibri" w:eastAsia="Calibri" w:hAnsi="Calibri"/>
          <w:sz w:val="18"/>
          <w:szCs w:val="18"/>
          <w:color w:val="51555C"/>
        </w:rPr>
        <w:t>The number of shares of the registrant’s common stock outstanding as of February 14, 2024 was 53,475,414.</w:t>
      </w:r>
    </w:p>
    <w:p>
      <w:pPr>
        <w:sectPr>
          <w:pgSz w:w="11900" w:h="16867" w:orient="portrait"/>
          <w:cols w:equalWidth="0" w:num="1">
            <w:col w:w="11240"/>
          </w:cols>
          <w:pgMar w:left="320" w:top="1030" w:right="339" w:bottom="0" w:gutter="0" w:footer="0" w:header="0"/>
        </w:sectPr>
      </w:pPr>
    </w:p>
    <w:bookmarkStart w:id="1" w:name="page2"/>
    <w:bookmarkEnd w:id="1"/>
    <w:p>
      <w:pPr>
        <w:jc w:val="center"/>
        <w:ind w:right="-19"/>
        <w:spacing w:after="0"/>
        <w:rPr>
          <w:sz w:val="20"/>
          <w:szCs w:val="20"/>
          <w:color w:val="auto"/>
        </w:rPr>
      </w:pPr>
      <w:r>
        <w:rPr>
          <w:rFonts w:ascii="Calibri" w:cs="Calibri" w:eastAsia="Calibri" w:hAnsi="Calibri"/>
          <w:sz w:val="18"/>
          <w:szCs w:val="18"/>
          <w:b w:val="1"/>
          <w:bCs w:val="1"/>
          <w:color w:val="51555C"/>
        </w:rPr>
        <w:t>DOCUMENTS INCORPORATED BY REFERENCE</w:t>
      </w:r>
    </w:p>
    <w:p>
      <w:pPr>
        <w:spacing w:after="0" w:line="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Portons of the registrant's defnitve Proxy Statement for the 2024 Annual Meetng of Stockholders currently scheduled to be held June 12, 2024 are incorporated by reference into Part III hereof. Such defnitve Proxy Statement will be fled with the U.S. Securites and Exchange Commission no later than 120 days afer the conclusion of the registrant's fscal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380365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Calibri" w:cs="Calibri" w:eastAsia="Calibri" w:hAnsi="Calibri"/>
          <w:sz w:val="43"/>
          <w:szCs w:val="43"/>
          <w:b w:val="1"/>
          <w:bCs w:val="1"/>
          <w:color w:val="50535A"/>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640" w:type="dxa"/>
            <w:vAlign w:val="bottom"/>
            <w:gridSpan w:val="2"/>
          </w:tcPr>
          <w:p>
            <w:pPr>
              <w:ind w:left="20"/>
              <w:spacing w:after="0"/>
              <w:rPr>
                <w:sz w:val="20"/>
                <w:szCs w:val="20"/>
                <w:color w:val="auto"/>
              </w:rPr>
            </w:pPr>
            <w:r>
              <w:rPr>
                <w:rFonts w:ascii="Calibri" w:cs="Calibri" w:eastAsia="Calibri" w:hAnsi="Calibri"/>
                <w:sz w:val="20"/>
                <w:szCs w:val="20"/>
                <w:b w:val="1"/>
                <w:bCs w:val="1"/>
                <w:color w:val="004054"/>
              </w:rPr>
              <w:t>CAUTIONARY STATEMENT REGARDING FORWARD-LOOKING STATEMENTS</w:t>
            </w: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2</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r>
        <w:trPr>
          <w:trHeight w:val="501"/>
        </w:trPr>
        <w:tc>
          <w:tcPr>
            <w:tcW w:w="920" w:type="dxa"/>
            <w:vAlign w:val="bottom"/>
          </w:tcPr>
          <w:p>
            <w:pPr>
              <w:ind w:left="20"/>
              <w:spacing w:after="0"/>
              <w:rPr>
                <w:sz w:val="20"/>
                <w:szCs w:val="20"/>
                <w:color w:val="auto"/>
              </w:rPr>
            </w:pPr>
            <w:r>
              <w:rPr>
                <w:rFonts w:ascii="Calibri" w:cs="Calibri" w:eastAsia="Calibri" w:hAnsi="Calibri"/>
                <w:sz w:val="20"/>
                <w:szCs w:val="20"/>
                <w:b w:val="1"/>
                <w:bCs w:val="1"/>
                <w:color w:val="004054"/>
              </w:rPr>
              <w:t>PART I.</w:t>
            </w:r>
          </w:p>
        </w:tc>
        <w:tc>
          <w:tcPr>
            <w:tcW w:w="8720" w:type="dxa"/>
            <w:vAlign w:val="bottom"/>
          </w:tcPr>
          <w:p>
            <w:pPr>
              <w:spacing w:after="0"/>
              <w:rPr>
                <w:sz w:val="24"/>
                <w:szCs w:val="24"/>
                <w:color w:val="auto"/>
              </w:rPr>
            </w:pP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3</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r>
        <w:trPr>
          <w:trHeight w:val="267"/>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Business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1A.</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Risk factors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16</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1B.</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Unresolved staf comments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30</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1C.</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Cybersecurity</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30</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2.</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Propertes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32</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3.</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Legal proceedings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32</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4.</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Mine safety disclosures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32</w:t>
            </w:r>
          </w:p>
        </w:tc>
      </w:tr>
      <w:tr>
        <w:trPr>
          <w:trHeight w:val="558"/>
        </w:trPr>
        <w:tc>
          <w:tcPr>
            <w:tcW w:w="920" w:type="dxa"/>
            <w:vAlign w:val="bottom"/>
          </w:tcPr>
          <w:p>
            <w:pPr>
              <w:ind w:left="20"/>
              <w:spacing w:after="0"/>
              <w:rPr>
                <w:sz w:val="20"/>
                <w:szCs w:val="20"/>
                <w:color w:val="auto"/>
              </w:rPr>
            </w:pPr>
            <w:r>
              <w:rPr>
                <w:rFonts w:ascii="Calibri" w:cs="Calibri" w:eastAsia="Calibri" w:hAnsi="Calibri"/>
                <w:sz w:val="20"/>
                <w:szCs w:val="20"/>
                <w:b w:val="1"/>
                <w:bCs w:val="1"/>
                <w:color w:val="004054"/>
              </w:rPr>
              <w:t>PART II.</w:t>
            </w:r>
          </w:p>
        </w:tc>
        <w:tc>
          <w:tcPr>
            <w:tcW w:w="8720" w:type="dxa"/>
            <w:vAlign w:val="bottom"/>
          </w:tcPr>
          <w:p>
            <w:pPr>
              <w:spacing w:after="0"/>
              <w:rPr>
                <w:sz w:val="24"/>
                <w:szCs w:val="24"/>
                <w:color w:val="auto"/>
              </w:rPr>
            </w:pP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33</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r>
        <w:trPr>
          <w:trHeight w:val="267"/>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5.</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Market for registrant's common equity, related stockholder maters and issuer purchases of equity securites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33</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6.</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[Reserved]</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34</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7.</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Management's discussion and analysis of fnancial conditon and results of operatons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35</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7A.</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Quanttatve and qualitatve disclosures about market risk</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64</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8.</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Financial statements and supplementary data</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65</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9.</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Changes in and disagreements with accountants on accountng and fnancial disclosure</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112</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9A.</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Controls and procedures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112</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9B.</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Other informaton</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113</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9C.</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Disclosure regarding foreign jurisdictons that prevent inspectons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113</w:t>
            </w:r>
          </w:p>
        </w:tc>
      </w:tr>
      <w:tr>
        <w:trPr>
          <w:trHeight w:val="558"/>
        </w:trPr>
        <w:tc>
          <w:tcPr>
            <w:tcW w:w="920" w:type="dxa"/>
            <w:vAlign w:val="bottom"/>
          </w:tcPr>
          <w:p>
            <w:pPr>
              <w:ind w:left="20"/>
              <w:spacing w:after="0"/>
              <w:rPr>
                <w:sz w:val="20"/>
                <w:szCs w:val="20"/>
                <w:color w:val="auto"/>
              </w:rPr>
            </w:pPr>
            <w:r>
              <w:rPr>
                <w:rFonts w:ascii="Calibri" w:cs="Calibri" w:eastAsia="Calibri" w:hAnsi="Calibri"/>
                <w:sz w:val="20"/>
                <w:szCs w:val="20"/>
                <w:b w:val="1"/>
                <w:bCs w:val="1"/>
                <w:color w:val="004054"/>
              </w:rPr>
              <w:t>PART III.</w:t>
            </w:r>
          </w:p>
        </w:tc>
        <w:tc>
          <w:tcPr>
            <w:tcW w:w="8720" w:type="dxa"/>
            <w:vAlign w:val="bottom"/>
          </w:tcPr>
          <w:p>
            <w:pPr>
              <w:spacing w:after="0"/>
              <w:rPr>
                <w:sz w:val="24"/>
                <w:szCs w:val="24"/>
                <w:color w:val="auto"/>
              </w:rPr>
            </w:pP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114</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r>
        <w:trPr>
          <w:trHeight w:val="267"/>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10.</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Directors, executve ofcers and corporate governance</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114</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11.</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Executve compensaton</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114</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12.</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Security ownership of certain benefcial owners and management and related stockholder maters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114</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13.</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Certain relatonships and related transactons, and director independence</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114</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14.</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Principal accountant fees and services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114</w:t>
            </w:r>
          </w:p>
        </w:tc>
      </w:tr>
      <w:tr>
        <w:trPr>
          <w:trHeight w:val="557"/>
        </w:trPr>
        <w:tc>
          <w:tcPr>
            <w:tcW w:w="920" w:type="dxa"/>
            <w:vAlign w:val="bottom"/>
          </w:tcPr>
          <w:p>
            <w:pPr>
              <w:ind w:left="20"/>
              <w:spacing w:after="0"/>
              <w:rPr>
                <w:sz w:val="20"/>
                <w:szCs w:val="20"/>
                <w:color w:val="auto"/>
              </w:rPr>
            </w:pPr>
            <w:r>
              <w:rPr>
                <w:rFonts w:ascii="Calibri" w:cs="Calibri" w:eastAsia="Calibri" w:hAnsi="Calibri"/>
                <w:sz w:val="20"/>
                <w:szCs w:val="20"/>
                <w:b w:val="1"/>
                <w:bCs w:val="1"/>
                <w:color w:val="004054"/>
              </w:rPr>
              <w:t>PART IV.</w:t>
            </w:r>
          </w:p>
        </w:tc>
        <w:tc>
          <w:tcPr>
            <w:tcW w:w="8720" w:type="dxa"/>
            <w:vAlign w:val="bottom"/>
          </w:tcPr>
          <w:p>
            <w:pPr>
              <w:spacing w:after="0"/>
              <w:rPr>
                <w:sz w:val="24"/>
                <w:szCs w:val="24"/>
                <w:color w:val="auto"/>
              </w:rPr>
            </w:pP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115</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r>
        <w:trPr>
          <w:trHeight w:val="267"/>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15.</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Exhibits and fnancial statement schedules</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115</w:t>
            </w:r>
          </w:p>
        </w:tc>
      </w:tr>
      <w:tr>
        <w:trPr>
          <w:trHeight w:val="324"/>
        </w:trPr>
        <w:tc>
          <w:tcPr>
            <w:tcW w:w="920" w:type="dxa"/>
            <w:vAlign w:val="bottom"/>
          </w:tcPr>
          <w:p>
            <w:pPr>
              <w:ind w:left="140"/>
              <w:spacing w:after="0"/>
              <w:rPr>
                <w:sz w:val="20"/>
                <w:szCs w:val="20"/>
                <w:color w:val="auto"/>
              </w:rPr>
            </w:pPr>
            <w:r>
              <w:rPr>
                <w:rFonts w:ascii="Calibri" w:cs="Calibri" w:eastAsia="Calibri" w:hAnsi="Calibri"/>
                <w:sz w:val="18"/>
                <w:szCs w:val="18"/>
                <w:color w:val="auto"/>
              </w:rPr>
              <w:t>Item 16.</w:t>
            </w:r>
          </w:p>
        </w:tc>
        <w:tc>
          <w:tcPr>
            <w:tcW w:w="8720" w:type="dxa"/>
            <w:vAlign w:val="bottom"/>
          </w:tcPr>
          <w:p>
            <w:pPr>
              <w:ind w:left="160"/>
              <w:spacing w:after="0"/>
              <w:rPr>
                <w:sz w:val="20"/>
                <w:szCs w:val="20"/>
                <w:color w:val="auto"/>
              </w:rPr>
            </w:pPr>
            <w:r>
              <w:rPr>
                <w:rFonts w:ascii="Calibri" w:cs="Calibri" w:eastAsia="Calibri" w:hAnsi="Calibri"/>
                <w:sz w:val="18"/>
                <w:szCs w:val="18"/>
                <w:color w:val="auto"/>
              </w:rPr>
              <w:t>Form 10-K Summary</w:t>
            </w:r>
          </w:p>
        </w:tc>
        <w:tc>
          <w:tcPr>
            <w:tcW w:w="1580" w:type="dxa"/>
            <w:vAlign w:val="bottom"/>
          </w:tcPr>
          <w:p>
            <w:pPr>
              <w:ind w:left="840"/>
              <w:spacing w:after="0"/>
              <w:rPr>
                <w:sz w:val="20"/>
                <w:szCs w:val="20"/>
                <w:color w:val="auto"/>
              </w:rPr>
            </w:pPr>
            <w:r>
              <w:rPr>
                <w:rFonts w:ascii="Calibri" w:cs="Calibri" w:eastAsia="Calibri" w:hAnsi="Calibri"/>
                <w:sz w:val="18"/>
                <w:szCs w:val="18"/>
                <w:color w:val="auto"/>
              </w:rPr>
              <w:t>119</w:t>
            </w:r>
          </w:p>
        </w:tc>
      </w:tr>
      <w:tr>
        <w:trPr>
          <w:trHeight w:val="557"/>
        </w:trPr>
        <w:tc>
          <w:tcPr>
            <w:tcW w:w="9640" w:type="dxa"/>
            <w:vAlign w:val="bottom"/>
            <w:gridSpan w:val="2"/>
          </w:tcPr>
          <w:p>
            <w:pPr>
              <w:ind w:left="20"/>
              <w:spacing w:after="0"/>
              <w:rPr>
                <w:sz w:val="20"/>
                <w:szCs w:val="20"/>
                <w:color w:val="auto"/>
              </w:rPr>
            </w:pPr>
            <w:r>
              <w:rPr>
                <w:rFonts w:ascii="Calibri" w:cs="Calibri" w:eastAsia="Calibri" w:hAnsi="Calibri"/>
                <w:sz w:val="20"/>
                <w:szCs w:val="20"/>
                <w:b w:val="1"/>
                <w:bCs w:val="1"/>
                <w:color w:val="004054"/>
              </w:rPr>
              <w:t>SIGNATURES</w:t>
            </w:r>
          </w:p>
        </w:tc>
        <w:tc>
          <w:tcPr>
            <w:tcW w:w="1580" w:type="dxa"/>
            <w:vAlign w:val="bottom"/>
          </w:tcPr>
          <w:p>
            <w:pPr>
              <w:ind w:left="840"/>
              <w:spacing w:after="0"/>
              <w:rPr>
                <w:sz w:val="20"/>
                <w:szCs w:val="20"/>
                <w:color w:val="auto"/>
              </w:rPr>
            </w:pPr>
            <w:r>
              <w:rPr>
                <w:rFonts w:ascii="Calibri" w:cs="Calibri" w:eastAsia="Calibri" w:hAnsi="Calibri"/>
                <w:sz w:val="20"/>
                <w:szCs w:val="20"/>
                <w:b w:val="1"/>
                <w:bCs w:val="1"/>
                <w:color w:val="004054"/>
              </w:rPr>
              <w:t>120</w:t>
            </w:r>
          </w:p>
        </w:tc>
      </w:tr>
      <w:tr>
        <w:trPr>
          <w:trHeight w:val="60"/>
        </w:trPr>
        <w:tc>
          <w:tcPr>
            <w:tcW w:w="920" w:type="dxa"/>
            <w:vAlign w:val="bottom"/>
            <w:tcBorders>
              <w:bottom w:val="single" w:sz="8" w:color="0CD973"/>
            </w:tcBorders>
          </w:tcPr>
          <w:p>
            <w:pPr>
              <w:spacing w:after="0"/>
              <w:rPr>
                <w:sz w:val="5"/>
                <w:szCs w:val="5"/>
                <w:color w:val="auto"/>
              </w:rPr>
            </w:pPr>
          </w:p>
        </w:tc>
        <w:tc>
          <w:tcPr>
            <w:tcW w:w="872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522605</wp:posOffset>
            </wp:positionV>
            <wp:extent cx="72898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2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w:t>
            </w:r>
          </w:p>
        </w:tc>
      </w:tr>
      <w:tr>
        <w:trPr>
          <w:trHeight w:val="351"/>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80" w:right="1580"/>
        <w:spacing w:after="0" w:line="235" w:lineRule="auto"/>
        <w:rPr>
          <w:sz w:val="20"/>
          <w:szCs w:val="20"/>
          <w:color w:val="auto"/>
        </w:rPr>
      </w:pPr>
      <w:r>
        <w:rPr>
          <w:rFonts w:ascii="Calibri" w:cs="Calibri" w:eastAsia="Calibri" w:hAnsi="Calibri"/>
          <w:sz w:val="43"/>
          <w:szCs w:val="43"/>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-434340</wp:posOffset>
            </wp:positionV>
            <wp:extent cx="248285"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9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This Annual Report on Form 10-K, including the documents incorporated herein by reference, contains forward-looking statements that antcipate results based on our estmates, assumptons and plans that are subject to uncertainty. These "forward-looking statements" are made subject to the safe-harbor provisions of the Private Securites Litgaton Reform Act of 1995, Secton 27A of the Securites Act of 1933, as amended, and Secton 21E of the Securites Exchange Act of 1934, as amended. Forward-looking statements consist of, among other things, trend analyses, statements regarding future events, future fnancial performance, our antcipated growth, the efect of general economic and market conditons, our business strategy and our plan to build and grow our business, our operatng results, our ability to successfully integrate developed and acquired businesses and technologies, including generatve artfcial intelligence ("AI"), the efect of our stock repurchase program, the efect of foreign currency exchange rate and interest rate fuctuatons on our fnancial results, the impact of expensing stock-based compensaton, the sufciency of our capital resources, our ability to meet our ongoing debt and obligatons as they become due, cybersecurity and data protecton risks and related liabilites, and current or potental legal proceedings involving us, all of which are based on current expectatons, estmates, and forecasts, and the beliefs and assumptons of our management. Words such as “believes,” “seeks,” “expects,” “may,” “might,” “should,” “intends,” “could,” “would,” “likely,” “will,” “targets,” “plans,” “antcipates,” “aims,” “projects,” “estmates,” or any variatons of such words and similar expressions are also intended to identfy such forward-looking statements. These forward-looking statements are subject to risks, uncertaintes and assumptons that are difcult to predict. Accordingly, they should not be viewed as assurances of future performance, and actual results may difer materially and adversely from those expressed in any forward-looking statements.</w:t>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Important factors that could cause actual results to difer materially from our expectatons expressed in forward-looking statements include, but are not limited to, those summarized under “Item 1A. Risk factors” and elsewhere in this report and in our other SEC flings. Forward-looking statements represent our management's beliefs and assumptons only as of the date of this Annual Report on Form 10-K. We undertake no obligaton to update or revise any forward-looking statements, or to update the reasons actual results could difer materially from those antcipated in any forward-looking statements, whether as a result of new informaton, future events or otherwise.</w:t>
      </w:r>
    </w:p>
    <w:p>
      <w:pPr>
        <w:spacing w:after="0" w:line="31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w:t>
      </w:r>
      <w:r>
        <w:rPr>
          <w:sz w:val="20"/>
          <w:szCs w:val="20"/>
          <w:color w:val="auto"/>
        </w:rPr>
        <w:tab/>
      </w:r>
      <w:r>
        <w:rPr>
          <w:sz w:val="1"/>
          <w:szCs w:val="1"/>
          <w:color w:val="auto"/>
        </w:rPr>
        <w:drawing>
          <wp:inline distT="0" distB="0" distL="0" distR="0">
            <wp:extent cx="728345" cy="1885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3"/>
          <w:szCs w:val="43"/>
          <w:b w:val="1"/>
          <w:bCs w:val="1"/>
          <w:color w:val="50535A"/>
        </w:rPr>
        <w:t xml:space="preserve"> PART I.</w:t>
      </w:r>
    </w:p>
    <w:p>
      <w:pPr>
        <w:spacing w:after="0" w:line="39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 BUSINESS</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Descripton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Blackbaud brings over four decades of leadership to this sector: since originally incorporatng in New York in 1982 and later reincorporatng as a South Carolina corporaton in 1991 and as a Delaware corporaton in 2004. Millions of people across more than 100 countries connect, give, learn and engage through Blackbaud platorms. During 2023, we had nearly 100,000 customers that paid Blackbaud through transactonal fees and more than 40,000 customers with contractual billing arrangements. We are deeply proud to play a part in our customers’ success in their missions to provide healthcare and cure diseases, advance educaton, preserve and share arts and culture, protect the environment, support those in need and much more.</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Market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The social impact market is signifcant, spanning far beyond philanthropy, and our addressable market is substantal and growing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millions of organizatons globally focused on social impact including nonprofts, foundatons, educaton insttutons and healthcare organizatons. In the corporate sector, demonstratng positve social impact has become a business imperatve. Countless individuals also engage in social impact by donatng funds, volunteering their tme, advocatng for a cause, receiving services from or otherwise engaging with social impact organizatons.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Traditonal methods of fundraising and organizatonal management are ofen costly and inefcient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Many social impact organizatons use manual methods or sofware applicatons not specifcally designed for fundraising and organizatonal management for insttutons like theirs. Such methods are ofen costly and inefcient because of the difcultes in efectvely collectng, sharing and using donaton-related informaton. Furthermore, general purpose sofware applicatons frequently have limited functonality for the unique needs of our customer base and do not efciently integrate multple databases. Some social impact organizatons have developed proprietary sofware, but doing so is expensive, requiring on-site technical personnel for development, implementaton and maintenance.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The nonproft industry faces partcular operatonal challenges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Nonproft organizatons — and any other entty that includes fundraising as a revenue source, including educaton insttutons, healthcare organizatons and houses of worship — must efciently:</w:t>
      </w:r>
    </w:p>
    <w:p>
      <w:pPr>
        <w:spacing w:after="0" w:line="51" w:lineRule="exact"/>
        <w:rPr>
          <w:sz w:val="20"/>
          <w:szCs w:val="20"/>
          <w:color w:val="auto"/>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Solicit funds and build relatonships with major and insttutonal donors;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Garner small cash contributons from numerous contributors;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Manage and develop complex relatonships with large numbers of consttuents;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Communicate their accomplishments and the importance of their mission online and ofine;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Comply with complex accountng, tax and reportng requirements that difer from those for for-proft businesses;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Solicit cash and in-kind contributons from businesses to help raise money or deliver products and services;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Provide a wide array of programs and services to individual consttuents and benefciaries; and</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3"/>
        </w:numPr>
        <w:rPr>
          <w:rFonts w:ascii="Calibri" w:cs="Calibri" w:eastAsia="Calibri" w:hAnsi="Calibri"/>
          <w:sz w:val="18"/>
          <w:szCs w:val="18"/>
          <w:color w:val="51555C"/>
        </w:rPr>
      </w:pPr>
      <w:r>
        <w:rPr>
          <w:rFonts w:ascii="Calibri" w:cs="Calibri" w:eastAsia="Calibri" w:hAnsi="Calibri"/>
          <w:sz w:val="18"/>
          <w:szCs w:val="18"/>
          <w:color w:val="51555C"/>
        </w:rPr>
        <w:t>Improve the data collecton and informaton sharing capabilites of their employees, volunteers and donors by creatng and providing distributed access to centralized databases.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220980</wp:posOffset>
            </wp:positionV>
            <wp:extent cx="7289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2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3</w:t>
            </w:r>
          </w:p>
        </w:tc>
      </w:tr>
      <w:tr>
        <w:trPr>
          <w:trHeight w:val="351"/>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Because of these challenges, we believe nonprofts, educaton insttutons, healthcare organizatons and houses of worship can beneft from sofware applicatons and services specifcally designed to serve their partcular needs and workfows to grow revenue, work efectvely and accomplish their missions.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Companies, grantmaking insttutons and foundatons also face unique challenges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Companies, grantmaking insttutons and foundatons, face their own unique challenges in their social impact eforts, including the need to:</w:t>
      </w:r>
    </w:p>
    <w:p>
      <w:pPr>
        <w:spacing w:after="0" w:line="50" w:lineRule="exact"/>
        <w:rPr>
          <w:sz w:val="20"/>
          <w:szCs w:val="20"/>
          <w:color w:val="auto"/>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Quantfy and improve the impact of their grants;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Cultvate beter relatonships with grantees;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Achieve beter internal collaboraton and alignment with board members, reviewers and other stakeholders;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Illustrate the impact of their corporate philanthropy and educaton eforts to the communites they serve;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Engage employees in meaningful volunteering, giving and other actvites;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Ensure that their philanthropic eforts align with their business initatves;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Manage all of a foundaton's actvites, including fundraising and accountng;</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Expand the reach of their fundraising eforts;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
        </w:numPr>
        <w:rPr>
          <w:rFonts w:ascii="Calibri" w:cs="Calibri" w:eastAsia="Calibri" w:hAnsi="Calibri"/>
          <w:sz w:val="18"/>
          <w:szCs w:val="18"/>
          <w:color w:val="51555C"/>
        </w:rPr>
      </w:pPr>
      <w:r>
        <w:rPr>
          <w:rFonts w:ascii="Calibri" w:cs="Calibri" w:eastAsia="Calibri" w:hAnsi="Calibri"/>
          <w:sz w:val="18"/>
          <w:szCs w:val="18"/>
          <w:color w:val="51555C"/>
        </w:rPr>
        <w:t>Cultvate new and existng donors.</w:t>
      </w:r>
    </w:p>
    <w:p>
      <w:pPr>
        <w:spacing w:after="0" w:line="20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objectve is to maintain and extend our positon as the leading provider of cloud sofware and services for the global social impact community, supportng our customers' missions from securing resources and managing their operatons, to delivering their programs and measuring their impact. Our key strategies for achieving this objectve are described below.</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Execute on our Five Key Operatonal Initatves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early 2023, we outlined fve key operatonal initatves targeted to drive innovaton, bookings growth, revenue expansion and lower costs. During 2023, we have executed on these key initatves.</w:t>
      </w:r>
    </w:p>
    <w:p>
      <w:pPr>
        <w:spacing w:after="0" w:line="159" w:lineRule="exact"/>
        <w:rPr>
          <w:sz w:val="20"/>
          <w:szCs w:val="20"/>
          <w:color w:val="auto"/>
        </w:rPr>
      </w:pPr>
    </w:p>
    <w:p>
      <w:pPr>
        <w:ind w:left="320" w:hanging="312"/>
        <w:spacing w:after="0"/>
        <w:tabs>
          <w:tab w:leader="none" w:pos="320" w:val="left"/>
        </w:tabs>
        <w:numPr>
          <w:ilvl w:val="0"/>
          <w:numId w:val="5"/>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Product Innovaton and Delivery</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Product is core at Blackbaud, and we strive to bring increased value to our customers with improved and innovatve capabilites. We have recently announced or released a number of product enhancements as well as new solutons that enable our customers to beter deliver on their missions. Some examples include:</w:t>
      </w:r>
    </w:p>
    <w:p>
      <w:pPr>
        <w:spacing w:after="0" w:line="164" w:lineRule="exact"/>
        <w:rPr>
          <w:rFonts w:ascii="Calibri" w:cs="Calibri" w:eastAsia="Calibri" w:hAnsi="Calibri"/>
          <w:sz w:val="18"/>
          <w:szCs w:val="18"/>
          <w:i w:val="1"/>
          <w:iCs w:val="1"/>
          <w:color w:val="51555C"/>
        </w:rPr>
      </w:pPr>
    </w:p>
    <w:p>
      <w:pPr>
        <w:jc w:val="both"/>
        <w:ind w:left="660" w:hanging="328"/>
        <w:spacing w:after="0" w:line="235" w:lineRule="auto"/>
        <w:tabs>
          <w:tab w:leader="none" w:pos="653" w:val="left"/>
        </w:tabs>
        <w:numPr>
          <w:ilvl w:val="1"/>
          <w:numId w:val="5"/>
        </w:numPr>
        <w:rPr>
          <w:rFonts w:ascii="Calibri" w:cs="Calibri" w:eastAsia="Calibri" w:hAnsi="Calibri"/>
          <w:sz w:val="18"/>
          <w:szCs w:val="18"/>
          <w:color w:val="51555C"/>
        </w:rPr>
      </w:pPr>
      <w:r>
        <w:rPr>
          <w:rFonts w:ascii="Calibri" w:cs="Calibri" w:eastAsia="Calibri" w:hAnsi="Calibri"/>
          <w:sz w:val="18"/>
          <w:szCs w:val="18"/>
          <w:color w:val="51555C"/>
        </w:rPr>
        <w:t>Optmized Online Donaton Capabilites: New online donaton capabilites that fully integrate with Blackbaud’s payment processing and CRM sofware and enable customers to raise more money while reducing processing costs. We recently began an early adopter program for the new donaton capabilites with a small sample of RE NXT customers across charity, educaton, and arts and cultural organizatons. We expect to make them generally available in the frst half of 2024.</w:t>
      </w:r>
    </w:p>
    <w:p>
      <w:pPr>
        <w:spacing w:after="0" w:line="165" w:lineRule="exact"/>
        <w:rPr>
          <w:rFonts w:ascii="Calibri" w:cs="Calibri" w:eastAsia="Calibri" w:hAnsi="Calibri"/>
          <w:sz w:val="18"/>
          <w:szCs w:val="18"/>
          <w:color w:val="51555C"/>
        </w:rPr>
      </w:pPr>
    </w:p>
    <w:p>
      <w:pPr>
        <w:ind w:left="660" w:hanging="328"/>
        <w:spacing w:after="0" w:line="235" w:lineRule="auto"/>
        <w:tabs>
          <w:tab w:leader="none" w:pos="653" w:val="left"/>
        </w:tabs>
        <w:numPr>
          <w:ilvl w:val="1"/>
          <w:numId w:val="5"/>
        </w:numPr>
        <w:rPr>
          <w:rFonts w:ascii="Calibri" w:cs="Calibri" w:eastAsia="Calibri" w:hAnsi="Calibri"/>
          <w:sz w:val="18"/>
          <w:szCs w:val="18"/>
          <w:color w:val="51555C"/>
        </w:rPr>
      </w:pPr>
      <w:r>
        <w:rPr>
          <w:rFonts w:ascii="Calibri" w:cs="Calibri" w:eastAsia="Calibri" w:hAnsi="Calibri"/>
          <w:sz w:val="18"/>
          <w:szCs w:val="18"/>
          <w:color w:val="51555C"/>
        </w:rPr>
        <w:t>Prospect Insights Pro for Raiser’s Edge NXT®: New add-on capability within Raiser’s Edge NXT® that gives fundraisers access to AI-driven insights to support planned and major gif fundraising</w:t>
      </w:r>
    </w:p>
    <w:p>
      <w:pPr>
        <w:spacing w:after="0" w:line="157" w:lineRule="exact"/>
        <w:rPr>
          <w:rFonts w:ascii="Calibri" w:cs="Calibri" w:eastAsia="Calibri" w:hAnsi="Calibri"/>
          <w:sz w:val="18"/>
          <w:szCs w:val="18"/>
          <w:color w:val="51555C"/>
        </w:rPr>
      </w:pPr>
    </w:p>
    <w:p>
      <w:pPr>
        <w:ind w:left="660" w:hanging="328"/>
        <w:spacing w:after="0" w:line="209" w:lineRule="auto"/>
        <w:tabs>
          <w:tab w:leader="none" w:pos="653" w:val="left"/>
        </w:tabs>
        <w:numPr>
          <w:ilvl w:val="1"/>
          <w:numId w:val="5"/>
        </w:numPr>
        <w:rPr>
          <w:rFonts w:ascii="Calibri" w:cs="Calibri" w:eastAsia="Calibri" w:hAnsi="Calibri"/>
          <w:sz w:val="18"/>
          <w:szCs w:val="18"/>
          <w:color w:val="51555C"/>
        </w:rPr>
      </w:pPr>
      <w:r>
        <w:rPr>
          <w:rFonts w:ascii="Calibri" w:cs="Calibri" w:eastAsia="Calibri" w:hAnsi="Calibri"/>
          <w:sz w:val="18"/>
          <w:szCs w:val="18"/>
          <w:color w:val="51555C"/>
        </w:rPr>
        <w:t>Impact Edge</w:t>
      </w:r>
      <w:r>
        <w:rPr>
          <w:rFonts w:ascii="Calibri" w:cs="Calibri" w:eastAsia="Calibri" w:hAnsi="Calibri"/>
          <w:sz w:val="23"/>
          <w:szCs w:val="23"/>
          <w:color w:val="51555C"/>
          <w:vertAlign w:val="superscript"/>
        </w:rPr>
        <w:t>TM</w:t>
      </w:r>
      <w:r>
        <w:rPr>
          <w:rFonts w:ascii="Calibri" w:cs="Calibri" w:eastAsia="Calibri" w:hAnsi="Calibri"/>
          <w:sz w:val="18"/>
          <w:szCs w:val="18"/>
          <w:color w:val="51555C"/>
        </w:rPr>
        <w:t>: A frst-of-its-kind AI-powered, social impact reportng and storytelling soluton for corporate social responsibility (CSR) and social impact teams of all sizes. This new soluton is currently in an early adopter program with our planned full roll out in the second half of 2024.</w:t>
      </w:r>
    </w:p>
    <w:p>
      <w:pPr>
        <w:spacing w:after="0" w:line="164"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1"/>
          <w:numId w:val="5"/>
        </w:numPr>
        <w:rPr>
          <w:rFonts w:ascii="Calibri" w:cs="Calibri" w:eastAsia="Calibri" w:hAnsi="Calibri"/>
          <w:sz w:val="18"/>
          <w:szCs w:val="18"/>
          <w:color w:val="51555C"/>
        </w:rPr>
      </w:pPr>
      <w:r>
        <w:rPr>
          <w:rFonts w:ascii="Calibri" w:cs="Calibri" w:eastAsia="Calibri" w:hAnsi="Calibri"/>
          <w:sz w:val="18"/>
          <w:szCs w:val="18"/>
          <w:color w:val="51555C"/>
        </w:rPr>
        <w:t>JustGiving Storywriter: With new generatve AI capabilites, fundraisers on JustGiving are able to quickly and easily create personal stories to share with their networks. Company research has shown that JustGiving pages that include a clear and personal story raise approximately 65% more than those that do not.</w:t>
      </w:r>
    </w:p>
    <w:p>
      <w:pPr>
        <w:spacing w:after="0" w:line="158" w:lineRule="exact"/>
        <w:rPr>
          <w:rFonts w:ascii="Calibri" w:cs="Calibri" w:eastAsia="Calibri" w:hAnsi="Calibri"/>
          <w:sz w:val="18"/>
          <w:szCs w:val="18"/>
          <w:color w:val="51555C"/>
        </w:rPr>
      </w:pPr>
    </w:p>
    <w:p>
      <w:pPr>
        <w:jc w:val="both"/>
        <w:ind w:left="660" w:hanging="328"/>
        <w:spacing w:after="0" w:line="217" w:lineRule="auto"/>
        <w:tabs>
          <w:tab w:leader="none" w:pos="653" w:val="left"/>
        </w:tabs>
        <w:numPr>
          <w:ilvl w:val="1"/>
          <w:numId w:val="5"/>
        </w:numPr>
        <w:rPr>
          <w:rFonts w:ascii="Calibri" w:cs="Calibri" w:eastAsia="Calibri" w:hAnsi="Calibri"/>
          <w:sz w:val="18"/>
          <w:szCs w:val="18"/>
          <w:color w:val="51555C"/>
        </w:rPr>
      </w:pPr>
      <w:r>
        <w:rPr>
          <w:rFonts w:ascii="Calibri" w:cs="Calibri" w:eastAsia="Calibri" w:hAnsi="Calibri"/>
          <w:sz w:val="18"/>
          <w:szCs w:val="18"/>
          <w:color w:val="51555C"/>
        </w:rPr>
        <w:t>Good Move</w:t>
      </w:r>
      <w:r>
        <w:rPr>
          <w:rFonts w:ascii="Calibri" w:cs="Calibri" w:eastAsia="Calibri" w:hAnsi="Calibri"/>
          <w:sz w:val="23"/>
          <w:szCs w:val="23"/>
          <w:color w:val="51555C"/>
          <w:vertAlign w:val="superscript"/>
        </w:rPr>
        <w:t>TM</w:t>
      </w:r>
      <w:r>
        <w:rPr>
          <w:rFonts w:ascii="Calibri" w:cs="Calibri" w:eastAsia="Calibri" w:hAnsi="Calibri"/>
          <w:sz w:val="18"/>
          <w:szCs w:val="18"/>
          <w:color w:val="51555C"/>
        </w:rPr>
        <w:t>: New development transformed the Good Move actvity-tracking mobile app into a powerful mobile partcipant center for Blackbaud TeamRaiser® peer-to-peer fundraising events. The new expansive feature for Blackbaud TeamRaiser® became generally available in the U.S. and Canada in March 2023.</w:t>
      </w:r>
    </w:p>
    <w:p>
      <w:pPr>
        <w:spacing w:after="0" w:line="31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w:t>
      </w:r>
      <w:r>
        <w:rPr>
          <w:sz w:val="20"/>
          <w:szCs w:val="20"/>
          <w:color w:val="auto"/>
        </w:rPr>
        <w:tab/>
      </w:r>
      <w:r>
        <w:rPr>
          <w:sz w:val="1"/>
          <w:szCs w:val="1"/>
          <w:color w:val="auto"/>
        </w:rPr>
        <w:drawing>
          <wp:inline distT="0" distB="0" distL="0" distR="0">
            <wp:extent cx="728345" cy="1885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hanging="328"/>
        <w:spacing w:after="0" w:line="235" w:lineRule="auto"/>
        <w:tabs>
          <w:tab w:leader="none" w:pos="653" w:val="left"/>
        </w:tabs>
        <w:numPr>
          <w:ilvl w:val="1"/>
          <w:numId w:val="6"/>
        </w:numPr>
        <w:rPr>
          <w:rFonts w:ascii="Calibri" w:cs="Calibri" w:eastAsia="Calibri" w:hAnsi="Calibri"/>
          <w:sz w:val="18"/>
          <w:szCs w:val="18"/>
          <w:color w:val="51555C"/>
        </w:rPr>
      </w:pPr>
      <w:r>
        <w:rPr>
          <w:rFonts w:ascii="Calibri" w:cs="Calibri" w:eastAsia="Calibri" w:hAnsi="Calibri"/>
          <w:sz w:val="18"/>
          <w:szCs w:val="18"/>
          <w:color w:val="51555C"/>
        </w:rPr>
        <w:t>Intelligence for Good®: In summer 2023, we launched next generaton Intelligence for Good® strategy with an extensive agenda of initatves and investments targeted at making artfcial intelligence more accessible, powerful and responsible across the social impact sector</w:t>
      </w:r>
    </w:p>
    <w:p>
      <w:pPr>
        <w:spacing w:after="0" w:line="158" w:lineRule="exact"/>
        <w:rPr>
          <w:rFonts w:ascii="Calibri" w:cs="Calibri" w:eastAsia="Calibri" w:hAnsi="Calibri"/>
          <w:sz w:val="18"/>
          <w:szCs w:val="18"/>
          <w:color w:val="51555C"/>
        </w:rPr>
      </w:pPr>
    </w:p>
    <w:p>
      <w:pPr>
        <w:ind w:left="320" w:hanging="312"/>
        <w:spacing w:after="0"/>
        <w:tabs>
          <w:tab w:leader="none" w:pos="320" w:val="left"/>
        </w:tabs>
        <w:numPr>
          <w:ilvl w:val="0"/>
          <w:numId w:val="6"/>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Bookings Growth and Acceleraton</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We maintain a keen focus on acceleratng bookings growth by signing new logos as well as upselling and cross-selling our existng customer base. Our sales team is split between prospect account executves dedicated to prospectng for new clients and customer account executves who focus on selling additonal products to current customers. Given the breadth of our product portolio, this “land and expand” model has proven successful for us over tme. As previously disclosed, there can be volatlity quarter-to-quarter on bookings.</w:t>
      </w:r>
    </w:p>
    <w:p>
      <w:pPr>
        <w:spacing w:after="0" w:line="160"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6"/>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Transactonal Revenue Optmizaton and Expansion</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Transactonal revenue, which is about one-third of total revenue, is comprised of four primary components: donaton processing (~55% of total transactonal revenue); consumer giving (~20%); tuiton management (~20%); and event-based usage (~5%). The diversity of the underlying transacton volumes from these four sources has resulted in consistent transactonal recurring revenue growth in the mid-to-high single digits over the past several years. Strong momentum in consumer giving and tuiton management, rate increases on Blackbaud Merchant Services, and increased donatons ted to global events drove contnued solid transactonal recurring revenue growth in 2023. Going forward we will contnue to implement additonal payments solutons optmizaton to drive enhanced donor experience.</w:t>
      </w:r>
    </w:p>
    <w:p>
      <w:pPr>
        <w:spacing w:after="0" w:line="162"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6"/>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Modernized Approach to Pricing and Mult-Year Contracts</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Last summer, we put in place an updated pricing policy primarily for our social sector customers that directly refects the value we provide to them, is in-line with the broader market and refects the infatonary pressures that all businesses are facing. In November 2022, we started notfying customers with a March 2023 contract renewal that we would be making important contract changes. First, we are ofering 3-year contract renewal terms as our standard, replacing one-year renewal terms. This process was already being implemented outside of the pricing changes. Second, we are implementng a more signifcant rate increase on the 1-year renewal opton versus the 3-year renewal opton. And third, the 3-year renewal opton includes embedded annual rate increases. Our 3-year renewal optons did not historically include annual rate increases.</w:t>
      </w:r>
    </w:p>
    <w:p>
      <w:pPr>
        <w:spacing w:after="0" w:line="167" w:lineRule="exact"/>
        <w:rPr>
          <w:rFonts w:ascii="Calibri" w:cs="Calibri" w:eastAsia="Calibri" w:hAnsi="Calibri"/>
          <w:sz w:val="18"/>
          <w:szCs w:val="18"/>
          <w:i w:val="1"/>
          <w:iCs w:val="1"/>
          <w:color w:val="51555C"/>
        </w:rPr>
      </w:pPr>
    </w:p>
    <w:p>
      <w:pPr>
        <w:jc w:val="both"/>
        <w:ind w:left="340"/>
        <w:spacing w:after="0" w:line="251" w:lineRule="auto"/>
        <w:rPr>
          <w:rFonts w:ascii="Calibri" w:cs="Calibri" w:eastAsia="Calibri" w:hAnsi="Calibri"/>
          <w:sz w:val="18"/>
          <w:szCs w:val="18"/>
          <w:i w:val="1"/>
          <w:iCs w:val="1"/>
          <w:color w:val="51555C"/>
        </w:rPr>
      </w:pPr>
      <w:r>
        <w:rPr>
          <w:rFonts w:ascii="Calibri" w:cs="Calibri" w:eastAsia="Calibri" w:hAnsi="Calibri"/>
          <w:sz w:val="17"/>
          <w:szCs w:val="17"/>
          <w:color w:val="51555C"/>
        </w:rPr>
        <w:t>We have now completed the 2023 renewal cohort, which represented approximately 35% of the total contractual revenue eligible for this program. Approximately another 30% of the renewable base is up for renewal in 2024, another 25% in 2025, and the remaining 10% in the beginning of 2026. The close day-to-day management of renewals, the mix of 3-year and 1-year contracts, and the impact of pricing are progressing well, and we expect more impact from the compounding efect of these rate increases over tme as we layer in future year contract renewals and annual rate increases. Additonally, the adopton of 3-year renewals as a standard, with more customers optng for this opton than we originally expected, are expected to have an added beneft of higher retenton which provides greater revenue assurance and predictability. Looking even further ahead, the cycle starts fresh in 2026 as the 2023 signed contracts will begin to renew. We expect that this will be a sustainable and meaningful revenue growth stream for us.</w:t>
      </w:r>
    </w:p>
    <w:p>
      <w:pPr>
        <w:spacing w:after="0" w:line="150"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6"/>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Keen Atenton to Cost Management</w:t>
      </w:r>
    </w:p>
    <w:p>
      <w:pPr>
        <w:spacing w:after="0" w:line="158" w:lineRule="exact"/>
        <w:rPr>
          <w:rFonts w:ascii="Calibri" w:cs="Calibri" w:eastAsia="Calibri" w:hAnsi="Calibri"/>
          <w:sz w:val="18"/>
          <w:szCs w:val="18"/>
          <w:i w:val="1"/>
          <w:iCs w:val="1"/>
          <w:color w:val="51555C"/>
        </w:rPr>
      </w:pPr>
    </w:p>
    <w:p>
      <w:pPr>
        <w:ind w:left="340"/>
        <w:spacing w:after="0"/>
        <w:rPr>
          <w:rFonts w:ascii="Calibri" w:cs="Calibri" w:eastAsia="Calibri" w:hAnsi="Calibri"/>
          <w:sz w:val="18"/>
          <w:szCs w:val="18"/>
          <w:i w:val="1"/>
          <w:iCs w:val="1"/>
          <w:color w:val="51555C"/>
        </w:rPr>
      </w:pPr>
      <w:r>
        <w:rPr>
          <w:rFonts w:ascii="Calibri" w:cs="Calibri" w:eastAsia="Calibri" w:hAnsi="Calibri"/>
          <w:sz w:val="18"/>
          <w:szCs w:val="18"/>
          <w:color w:val="51555C"/>
        </w:rPr>
        <w:t>Cost management initatves already completed drove a signifcant improvement in proftability during 2023. These initatves included:</w:t>
      </w:r>
    </w:p>
    <w:p>
      <w:pPr>
        <w:spacing w:after="0" w:line="158" w:lineRule="exact"/>
        <w:rPr>
          <w:rFonts w:ascii="Calibri" w:cs="Calibri" w:eastAsia="Calibri" w:hAnsi="Calibri"/>
          <w:sz w:val="18"/>
          <w:szCs w:val="18"/>
          <w:i w:val="1"/>
          <w:iCs w:val="1"/>
          <w:color w:val="51555C"/>
        </w:rPr>
      </w:pPr>
    </w:p>
    <w:p>
      <w:pPr>
        <w:ind w:left="640" w:hanging="308"/>
        <w:spacing w:after="0"/>
        <w:tabs>
          <w:tab w:leader="none" w:pos="640" w:val="left"/>
        </w:tabs>
        <w:numPr>
          <w:ilvl w:val="1"/>
          <w:numId w:val="6"/>
        </w:numPr>
        <w:rPr>
          <w:rFonts w:ascii="Calibri" w:cs="Calibri" w:eastAsia="Calibri" w:hAnsi="Calibri"/>
          <w:sz w:val="18"/>
          <w:szCs w:val="18"/>
          <w:color w:val="51555C"/>
        </w:rPr>
      </w:pPr>
      <w:r>
        <w:rPr>
          <w:rFonts w:ascii="Calibri" w:cs="Calibri" w:eastAsia="Calibri" w:hAnsi="Calibri"/>
          <w:sz w:val="18"/>
          <w:szCs w:val="18"/>
          <w:color w:val="51555C"/>
        </w:rPr>
        <w:t>A reducton in headcount from approximately 3,600 in the third quarter of 2022 to approximately 3,000 as of December 31, 2023</w:t>
      </w:r>
    </w:p>
    <w:p>
      <w:pPr>
        <w:spacing w:after="0" w:line="163" w:lineRule="exact"/>
        <w:rPr>
          <w:rFonts w:ascii="Calibri" w:cs="Calibri" w:eastAsia="Calibri" w:hAnsi="Calibri"/>
          <w:sz w:val="18"/>
          <w:szCs w:val="18"/>
          <w:color w:val="51555C"/>
        </w:rPr>
      </w:pPr>
    </w:p>
    <w:p>
      <w:pPr>
        <w:ind w:left="660" w:hanging="328"/>
        <w:spacing w:after="0" w:line="235" w:lineRule="auto"/>
        <w:tabs>
          <w:tab w:leader="none" w:pos="653" w:val="left"/>
        </w:tabs>
        <w:numPr>
          <w:ilvl w:val="1"/>
          <w:numId w:val="6"/>
        </w:numPr>
        <w:rPr>
          <w:rFonts w:ascii="Calibri" w:cs="Calibri" w:eastAsia="Calibri" w:hAnsi="Calibri"/>
          <w:sz w:val="18"/>
          <w:szCs w:val="18"/>
          <w:color w:val="51555C"/>
        </w:rPr>
      </w:pPr>
      <w:r>
        <w:rPr>
          <w:rFonts w:ascii="Calibri" w:cs="Calibri" w:eastAsia="Calibri" w:hAnsi="Calibri"/>
          <w:sz w:val="18"/>
          <w:szCs w:val="18"/>
          <w:color w:val="51555C"/>
        </w:rPr>
        <w:t>Contnued IT consolidaton as we migrate customers from legacy private data centers to leading public cloud service providers. We closed four legacy data centers during 2022 and two in 2023.</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1"/>
          <w:numId w:val="6"/>
        </w:numPr>
        <w:rPr>
          <w:rFonts w:ascii="Calibri" w:cs="Calibri" w:eastAsia="Calibri" w:hAnsi="Calibri"/>
          <w:sz w:val="18"/>
          <w:szCs w:val="18"/>
          <w:color w:val="51555C"/>
        </w:rPr>
      </w:pPr>
      <w:r>
        <w:rPr>
          <w:rFonts w:ascii="Calibri" w:cs="Calibri" w:eastAsia="Calibri" w:hAnsi="Calibri"/>
          <w:sz w:val="18"/>
          <w:szCs w:val="18"/>
          <w:color w:val="51555C"/>
        </w:rPr>
        <w:t>Renegotated key vendor contracts including Microsof Azure and AWS</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1"/>
          <w:numId w:val="6"/>
        </w:numPr>
        <w:rPr>
          <w:rFonts w:ascii="Calibri" w:cs="Calibri" w:eastAsia="Calibri" w:hAnsi="Calibri"/>
          <w:sz w:val="18"/>
          <w:szCs w:val="18"/>
          <w:color w:val="51555C"/>
        </w:rPr>
      </w:pPr>
      <w:r>
        <w:rPr>
          <w:rFonts w:ascii="Calibri" w:cs="Calibri" w:eastAsia="Calibri" w:hAnsi="Calibri"/>
          <w:sz w:val="18"/>
          <w:szCs w:val="18"/>
          <w:color w:val="51555C"/>
        </w:rPr>
        <w:t>Reduced our real estate footprint as part of the shif to a remote frst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220345</wp:posOffset>
            </wp:positionV>
            <wp:extent cx="7289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2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5</w:t>
            </w:r>
          </w:p>
        </w:tc>
      </w:tr>
      <w:tr>
        <w:trPr>
          <w:trHeight w:val="351"/>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40"/>
        <w:spacing w:after="0" w:line="235" w:lineRule="auto"/>
        <w:rPr>
          <w:sz w:val="20"/>
          <w:szCs w:val="20"/>
          <w:color w:val="auto"/>
        </w:rPr>
      </w:pPr>
      <w:r>
        <w:rPr>
          <w:rFonts w:ascii="Calibri" w:cs="Calibri" w:eastAsia="Calibri" w:hAnsi="Calibri"/>
          <w:sz w:val="18"/>
          <w:szCs w:val="18"/>
          <w:color w:val="51555C"/>
        </w:rPr>
        <w:t>Going forward, our goal is to run the business at about this headcount level for the foreseeable future, while contnuing to drive efciencies in other areas of the business.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Delight Our Customers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intend to make our customers' experience with us efectve, efcient and satsfying from their inital interest in our solutons and services through their decision to purchase, engage with customer support and implement and use our solutons. We contnue to focus on initatves aimed at improving the consistency and quality of user experience across our oferings. We also contnue to evolve the way we package and sell our oferings to provide high quality and value combined with fexibility to meet the unique needs of our existng and prospectve customers. In additon, we are contnuing to integrate value-adding capabilites such as payment services, analytcs and business intelligence into our suite of solutons to beter address our customers' needs to raise more revenue with comprehensive oferings. We will contnue to focus on providing the highest level of soluton support, enhancing our existng solutons, extending our solutons through open APIs and developing new solutons and services designed to help our customers be more efectve and achieve their missions.</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Atract and Retain Top Talent and Actvely Engage Employee Base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employees are energized by our opportunity to fuel social impact. Collaboraton, innovaton, authentc passion for the customers we serve and high standards are core to our culture and help to enable the great work we do. We strive to hire, develop and retain the best employees and provide a supportve and inclusive environment where their talents and potental are realized. In 2021, we formally adopted a "Remote First" model as a company, which supports Blackbaud's goal to atract top talent globally. For additonal informaton, see “Human Capital Resources” below.</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Drive Strength in Our Sector as an Industry Thought Leader</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 xml:space="preserve">In our over 40 years of operaton, we have gained signifcant insight into the overall market and industry segments in which we operate. We produce a wide range of thought leadership resources, including blogs, webinars and white papers, which provide insights and guidance to the social impact community. We also partcipate in and convene industry forums, where we exchange views and engage with industry and government leaders. Our annual user conference, </w:t>
      </w:r>
      <w:r>
        <w:rPr>
          <w:rFonts w:ascii="Calibri" w:cs="Calibri" w:eastAsia="Calibri" w:hAnsi="Calibri"/>
          <w:sz w:val="17"/>
          <w:szCs w:val="17"/>
          <w:b w:val="1"/>
          <w:bCs w:val="1"/>
          <w:i w:val="1"/>
          <w:iCs w:val="1"/>
          <w:color w:val="51555C"/>
        </w:rPr>
        <w:t>bbcon</w:t>
      </w:r>
      <w:r>
        <w:rPr>
          <w:rFonts w:ascii="Calibri" w:cs="Calibri" w:eastAsia="Calibri" w:hAnsi="Calibri"/>
          <w:sz w:val="17"/>
          <w:szCs w:val="17"/>
          <w:i w:val="1"/>
          <w:iCs w:val="1"/>
          <w:color w:val="51555C"/>
        </w:rPr>
        <w:t>®</w:t>
      </w:r>
      <w:r>
        <w:rPr>
          <w:rFonts w:ascii="Calibri" w:cs="Calibri" w:eastAsia="Calibri" w:hAnsi="Calibri"/>
          <w:sz w:val="17"/>
          <w:szCs w:val="17"/>
          <w:color w:val="51555C"/>
        </w:rPr>
        <w:t>, serves in part as a forum to ofer thought leadership to our customers, as do other market-specifc user conferences, events and customer</w:t>
      </w:r>
      <w:r>
        <w:rPr>
          <w:rFonts w:ascii="Calibri" w:cs="Calibri" w:eastAsia="Calibri" w:hAnsi="Calibri"/>
          <w:sz w:val="17"/>
          <w:szCs w:val="17"/>
          <w:b w:val="1"/>
          <w:bCs w:val="1"/>
          <w:i w:val="1"/>
          <w:iCs w:val="1"/>
          <w:color w:val="51555C"/>
        </w:rPr>
        <w:t xml:space="preserve"> </w:t>
      </w:r>
      <w:r>
        <w:rPr>
          <w:rFonts w:ascii="Calibri" w:cs="Calibri" w:eastAsia="Calibri" w:hAnsi="Calibri"/>
          <w:sz w:val="17"/>
          <w:szCs w:val="17"/>
          <w:color w:val="51555C"/>
        </w:rPr>
        <w:t>gatherings. The Blackbaud Insttute is a research lab that leverages Blackbaud's unique data resources, along with original research, to drive insight that accelerates the impact of the social impact community. The research and reports the Blackbaud Insttute produces serve to strengthen the social impact community as a whole. ENGAGE, our blog and podcast, provides free best practces resources that drive impact across the social impact community, as well.</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Blackbaud Social Good Startup Program is a year-long accelerator designed to support innovatve startups with the potental to drive social impact. In alignment with our commitment to diversity in the tech community, we emphasize supportng founders from underrepresented backgrounds.</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Solutons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build sofware for our customers' essental business operatons to free them to focus on what maters most: delivering impact. With powerful data intelligence and expertse inside, and an ever-growing network of partners and developers outside, our sofware is the foundatonal infrastructure that expands what is possible for anyone dedicated to purpose-driven work.</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augment our sofware with a range of payment processing, analytc and business intelligence services, consultng, training and professional services, as well as maintenance and technical support. The Blackbaud portolio is delivered primarily through cloud solutons tailored to the unique needs of nonprofts and foundatons, educatonal insttutons, individual change makers and corporate social impact programs built specifcally for fundraising and relatonship management, marketng and engagement, fnancial management, grant and award management, educaton management, tcketng, social responsibility, payment services and analytcs.</w:t>
      </w:r>
    </w:p>
    <w:p>
      <w:pPr>
        <w:spacing w:after="0" w:line="31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6</w:t>
      </w:r>
      <w:r>
        <w:rPr>
          <w:sz w:val="20"/>
          <w:szCs w:val="20"/>
          <w:color w:val="auto"/>
        </w:rPr>
        <w:tab/>
      </w:r>
      <w:r>
        <w:rPr>
          <w:sz w:val="1"/>
          <w:szCs w:val="1"/>
          <w:color w:val="auto"/>
        </w:rPr>
        <w:drawing>
          <wp:inline distT="0" distB="0" distL="0" distR="0">
            <wp:extent cx="728345" cy="1885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color w:val="51555C"/>
        </w:rPr>
        <w:t>Our specifc solutons and services include:</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Fundraising and Engagement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Raiser's Edge NXT® </w:t>
      </w:r>
      <w:r>
        <w:rPr>
          <w:rFonts w:ascii="Calibri" w:cs="Calibri" w:eastAsia="Calibri" w:hAnsi="Calibri"/>
          <w:sz w:val="18"/>
          <w:szCs w:val="18"/>
          <w:color w:val="51555C"/>
        </w:rPr>
        <w:t>is our fagship fundraising and relatonship management soluton. Raiser's Edge NXT is the frst and only cloud fundraising and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relatonship management soluton that is all-inclusive, fully integrated with data health, analytcs, email marketng, donaton forms, event management, payment processing and process automaton to create tailored, user-specifc experiences. Built on our Blackbaud SKY Platorm, Raiser's Edge NXT is, we believe, the most advanced technology available to nonprofts seeking to operate more efciently and raise more support for their missions. Raiser’s Edge NXT includes access to Blackbaud Online Express™, a simple, efcient, cloud-based fundraising and marketng tool designed for smaller nonproft organizatons.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CRM™ </w:t>
      </w:r>
      <w:r>
        <w:rPr>
          <w:rFonts w:ascii="Calibri" w:cs="Calibri" w:eastAsia="Calibri" w:hAnsi="Calibri"/>
          <w:sz w:val="18"/>
          <w:szCs w:val="18"/>
          <w:color w:val="51555C"/>
        </w:rPr>
        <w:t>is a comprehensive, confgurable fundraising and relatonship management soluton. It is our lead ofering for enterprise-level organizatons</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seeking a powerful, yet adaptable soluton for fundraising, marketng and program management across the engagement lifecycle, specializing in supportng sophistcated major giving, membership and high-volume direct marketng programs. Blackbaud CRM helps organizatons build deeper and more personalized relatonships with consttuents, build their brands through online engagement and multchannel communicaton tools, and more efectvely fundraise, leveraging campaign management, business intelligence and analytcs. Blackbaud CRM can be sold as an integrated soluton with our enterprise online solutons to enable mult-channel marketng, online engagement and event fundraising.</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eTapestry® </w:t>
      </w:r>
      <w:r>
        <w:rPr>
          <w:rFonts w:ascii="Calibri" w:cs="Calibri" w:eastAsia="Calibri" w:hAnsi="Calibri"/>
          <w:sz w:val="18"/>
          <w:szCs w:val="18"/>
          <w:color w:val="51555C"/>
        </w:rPr>
        <w:t>is a simple, cloud fundraising and donor management soluton built specifcally for smaller, developing nonprofts in need of a cloud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soluton to support basic fundraising needs. It ofers nonproft organizatons a cost-efectve way to manage donors, process gifs, create reports, accept online donatons and communicate with consttuents. This technology provides a system that is simple to maintain, efcient to operate and is intuitvely easy to learn without extensive training.</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Luminate Online®, </w:t>
      </w:r>
      <w:r>
        <w:rPr>
          <w:rFonts w:ascii="Calibri" w:cs="Calibri" w:eastAsia="Calibri" w:hAnsi="Calibri"/>
          <w:sz w:val="18"/>
          <w:szCs w:val="18"/>
          <w:color w:val="51555C"/>
        </w:rPr>
        <w:t>delivered in the cloud, helps our customers beter understand their online supporters, make the right ask at the right tme and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raise money online. It includes tools to build online fundraising campaigns as part of an organizaton's existng website or as a stand-alone fundraising site. Donaton forms, gif processing and tools for communicatng through web pages and email give our customers the essentals for building sustainable donor relatonships.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TeamRaiser® </w:t>
      </w:r>
      <w:r>
        <w:rPr>
          <w:rFonts w:ascii="Calibri" w:cs="Calibri" w:eastAsia="Calibri" w:hAnsi="Calibri"/>
          <w:sz w:val="18"/>
          <w:szCs w:val="18"/>
          <w:color w:val="51555C"/>
        </w:rPr>
        <w:t>is the industry’s most comprehensive cloud soluton designed specifcally for peer-to-peer event fundraising. Powering thousands of</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major events each year, TeamRaiser allows nonprofts’ supporters to create personal or team fundraising web pages and send email donaton appeals in support of events such as walks, runs and rides.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JustGiving® from Blackbaud® </w:t>
      </w:r>
      <w:r>
        <w:rPr>
          <w:rFonts w:ascii="Calibri" w:cs="Calibri" w:eastAsia="Calibri" w:hAnsi="Calibri"/>
          <w:sz w:val="18"/>
          <w:szCs w:val="18"/>
          <w:color w:val="51555C"/>
        </w:rPr>
        <w:t>is one of the world's leading social platorms for giving. JustGiving provides world-class technology and innovatve tools to</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connect people with the causes they care about. By making giving more simple, social and rewarding, this platorm helps all causes, charites and people in need to reach more people and raise more money.</w:t>
      </w:r>
    </w:p>
    <w:p>
      <w:pPr>
        <w:spacing w:after="0" w:line="165"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i w:val="1"/>
          <w:iCs w:val="1"/>
          <w:color w:val="51555C"/>
        </w:rPr>
        <w:t xml:space="preserve">Blackbaud Fundraiser Performance Management™ </w:t>
      </w:r>
      <w:r>
        <w:rPr>
          <w:rFonts w:ascii="Calibri" w:cs="Calibri" w:eastAsia="Calibri" w:hAnsi="Calibri"/>
          <w:sz w:val="17"/>
          <w:szCs w:val="17"/>
          <w:color w:val="51555C"/>
        </w:rPr>
        <w:t>is a mult-pronged soluton that combines easy to use data-driven sofware for fundraisers and managers,</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predictve modeling insights, and high-touch strategic consultng. Built for higher educaton insttutons, healthcare and large nonproft organizatons, the SaaS tools increase transparency into fundraising performance, and direct fundraiser and talent manager acton. Both fundraisers and leaders beneft from the tailored consultng to address weaknesses and enhance strengths to comprehensively improve the fundraising team performance.</w:t>
      </w:r>
    </w:p>
    <w:p>
      <w:pPr>
        <w:spacing w:after="0" w:line="15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i w:val="1"/>
          <w:iCs w:val="1"/>
          <w:color w:val="51555C"/>
        </w:rPr>
        <w:t xml:space="preserve">Blackbaud Altru® </w:t>
      </w:r>
      <w:r>
        <w:rPr>
          <w:rFonts w:ascii="Calibri" w:cs="Calibri" w:eastAsia="Calibri" w:hAnsi="Calibri"/>
          <w:sz w:val="17"/>
          <w:szCs w:val="17"/>
          <w:color w:val="51555C"/>
        </w:rPr>
        <w:t>is a cloud soluton that helps arts and cultural organizatons consolidate admissions, membership, fundraising, merchandise, marketng and</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more, giving users a comprehensive view of their supporters. By helping general admissions arts and cultural organizatons gain a clear, 360-degree view of their organizaton, it enables them to operate more efciently, engage and cultvate patrons and supporters, streamline external and internal communicaton eforts, and reduce IT costs. Blackbaud Altru contains tools for consttuent and membership management, program sales, retail sales and tcketng, volunteer management and events management. It also has sophistcated reportng functonality and tools to manage marketng, communicatons and fundraising.</w:t>
      </w:r>
    </w:p>
    <w:p>
      <w:pPr>
        <w:spacing w:after="0" w:line="157"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i w:val="1"/>
          <w:iCs w:val="1"/>
          <w:color w:val="51555C"/>
        </w:rPr>
        <w:t xml:space="preserve">Blackbaud Guided Fundraising™ </w:t>
      </w:r>
      <w:r>
        <w:rPr>
          <w:rFonts w:ascii="Calibri" w:cs="Calibri" w:eastAsia="Calibri" w:hAnsi="Calibri"/>
          <w:sz w:val="17"/>
          <w:szCs w:val="17"/>
          <w:color w:val="51555C"/>
        </w:rPr>
        <w:t>and</w:t>
      </w:r>
      <w:r>
        <w:rPr>
          <w:rFonts w:ascii="Calibri" w:cs="Calibri" w:eastAsia="Calibri" w:hAnsi="Calibri"/>
          <w:sz w:val="17"/>
          <w:szCs w:val="17"/>
          <w:i w:val="1"/>
          <w:iCs w:val="1"/>
          <w:color w:val="51555C"/>
        </w:rPr>
        <w:t xml:space="preserve"> Blackbaud Volunteer Network Fundraising™ </w:t>
      </w:r>
      <w:r>
        <w:rPr>
          <w:rFonts w:ascii="Calibri" w:cs="Calibri" w:eastAsia="Calibri" w:hAnsi="Calibri"/>
          <w:sz w:val="17"/>
          <w:szCs w:val="17"/>
          <w:color w:val="51555C"/>
        </w:rPr>
        <w:t>can work together with Fundraiser Performance Management or</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independently to help higher educaton insttutons meet their advancement targets and development campaign goals. Blackbaud Guided Fundraising is used by insttutons seeking to manage all the details behind the sophistcated, person-to-person solicitaton strategies that drive fundraising results. Blackbaud Volunteer Network Fundraising helps insttutons manage volunteer fundraising campaigns with tools for project management, communicaton and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215265</wp:posOffset>
            </wp:positionV>
            <wp:extent cx="7289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2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7</w:t>
            </w:r>
          </w:p>
        </w:tc>
      </w:tr>
      <w:tr>
        <w:trPr>
          <w:trHeight w:val="351"/>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Financial Management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Financial Edge NXT® </w:t>
      </w:r>
      <w:r>
        <w:rPr>
          <w:rFonts w:ascii="Calibri" w:cs="Calibri" w:eastAsia="Calibri" w:hAnsi="Calibri"/>
          <w:sz w:val="18"/>
          <w:szCs w:val="18"/>
          <w:color w:val="51555C"/>
        </w:rPr>
        <w:t>is the frst-of-its-kind cloud accountng soluton for nonprofts that is intuitve, fully integrated, and built the way nonprofts</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need it. Blackbaud Financial Edge NXT is advanced technology with powerful reportng tools to help accountng teams drive transparency, stewardship, and compliance while enabling them to seamlessly manage transactons and eliminate manual processes. It seamlessly integrates with Raiser's Edge NXT to simplify gif entry processing and relates informaton from both systems in an informatve manner to eliminate redundant tasks and manual processes. Financial Edge NXT provides nonproft organizatons with the means to help manage fscal and fduciary responsibility, enabling them to be more accountable to their consttuents.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Tuiton Management™ </w:t>
      </w:r>
      <w:r>
        <w:rPr>
          <w:rFonts w:ascii="Calibri" w:cs="Calibri" w:eastAsia="Calibri" w:hAnsi="Calibri"/>
          <w:sz w:val="18"/>
          <w:szCs w:val="18"/>
          <w:color w:val="51555C"/>
        </w:rPr>
        <w:t>benefts schools by giving administrators beter access to fnancial data and payment services, and by giving parents more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ways to remit tuiton payments. The soluton helps ease the burden for administratve staf by ofering invoicing, payment processing, customer service, enhanced communicaton with parents and later payer follow-up services.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Financial Aid Management™ </w:t>
      </w:r>
      <w:r>
        <w:rPr>
          <w:rFonts w:ascii="Calibri" w:cs="Calibri" w:eastAsia="Calibri" w:hAnsi="Calibri"/>
          <w:sz w:val="18"/>
          <w:szCs w:val="18"/>
          <w:color w:val="51555C"/>
        </w:rPr>
        <w:t>ofers schools the ability to accept online, customized applicatons for fnancial aid and to make beter fnancial aid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decisions with a proprietary Hobbies, Interest and Lifestyles ("HIL") profle. The HIL profle provides in-depth informaton on an applicant, delivering to the school a way to make more informed decisions on how they distribute fnancial aid awards.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Billing Management™ </w:t>
      </w:r>
      <w:r>
        <w:rPr>
          <w:rFonts w:ascii="Calibri" w:cs="Calibri" w:eastAsia="Calibri" w:hAnsi="Calibri"/>
          <w:sz w:val="18"/>
          <w:szCs w:val="18"/>
          <w:color w:val="51555C"/>
        </w:rPr>
        <w:t>makes it easy for school administrators to manage tuiton and billing processes and for parents to manage their payments to</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the school. It gives families fexible payment optons, provides the school visibility into payments and billing with metrics for supportng cash fow, one view of fnancial performance, 24/7 bill access on all devices, and removes manual processes from admissions to fnance and merchant services.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Grant and Award Management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Grantmaking™ </w:t>
      </w:r>
      <w:r>
        <w:rPr>
          <w:rFonts w:ascii="Calibri" w:cs="Calibri" w:eastAsia="Calibri" w:hAnsi="Calibri"/>
          <w:sz w:val="18"/>
          <w:szCs w:val="18"/>
          <w:color w:val="51555C"/>
        </w:rPr>
        <w:t>is a modern cloud soluton, built on our Blackbaud SKY Platorm, that supports the end-to-end grantmaking process from</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applicaton through review and resoluton. Blackbaud Grantmaking provides core functonality to efciently disperse funds, maintain compliance with due diligence requirements and measure and demonstrate impact. The system has collaboratve tools to help strengthen relatonships with grantees and other community partners. Coupled with Blackbaud Outcomes™, funders and nonprofts are empowered to collaborate around their intended outcomes and work together to achieve impact. Both the funder and the nonproft can tell an impact story using ROI-focused results and a common outcomes measurement language.</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Award Management™ </w:t>
      </w:r>
      <w:r>
        <w:rPr>
          <w:rFonts w:ascii="Calibri" w:cs="Calibri" w:eastAsia="Calibri" w:hAnsi="Calibri"/>
          <w:sz w:val="18"/>
          <w:szCs w:val="18"/>
          <w:color w:val="51555C"/>
        </w:rPr>
        <w:t>is a comprehensive, integrated scholarship management platorm for higher educaton and K-12 insttutons and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foundatons, allowing students to apply for all awards using one intuitve and streamlined applicaton process and eliminatng many tme-consuming administratve tasks. This leads to improved awarding, reportng, compliance, communicaton and stewardship.</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Educaton Solutons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Student Informaton System™ </w:t>
      </w:r>
      <w:r>
        <w:rPr>
          <w:rFonts w:ascii="Calibri" w:cs="Calibri" w:eastAsia="Calibri" w:hAnsi="Calibri"/>
          <w:sz w:val="18"/>
          <w:szCs w:val="18"/>
          <w:color w:val="51555C"/>
        </w:rPr>
        <w:t>makes it easy for schools to manage schedules, transcripts and GPAs. A new Student Informaton System that works</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directly with Blackbaud Learning Management System™, Blackbaud Student Informaton System simplifes the process of sharing student data and academic records securely.</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Learning Management System™ </w:t>
      </w:r>
      <w:r>
        <w:rPr>
          <w:rFonts w:ascii="Calibri" w:cs="Calibri" w:eastAsia="Calibri" w:hAnsi="Calibri"/>
          <w:sz w:val="18"/>
          <w:szCs w:val="18"/>
          <w:color w:val="51555C"/>
        </w:rPr>
        <w:t>is a learning management system that makes it easy to manage, connect, and share informaton with students,</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parents, and an entre school community. Developed with direct input from our customers, Blackbaud Learning Management System gives teachers the tools to meet the demands of a modern private school.</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Enrollment Management System™ </w:t>
      </w:r>
      <w:r>
        <w:rPr>
          <w:rFonts w:ascii="Calibri" w:cs="Calibri" w:eastAsia="Calibri" w:hAnsi="Calibri"/>
          <w:sz w:val="18"/>
          <w:szCs w:val="18"/>
          <w:color w:val="51555C"/>
        </w:rPr>
        <w:t>is an enrollment management system that simplifes a school’s admissions process. Blackbaud Enrollment</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Management System helps admissions teams and prospectve families manage and track their progress, from inquiry and applicaton through acceptance and enrollment.</w:t>
      </w:r>
    </w:p>
    <w:p>
      <w:pPr>
        <w:spacing w:after="0" w:line="165"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i w:val="1"/>
          <w:iCs w:val="1"/>
          <w:color w:val="51555C"/>
        </w:rPr>
        <w:t xml:space="preserve">Blackbaud School Website System™ </w:t>
      </w:r>
      <w:r>
        <w:rPr>
          <w:rFonts w:ascii="Calibri" w:cs="Calibri" w:eastAsia="Calibri" w:hAnsi="Calibri"/>
          <w:sz w:val="17"/>
          <w:szCs w:val="17"/>
          <w:color w:val="51555C"/>
        </w:rPr>
        <w:t>is a content management system that gives schools the fexibility to build and edit webpages, with easy access to content</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types including photos, videos, downloads, text and more. It allows users to share material and contribute content across an entre school community.</w:t>
      </w:r>
    </w:p>
    <w:p>
      <w:pPr>
        <w:spacing w:after="0" w:line="295"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w:t>
      </w:r>
      <w:r>
        <w:rPr>
          <w:sz w:val="20"/>
          <w:szCs w:val="20"/>
          <w:color w:val="auto"/>
        </w:rPr>
        <w:tab/>
      </w:r>
      <w:r>
        <w:rPr>
          <w:sz w:val="1"/>
          <w:szCs w:val="1"/>
          <w:color w:val="auto"/>
        </w:rPr>
        <w:drawing>
          <wp:inline distT="0" distB="0" distL="0" distR="0">
            <wp:extent cx="728345" cy="1885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Social Responsibility and ESG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YourCause GrantsConnect® </w:t>
      </w:r>
      <w:r>
        <w:rPr>
          <w:rFonts w:ascii="Calibri" w:cs="Calibri" w:eastAsia="Calibri" w:hAnsi="Calibri"/>
          <w:sz w:val="18"/>
          <w:szCs w:val="18"/>
          <w:color w:val="51555C"/>
        </w:rPr>
        <w:t>and</w:t>
      </w:r>
      <w:r>
        <w:rPr>
          <w:rFonts w:ascii="Calibri" w:cs="Calibri" w:eastAsia="Calibri" w:hAnsi="Calibri"/>
          <w:sz w:val="18"/>
          <w:szCs w:val="18"/>
          <w:i w:val="1"/>
          <w:iCs w:val="1"/>
          <w:color w:val="51555C"/>
        </w:rPr>
        <w:t xml:space="preserve"> YourCause CSRconnect® </w:t>
      </w:r>
      <w:r>
        <w:rPr>
          <w:rFonts w:ascii="Calibri" w:cs="Calibri" w:eastAsia="Calibri" w:hAnsi="Calibri"/>
          <w:sz w:val="18"/>
          <w:szCs w:val="18"/>
          <w:color w:val="51555C"/>
        </w:rPr>
        <w:t>are cloud solutons for employee giving, volunteering, and grantmaking used to support corporate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philanthropy by building meaningful connectons between corporatons, employees and nonprofts. Afer implementng YourCause solutons, customers typically show signifcant growth in volunteers, donatons, engagement and more. These reported successes demonstrate a larger trend: overall ability to atract employees and customers alike by strengthening a company's reputaton.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EVERFI® from Blackbaud</w:t>
      </w:r>
      <w:r>
        <w:rPr>
          <w:rFonts w:ascii="Calibri" w:cs="Calibri" w:eastAsia="Calibri" w:hAnsi="Calibri"/>
          <w:sz w:val="18"/>
          <w:szCs w:val="18"/>
          <w:color w:val="51555C"/>
        </w:rPr>
        <w:t>® delivers educatonal content that transforms what is possible for learners while enabling companies to achieve their social impact</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and business goals. EVERFI’s robust library of courses connect students with real-world skills to navigate life’s most important challenges, from fnancial capability to mental wellness — all made possible through the generous support of brands that believe in the lastng results of community investment. Trusted by educators at over 25,000 K-12 schools, EVERFI’s curriculum reaches over 7 million students a year. Thousands of the world’s leading brands have engaged with their communites and achieved their social impact goals by sponsoring EVERFI’s trusted courses to empower students with the knowledge they need to succeed in life.</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Payment Services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solutons provide our customers payment processing capabilites that enable their donors to make donatons and purchase goods and services using numerous payment optons, including credit card and automated clearing house (“ACH”) checking transactons, through secure online transactons.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Blackbaud Merchant Services™ </w:t>
      </w:r>
      <w:r>
        <w:rPr>
          <w:rFonts w:ascii="Calibri" w:cs="Calibri" w:eastAsia="Calibri" w:hAnsi="Calibri"/>
          <w:sz w:val="18"/>
          <w:szCs w:val="18"/>
          <w:color w:val="51555C"/>
        </w:rPr>
        <w:t>is a value-added service integrated with our solutons that makes credit card processing simple and secure. Customers are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charged one rate for credit card transactons, making Blackbaud Merchant Services a compettve opton. The service also provides customers with a payment card industry (“PCI”) compliant process and streamlined bank reconciliaton. We also provide our K-12 private school customers with student tuiton payment processing services.</w:t>
      </w:r>
    </w:p>
    <w:p>
      <w:pPr>
        <w:spacing w:after="0" w:line="165"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i w:val="1"/>
          <w:iCs w:val="1"/>
          <w:color w:val="51555C"/>
        </w:rPr>
        <w:t xml:space="preserve">Blackbaud Purchase Cards </w:t>
      </w:r>
      <w:r>
        <w:rPr>
          <w:rFonts w:ascii="Calibri" w:cs="Calibri" w:eastAsia="Calibri" w:hAnsi="Calibri"/>
          <w:sz w:val="17"/>
          <w:szCs w:val="17"/>
          <w:color w:val="51555C"/>
        </w:rPr>
        <w:t>provide an efcient and convenient alternatve to traditonal procurement methods and paper-based payables processes such as</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checks, purchase orders and invoices for travel and operatonal purchases. Organizatons can also set spend controls for individual cardholders, track business expenses across the organizaton and ensure that policies are being enforced—all managed online and integrated with Blackbaud Financial Edge NXT.</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Data Intelligence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data intelligence oferings provide solutons for data health, insights and performance, enabling nonprofts to defne efectve campaign strategies and maximize fundraising results. These services either integrate with or are already integrated into our sofware solutons to give our customers a comprehensive view of their supporters and the market and provide informaton essental to making well-informed operatng decisions.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Blackbaud’s Intelligence for Good® is our comprehensive strategy to deliver artfcial intelligence that is accessible, powerful and responsible. Our artfcial intelligence capabilites enable social impact organizatons to transform data into insights and outcomes.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Blackbaud's data intelligence solutons and services use data science and AI to turn customer data into valuable insights that inform decision-making and help them achieve their goals efciently. Blackbaud's data intelligence portolio consists of three key outcome areas: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Data Health </w:t>
      </w:r>
      <w:r>
        <w:rPr>
          <w:rFonts w:ascii="Calibri" w:cs="Calibri" w:eastAsia="Calibri" w:hAnsi="Calibri"/>
          <w:sz w:val="18"/>
          <w:szCs w:val="18"/>
          <w:color w:val="51555C"/>
        </w:rPr>
        <w:t>solutons enhance and maintain consttuent data so the customer is always working with accurate and up-to-date informaton. Examples of these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solutons include: identfying outdated or invalid consttuent addresses in the database and making correctons based on United States Postal Service data and using name and address matching to append additonal contact or demographic data points to consttuent records to support beter segmentaton and engagement.</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Insights </w:t>
      </w:r>
      <w:r>
        <w:rPr>
          <w:rFonts w:ascii="Calibri" w:cs="Calibri" w:eastAsia="Calibri" w:hAnsi="Calibri"/>
          <w:sz w:val="18"/>
          <w:szCs w:val="18"/>
          <w:color w:val="51555C"/>
        </w:rPr>
        <w:t>inform strategic decision-making and actons that increase efciency and drive successful outcomes. Insights are extracted by combining customer</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data with licensed and proprietary data before leveraging advanced AI capabilites and expertse from Blackbaud’s dedicated team of data scientsts. Examples of consttuent insights include: predictve modeling that indicates the likelihood and capacity of a consttuent making a gif, wealth screening sofware that uses publicly available records to build detailed wealth profles of consttuents and persona cluster segmentaton that groups consttuents based on shared traits with guidance for optmizing messaging to each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222885</wp:posOffset>
            </wp:positionV>
            <wp:extent cx="72898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2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20" w:type="dxa"/>
            <w:vAlign w:val="bottom"/>
          </w:tcPr>
          <w:p>
            <w:pPr>
              <w:jc w:val="right"/>
              <w:spacing w:after="0"/>
              <w:rPr>
                <w:sz w:val="20"/>
                <w:szCs w:val="20"/>
                <w:color w:val="auto"/>
              </w:rPr>
            </w:pPr>
            <w:r>
              <w:rPr>
                <w:rFonts w:ascii="Calibri" w:cs="Calibri" w:eastAsia="Calibri" w:hAnsi="Calibri"/>
                <w:sz w:val="14"/>
                <w:szCs w:val="14"/>
                <w:color w:val="51555C"/>
              </w:rPr>
              <w:t>9</w:t>
            </w:r>
          </w:p>
        </w:tc>
      </w:tr>
      <w:tr>
        <w:trPr>
          <w:trHeight w:val="351"/>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Performance </w:t>
      </w:r>
      <w:r>
        <w:rPr>
          <w:rFonts w:ascii="Calibri" w:cs="Calibri" w:eastAsia="Calibri" w:hAnsi="Calibri"/>
          <w:sz w:val="18"/>
          <w:szCs w:val="18"/>
          <w:color w:val="51555C"/>
        </w:rPr>
        <w:t>solutons help customers to assess their fundraising performance across donor segments, benchmark themselves against peer organizatons and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understand industry trends. These solutons provide a holistc view of donor performance that goes beyond standard campaign-based reportng, with key performance indicators related to acquisiton, upgrading, retenton and reactvaton. Customers use our performance solutons to identfy areas of weakness and opportunites for improvement, track the donor impact of strategic initatves, understand and respond to industry trends, set realistc benchmarks and fundraising goals and maintain a consistent reportng methodology to assess growth over tme.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Customer Success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Customer Success organizaton is responsible for ensuring our customers achieve their desired outcomes through Blackbaud solutons, startng at onboarding and contnuing through the customer lifecycle. Our Customer Success team develops and fosters relatonships within all levels of the customer organizaton to build more demonstrated value in our solutons and services, while helping customers achieve their desired outcomes. Our customer success resources work to proactvely communicate to drive overall satsfacton and retenton of our customers' business. They work to collect and analyze actonable informaton, whether that is through direct customer relatonships or through aggregated analytcs that drives future one-to-one or one-to-many interactons. Their goal is to partner with customers to ensure that they are fully engaged and have an advocate within Blackbaud who works to meet their needs. Customer success resources bring industry knowledge and expertse to the customer relatonship and strive to help our customers achieve positve growth and outcomes.</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Customer Support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Customer Support provides assistance to customers using Blackbaud Solutons, helping them understand the capabilites of their subscripton, including how to navigate their subscripton and answering related questons for core concepts of features and functonality. Benefts, such as priority routng or additonal support channels, are contnuously enhanced. Customers enrolled in the programs enjoy fast, reliable customer support, receive regular sofware updates, stay up-to-date with regular communicaton and can leverage a unifed customer portal for quick and easy access to these resources. Customers also are empowered with self-help resources such as Knowledgebase artcles, user guides, Blackbaud Community, our on-demand library of enablement sessions and have around-the-clock access to support resources for mission-critcal needs.</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Professional and Managed Services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expert consultants, and those in our partner program, provide implementaton, optmizaton, data conversion and customizaton services for our sofware solutons. These services include:</w:t>
      </w:r>
    </w:p>
    <w:p>
      <w:pPr>
        <w:spacing w:after="0" w:line="51" w:lineRule="exact"/>
        <w:rPr>
          <w:sz w:val="20"/>
          <w:szCs w:val="20"/>
          <w:color w:val="auto"/>
        </w:rPr>
      </w:pPr>
    </w:p>
    <w:p>
      <w:pPr>
        <w:ind w:left="640" w:hanging="308"/>
        <w:spacing w:after="0"/>
        <w:tabs>
          <w:tab w:leader="none" w:pos="640" w:val="left"/>
        </w:tabs>
        <w:numPr>
          <w:ilvl w:val="0"/>
          <w:numId w:val="7"/>
        </w:numPr>
        <w:rPr>
          <w:rFonts w:ascii="Calibri" w:cs="Calibri" w:eastAsia="Calibri" w:hAnsi="Calibri"/>
          <w:sz w:val="18"/>
          <w:szCs w:val="18"/>
          <w:color w:val="51555C"/>
        </w:rPr>
      </w:pPr>
      <w:r>
        <w:rPr>
          <w:rFonts w:ascii="Calibri" w:cs="Calibri" w:eastAsia="Calibri" w:hAnsi="Calibri"/>
          <w:sz w:val="18"/>
          <w:szCs w:val="18"/>
          <w:color w:val="51555C"/>
        </w:rPr>
        <w:t>System implementaton;</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7"/>
        </w:numPr>
        <w:rPr>
          <w:rFonts w:ascii="Calibri" w:cs="Calibri" w:eastAsia="Calibri" w:hAnsi="Calibri"/>
          <w:sz w:val="18"/>
          <w:szCs w:val="18"/>
          <w:color w:val="51555C"/>
        </w:rPr>
      </w:pPr>
      <w:r>
        <w:rPr>
          <w:rFonts w:ascii="Calibri" w:cs="Calibri" w:eastAsia="Calibri" w:hAnsi="Calibri"/>
          <w:sz w:val="18"/>
          <w:szCs w:val="18"/>
          <w:color w:val="51555C"/>
        </w:rPr>
        <w:t>Data conversion, business process analysis and applicaton customizaton;</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7"/>
        </w:numPr>
        <w:rPr>
          <w:rFonts w:ascii="Calibri" w:cs="Calibri" w:eastAsia="Calibri" w:hAnsi="Calibri"/>
          <w:sz w:val="18"/>
          <w:szCs w:val="18"/>
          <w:color w:val="51555C"/>
        </w:rPr>
      </w:pPr>
      <w:r>
        <w:rPr>
          <w:rFonts w:ascii="Calibri" w:cs="Calibri" w:eastAsia="Calibri" w:hAnsi="Calibri"/>
          <w:sz w:val="18"/>
          <w:szCs w:val="18"/>
          <w:color w:val="51555C"/>
        </w:rPr>
        <w:t>Database merging and enrichment, and secure credit card transacton processing;</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7"/>
        </w:numPr>
        <w:rPr>
          <w:rFonts w:ascii="Calibri" w:cs="Calibri" w:eastAsia="Calibri" w:hAnsi="Calibri"/>
          <w:sz w:val="18"/>
          <w:szCs w:val="18"/>
          <w:color w:val="51555C"/>
        </w:rPr>
      </w:pPr>
      <w:r>
        <w:rPr>
          <w:rFonts w:ascii="Calibri" w:cs="Calibri" w:eastAsia="Calibri" w:hAnsi="Calibri"/>
          <w:sz w:val="18"/>
          <w:szCs w:val="18"/>
          <w:color w:val="51555C"/>
        </w:rPr>
        <w:t>Database producton actvites;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7"/>
        </w:numPr>
        <w:rPr>
          <w:rFonts w:ascii="Calibri" w:cs="Calibri" w:eastAsia="Calibri" w:hAnsi="Calibri"/>
          <w:sz w:val="18"/>
          <w:szCs w:val="18"/>
          <w:color w:val="51555C"/>
        </w:rPr>
      </w:pPr>
      <w:r>
        <w:rPr>
          <w:rFonts w:ascii="Calibri" w:cs="Calibri" w:eastAsia="Calibri" w:hAnsi="Calibri"/>
          <w:sz w:val="18"/>
          <w:szCs w:val="18"/>
          <w:color w:val="51555C"/>
        </w:rPr>
        <w:t>Website design services;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7"/>
        </w:numPr>
        <w:rPr>
          <w:rFonts w:ascii="Calibri" w:cs="Calibri" w:eastAsia="Calibri" w:hAnsi="Calibri"/>
          <w:sz w:val="18"/>
          <w:szCs w:val="18"/>
          <w:color w:val="51555C"/>
        </w:rPr>
      </w:pPr>
      <w:r>
        <w:rPr>
          <w:rFonts w:ascii="Calibri" w:cs="Calibri" w:eastAsia="Calibri" w:hAnsi="Calibri"/>
          <w:sz w:val="18"/>
          <w:szCs w:val="18"/>
          <w:color w:val="51555C"/>
        </w:rPr>
        <w:t>Outcome-based and prescriptve services.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we, and our delivery partners, apply our industry knowledge and experience, combined with expert knowledge of our solutons, to evaluate an organizaton's needs and consult on how to improve a business process.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Training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provide a variety of onsite, instructor-led online and on-demand training services to our customers on our solutons and applicaton of best practces. This includes our highly-rated Blackbaud University curriculum. Blackbaud University provides certfcatons for our products and industry best practces. These certfcatons serve as important catalysts for professional growth in the nonproft industry. Our instructors and designers have deep knowledge in the social impact arena and in the use of our solutons. Instructor-led courses are designed to include hands-on lab exercises, as well as course materials with examples and problems to solve.</w:t>
      </w:r>
    </w:p>
    <w:p>
      <w:pPr>
        <w:spacing w:after="0" w:line="31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w:t>
      </w:r>
      <w:r>
        <w:rPr>
          <w:sz w:val="20"/>
          <w:szCs w:val="20"/>
          <w:color w:val="auto"/>
        </w:rPr>
        <w:tab/>
      </w:r>
      <w:r>
        <w:rPr>
          <w:sz w:val="1"/>
          <w:szCs w:val="1"/>
          <w:color w:val="auto"/>
        </w:rPr>
        <w:drawing>
          <wp:inline distT="0" distB="0" distL="0" distR="0">
            <wp:extent cx="728345" cy="1885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Millions of people across more than 100 countries connect, give, learn and engage through Blackbaud platorms. During 2023, we had nearly 100,000 customers that paid Blackbaud through transactonal fees and more than 40,000 customers with contractual billing arrangements. Our largest single customer accounted for less than 1% of our 2023 consolidated revenue.</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Sales and Marketng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Most of our solutons and related services are sold through our direct sales force. Our direct sales force is complemented by a team of sales development representatves responsible for sales lead generaton and qualifcaton. In additon, lead generaton is supplemented by our customer success organizaton via employee-generated sales leads. These sales and customer success professionals are primarily located throughout the United States, the U.K., Canada and Australia. As of December 31, 2023, we had approximately 250 direct sales employees.</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marketng organizaton, which includes brand, digital, content, product, event and demand generaton marketng and corporate communicatons, develops and launches mult-channel campaigns designed to create brand recogniton and market awareness for our solutons and services.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 xml:space="preserve">Our digital demand generaton moton focuses on targeted account-based marketng plays, as well as intent-based programs including paid search, retargetng, social and content syndicaton programs. We supplement the digital moton with our annual user conference, </w:t>
      </w:r>
      <w:r>
        <w:rPr>
          <w:rFonts w:ascii="Calibri" w:cs="Calibri" w:eastAsia="Calibri" w:hAnsi="Calibri"/>
          <w:sz w:val="18"/>
          <w:szCs w:val="18"/>
          <w:b w:val="1"/>
          <w:bCs w:val="1"/>
          <w:i w:val="1"/>
          <w:iCs w:val="1"/>
          <w:color w:val="51555C"/>
        </w:rPr>
        <w:t>bbcon</w:t>
      </w:r>
      <w:r>
        <w:rPr>
          <w:rFonts w:ascii="Calibri" w:cs="Calibri" w:eastAsia="Calibri" w:hAnsi="Calibri"/>
          <w:sz w:val="18"/>
          <w:szCs w:val="18"/>
          <w:i w:val="1"/>
          <w:iCs w:val="1"/>
          <w:color w:val="51555C"/>
        </w:rPr>
        <w:t>®</w:t>
      </w:r>
      <w:r>
        <w:rPr>
          <w:rFonts w:ascii="Calibri" w:cs="Calibri" w:eastAsia="Calibri" w:hAnsi="Calibri"/>
          <w:sz w:val="18"/>
          <w:szCs w:val="18"/>
          <w:color w:val="51555C"/>
        </w:rPr>
        <w:t xml:space="preserve"> (which was held in November 2023 in-person for the frst tme since the pandemic), select partcipaton at virtual and in-person third-party trade shows, technical conferences, and technology seminars. We also target publicaton of our thought leadership content and positon our subject mater experts in industry journals and publicatons. We have a large base of loyal customers and strategic partners that provide references and recommendatons ofen featured in our advertsing and promotonal actvites.</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Competton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51555C"/>
        </w:rPr>
        <w:t>The market for sofware and related services targetng philanthropic-focused for-proft and nonproft organizatons is compettve and highly fragmented. For certain areas of the market, entry barriers are low, as general tools for small businesses can usually be confgured to manage the most basic marketng, contact management, and accountng needs of social impact organizatons. In parallel, as sofware development evolves from a highly-complex tradecraf with nuanced understanding of architectural paterns and discrete languages, to click-to-code and drag-and-drop development with natvely cloud-based infrastructure, it becomes easier for compettors to quickly spin up basic applicatons to solve common problems. However, once basic needs are met, programs unique to social impact organizatons like the stewardship of relatonships and partnerships critcal to major gif fundraising, community and employee educaton; the cultvaton and management of gifs, grants and K12 digital educaton sponsorship; the mult-level networking required for peer-to-peer actvism and employee engagement; and the sensitve data and reportng behind critcal programs run by and for healthcare and educaton insttutons ensure the ongoing need for highly specialized tools. These specialized applicatons have a higher barrier of entry as they require industry insight to accurately artculate the business workfow that generates the requirements for sofware products. Moreover, because social impact organizatons rely heavily on relatonships with and among their supporters, integraton of systems drives value beyond mere efciency. Hence, we believe our insight, the full spectrum of our current solutons and our ability to deliver future solutons make us a strong compettor. We expect to contnue to see new entrants as focus on social investment solutons increases to satsfy Millennial and Gen Z donors, customers and employees, the barriers of entry contnue to decline with natvely cloud solutons and social impact organizatons more readily require digital transformaton of business processes and data-driven decision making.</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color w:val="51555C"/>
        </w:rPr>
        <w:t>Our competton falls into four primary categories:</w:t>
      </w:r>
    </w:p>
    <w:p>
      <w:pPr>
        <w:spacing w:after="0" w:line="55" w:lineRule="exact"/>
        <w:rPr>
          <w:sz w:val="20"/>
          <w:szCs w:val="20"/>
          <w:color w:val="auto"/>
        </w:rPr>
      </w:pPr>
    </w:p>
    <w:p>
      <w:pPr>
        <w:jc w:val="both"/>
        <w:ind w:left="660" w:hanging="328"/>
        <w:spacing w:after="0" w:line="235" w:lineRule="auto"/>
        <w:tabs>
          <w:tab w:leader="none" w:pos="653" w:val="left"/>
        </w:tabs>
        <w:numPr>
          <w:ilvl w:val="0"/>
          <w:numId w:val="8"/>
        </w:numPr>
        <w:rPr>
          <w:rFonts w:ascii="Calibri" w:cs="Calibri" w:eastAsia="Calibri" w:hAnsi="Calibri"/>
          <w:sz w:val="18"/>
          <w:szCs w:val="18"/>
          <w:color w:val="51555C"/>
        </w:rPr>
      </w:pPr>
      <w:r>
        <w:rPr>
          <w:rFonts w:ascii="Calibri" w:cs="Calibri" w:eastAsia="Calibri" w:hAnsi="Calibri"/>
          <w:sz w:val="18"/>
          <w:szCs w:val="18"/>
          <w:i w:val="1"/>
          <w:iCs w:val="1"/>
          <w:color w:val="51555C"/>
        </w:rPr>
        <w:t xml:space="preserve">Niche products </w:t>
      </w:r>
      <w:r>
        <w:rPr>
          <w:rFonts w:ascii="Calibri" w:cs="Calibri" w:eastAsia="Calibri" w:hAnsi="Calibri"/>
          <w:sz w:val="18"/>
          <w:szCs w:val="18"/>
          <w:color w:val="51555C"/>
        </w:rPr>
        <w:t>are usually developed as a soluton for a single problem at an organizaton and are adopted by similar organizatons to solve a</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specialized need. These are typically ofered by vendors who may have deep industry expertse but may not have the resources to expand beyond a specialized area. We believe we compete against these solutons by ofering a set of integrated solutons rather than a single point soluton, which we believe improves the overall customer experience. In additon, our open platorm allows integraton to specialized applicatons so the opportunity for disrupton from these compettors is minimized.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222885</wp:posOffset>
            </wp:positionV>
            <wp:extent cx="72898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660" w:hanging="328"/>
        <w:spacing w:after="0" w:line="235" w:lineRule="auto"/>
        <w:tabs>
          <w:tab w:leader="none" w:pos="653" w:val="left"/>
        </w:tabs>
        <w:numPr>
          <w:ilvl w:val="0"/>
          <w:numId w:val="9"/>
        </w:numPr>
        <w:rPr>
          <w:rFonts w:ascii="Calibri" w:cs="Calibri" w:eastAsia="Calibri" w:hAnsi="Calibri"/>
          <w:sz w:val="18"/>
          <w:szCs w:val="18"/>
          <w:color w:val="51555C"/>
        </w:rPr>
      </w:pPr>
      <w:r>
        <w:rPr>
          <w:rFonts w:ascii="Calibri" w:cs="Calibri" w:eastAsia="Calibri" w:hAnsi="Calibri"/>
          <w:sz w:val="18"/>
          <w:szCs w:val="18"/>
          <w:i w:val="1"/>
          <w:iCs w:val="1"/>
          <w:color w:val="51555C"/>
        </w:rPr>
        <w:t xml:space="preserve">Vertcal-specifc solutons </w:t>
      </w:r>
      <w:r>
        <w:rPr>
          <w:rFonts w:ascii="Calibri" w:cs="Calibri" w:eastAsia="Calibri" w:hAnsi="Calibri"/>
          <w:sz w:val="18"/>
          <w:szCs w:val="18"/>
          <w:color w:val="51555C"/>
        </w:rPr>
        <w:t>are ofered by compettors seeking to meet the enterprise-wide needs of a specifc sub-segment of the social impact</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community. Typically, these solutons are ofered by vendors who may ofer either a point soluton or integrated suite of products used by a vertcal. We believe we compete successfully against these compettors through a combinaton of our integrated suite of oferings and natonwide community networks within vertcals where we compete, ofering solutons with market leading robustness and reportng as well as the scale, reach, and reputaton of our organizaton.</w:t>
      </w:r>
    </w:p>
    <w:p>
      <w:pPr>
        <w:spacing w:after="0" w:line="58"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0"/>
          <w:numId w:val="9"/>
        </w:numPr>
        <w:rPr>
          <w:rFonts w:ascii="Calibri" w:cs="Calibri" w:eastAsia="Calibri" w:hAnsi="Calibri"/>
          <w:sz w:val="18"/>
          <w:szCs w:val="18"/>
          <w:color w:val="51555C"/>
        </w:rPr>
      </w:pPr>
      <w:r>
        <w:rPr>
          <w:rFonts w:ascii="Calibri" w:cs="Calibri" w:eastAsia="Calibri" w:hAnsi="Calibri"/>
          <w:sz w:val="18"/>
          <w:szCs w:val="18"/>
          <w:i w:val="1"/>
          <w:iCs w:val="1"/>
          <w:color w:val="51555C"/>
        </w:rPr>
        <w:t>General business sofware vendors</w:t>
      </w:r>
      <w:r>
        <w:rPr>
          <w:rFonts w:ascii="Calibri" w:cs="Calibri" w:eastAsia="Calibri" w:hAnsi="Calibri"/>
          <w:sz w:val="18"/>
          <w:szCs w:val="18"/>
          <w:color w:val="51555C"/>
        </w:rPr>
        <w:t>, such as Microsof, Oracle and Salesforce.com, compete with us in certain areas of our business. While there is a</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growing trend toward social investment that is promptng philanthropic solutons from these general business vendors, most do not have a complete nonproft specifc focus and, therefore, do not ofer, or to our knowledge do not intend to ofer, nonproft-specifc versions. However, there is a subset of general business sofware compettors who have introduced nonproft-specifc versions of their products. These products generally do not satsfy the needs of nonprofts from end-to-end as they were not designed to support the specifc needs of nonprofts during the original architecture, design, and requirements elicitaton phases; therefore, we believe that because these products were not originally designed for nonprofts, they are not yet fully capable of meetng market needs without signifcant customizaton. The signifcant customizaton required to transform general business products into nonproft solutons ofen requires the use of consultants to guide the implementaton, without which, leave the adopton of general business sofware limited to very basic operatons and simple needs. We believe our solutons compete successfully against general business sofware as a nonproft’s needs grow more complex. As a result, we believe we can compete successfully to meet nonproft-specifc requirements, ofen integratng with general business platorms used for their more generalized operatons.</w:t>
      </w:r>
    </w:p>
    <w:p>
      <w:pPr>
        <w:spacing w:after="0" w:line="63" w:lineRule="exact"/>
        <w:rPr>
          <w:rFonts w:ascii="Calibri" w:cs="Calibri" w:eastAsia="Calibri" w:hAnsi="Calibri"/>
          <w:sz w:val="18"/>
          <w:szCs w:val="18"/>
          <w:color w:val="51555C"/>
        </w:rPr>
      </w:pPr>
    </w:p>
    <w:p>
      <w:pPr>
        <w:jc w:val="both"/>
        <w:ind w:left="660" w:hanging="328"/>
        <w:spacing w:after="0" w:line="235" w:lineRule="auto"/>
        <w:tabs>
          <w:tab w:leader="none" w:pos="653" w:val="left"/>
        </w:tabs>
        <w:numPr>
          <w:ilvl w:val="0"/>
          <w:numId w:val="9"/>
        </w:numPr>
        <w:rPr>
          <w:rFonts w:ascii="Calibri" w:cs="Calibri" w:eastAsia="Calibri" w:hAnsi="Calibri"/>
          <w:sz w:val="18"/>
          <w:szCs w:val="18"/>
          <w:color w:val="51555C"/>
        </w:rPr>
      </w:pPr>
      <w:r>
        <w:rPr>
          <w:rFonts w:ascii="Calibri" w:cs="Calibri" w:eastAsia="Calibri" w:hAnsi="Calibri"/>
          <w:sz w:val="18"/>
          <w:szCs w:val="18"/>
          <w:i w:val="1"/>
          <w:iCs w:val="1"/>
          <w:color w:val="51555C"/>
        </w:rPr>
        <w:t>Consumer-oriented fundraising platorms</w:t>
      </w:r>
      <w:r>
        <w:rPr>
          <w:rFonts w:ascii="Calibri" w:cs="Calibri" w:eastAsia="Calibri" w:hAnsi="Calibri"/>
          <w:sz w:val="18"/>
          <w:szCs w:val="18"/>
          <w:color w:val="51555C"/>
        </w:rPr>
        <w:t>, such as GoFundMe and Facebook compete with our business where consumers raise funds directly. To</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drive adopton of their platorms, these vendors rely on a combinaton of direct-to-consumer marketng, marketng to nonprofts who in turn market to their supporters, and marketng to intermediate enttes such as an event sponsor who will market to partcipants. We believe we compete well in this market through a combinaton of positve brand recogniton among all three of these groups and the combinaton of our consumer- and organizaton-oriented tools relatve to those of the competton.</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Less frequently, we compete with providers of traditonal, non-automated fundraising service providers, including partes providing services in support of traditonal direct mail or email campaigns, special events fundraising, peer-to-peer, telemarketng and personal solicitatons. We believe we compete successfully against these traditonal fundraising service providers, primarily because our solutons and services are more automated, more robust, more tailored to the needs of nonproft organizatons and more efcient.</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Technology and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technology strategy consists of several key building blocks including cloud operatons, developer tools, data intelligence and core services. We leverage multple clouds in our architectures (including AWS and Azure) and have both single and mult-tenant solutons. The best-in-class infrastructure enables rapid innovaton with high levels of reliability, availability and security, and lets Blackbaud evolve services over tme at independent paces as tech trends and tools emerge. Blackbaud also provides a toolset for customers, partners, and developers to extend the Blackbaud SKY ecosystem. SKY API enables developers to augment Blackbaud solutons with industry-standard REST APIs, standards-based authentcaton protocols, and a best-in-class developer experience. SKY UX allows developers to create applicatons with the same consistent, cohesive user interface as Blackbaud’s natve solutons using an open-source framework that implements Blackbaud design paterns and provides guidelines and tooling for the entre applicaton lifecycle.</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color w:val="51555C"/>
        </w:rPr>
        <w:t>The development strategy for all Blackbaud cloud solutons emphasizes:</w:t>
      </w:r>
    </w:p>
    <w:p>
      <w:pPr>
        <w:spacing w:after="0" w:line="55" w:lineRule="exact"/>
        <w:rPr>
          <w:sz w:val="20"/>
          <w:szCs w:val="20"/>
          <w:color w:val="auto"/>
        </w:rPr>
      </w:pPr>
    </w:p>
    <w:p>
      <w:pPr>
        <w:ind w:left="660" w:hanging="328"/>
        <w:spacing w:after="0" w:line="235" w:lineRule="auto"/>
        <w:tabs>
          <w:tab w:leader="none" w:pos="653" w:val="left"/>
        </w:tabs>
        <w:numPr>
          <w:ilvl w:val="0"/>
          <w:numId w:val="10"/>
        </w:numPr>
        <w:rPr>
          <w:rFonts w:ascii="Calibri" w:cs="Calibri" w:eastAsia="Calibri" w:hAnsi="Calibri"/>
          <w:sz w:val="18"/>
          <w:szCs w:val="18"/>
          <w:color w:val="51555C"/>
        </w:rPr>
      </w:pPr>
      <w:r>
        <w:rPr>
          <w:rFonts w:ascii="Calibri" w:cs="Calibri" w:eastAsia="Calibri" w:hAnsi="Calibri"/>
          <w:sz w:val="18"/>
          <w:szCs w:val="18"/>
          <w:i w:val="1"/>
          <w:iCs w:val="1"/>
          <w:color w:val="51555C"/>
        </w:rPr>
        <w:t>Flexibility</w:t>
      </w:r>
      <w:r>
        <w:rPr>
          <w:rFonts w:ascii="Calibri" w:cs="Calibri" w:eastAsia="Calibri" w:hAnsi="Calibri"/>
          <w:sz w:val="18"/>
          <w:szCs w:val="18"/>
          <w:color w:val="51555C"/>
        </w:rPr>
        <w:t>: Customers and partners can extend our component-based architecture to accommodate changing demands without modifying source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code.</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10"/>
        </w:numPr>
        <w:rPr>
          <w:rFonts w:ascii="Calibri" w:cs="Calibri" w:eastAsia="Calibri" w:hAnsi="Calibri"/>
          <w:sz w:val="18"/>
          <w:szCs w:val="18"/>
          <w:color w:val="51555C"/>
        </w:rPr>
      </w:pPr>
      <w:r>
        <w:rPr>
          <w:rFonts w:ascii="Calibri" w:cs="Calibri" w:eastAsia="Calibri" w:hAnsi="Calibri"/>
          <w:sz w:val="18"/>
          <w:szCs w:val="18"/>
          <w:i w:val="1"/>
          <w:iCs w:val="1"/>
          <w:color w:val="51555C"/>
        </w:rPr>
        <w:t>Adaptability</w:t>
      </w:r>
      <w:r>
        <w:rPr>
          <w:rFonts w:ascii="Calibri" w:cs="Calibri" w:eastAsia="Calibri" w:hAnsi="Calibri"/>
          <w:sz w:val="18"/>
          <w:szCs w:val="18"/>
          <w:color w:val="51555C"/>
        </w:rPr>
        <w:t>: The architecture of our applicatons allows us to easily add functonality or integrate with third-party applicatons to adapt to customer</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needs and market demands.</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10"/>
        </w:numPr>
        <w:rPr>
          <w:rFonts w:ascii="Calibri" w:cs="Calibri" w:eastAsia="Calibri" w:hAnsi="Calibri"/>
          <w:sz w:val="18"/>
          <w:szCs w:val="18"/>
          <w:color w:val="51555C"/>
        </w:rPr>
      </w:pPr>
      <w:r>
        <w:rPr>
          <w:rFonts w:ascii="Calibri" w:cs="Calibri" w:eastAsia="Calibri" w:hAnsi="Calibri"/>
          <w:sz w:val="18"/>
          <w:szCs w:val="18"/>
          <w:i w:val="1"/>
          <w:iCs w:val="1"/>
          <w:color w:val="51555C"/>
        </w:rPr>
        <w:t>Scalability</w:t>
      </w:r>
      <w:r>
        <w:rPr>
          <w:rFonts w:ascii="Calibri" w:cs="Calibri" w:eastAsia="Calibri" w:hAnsi="Calibri"/>
          <w:sz w:val="18"/>
          <w:szCs w:val="18"/>
          <w:color w:val="51555C"/>
        </w:rPr>
        <w:t>: Scalable architecture and the performance, capacity and load balancing of our customers' industry-standard web servers and databases</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ensure that applicatons can scale to meet the needs of large organizatons.</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12</w:t>
      </w:r>
      <w:r>
        <w:rPr>
          <w:sz w:val="20"/>
          <w:szCs w:val="20"/>
          <w:color w:val="auto"/>
        </w:rPr>
        <w:tab/>
      </w:r>
      <w:r>
        <w:rPr>
          <w:sz w:val="1"/>
          <w:szCs w:val="1"/>
          <w:color w:val="auto"/>
        </w:rPr>
        <w:drawing>
          <wp:inline distT="0" distB="0" distL="0" distR="0">
            <wp:extent cx="728345" cy="1885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Intellectual Property and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To protect our intellectual property, we rely on a combinaton of patent, trademark, copyright and trade secret laws in various jurisdictons, as well as employee and third-party nondisclosure agreements and confdentality procedures. We maintain many trademarks, including, but not limited to “Blackbaud,” “Raiser's Edge NXT” and “Luminate.” We currently have two actve patents on our technology and have one pending patent applicaton.</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2023, we had approximately 3,000 employees, none of whom are represented by unions or are covered by collectve bargaining agreements. We are not involved in any material disputes with any of our employees, and we believe that relatons with our employees are strong.</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beneft from an engaged and driven employee base motvated to join the Company by our work to support organizatons and individuals driving social impact. Our purpose atracts and retains talented, compettve applicants, with approximately 90% of employees citng the fact that Blackbaud operates in a socially responsible manner is important to them. This diferentator not only builds strong employee engagement, but also helps us provide a higher level of service to our customers. With over 70% of employees volunteering with nonprofts annually and one in seven serving on a nonproft board or commitee, our direct experience enables our teams to beter serve our customer base.</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 also atracts and promotes talented employees through efectve and targeted recruitng strategies. In 2020, Blackbaud announced the launch of a temporary workforce strategy, allowing employees to work from home or other geographic locatons within the country to further support their overall well-being during the COVID-19 pandemic. In 2021, we formally rolled out our Remote First Work-strategy as a company which expanded our pool of qualifed applicants for roles and internal career progression and enabled Blackbaud's goal to atract and develop talent globally.</w:t>
      </w:r>
    </w:p>
    <w:p>
      <w:pPr>
        <w:spacing w:after="0" w:line="16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Employee engagement is a focus at Blackbaud, and we contnually work to understand what maters and to make our workplace beter to atract, develop, and retain talent. Every manager at Blackbaud is required to take a mult-course "Engagement Labs" training designed to equip them with the practcal skills to ensure their teams are highly engaged. We assess and measure progress on engagement and growth opportunites at the individual level through quarterly check-ins focused on impact and learnings, as well as through a global career framework that guides employee progression on both management and individual contributor career paths. We also assess engagement on the team and company level through regular employee surveys as well as "Ask Anything" sessions with senior leaders and dedicated Q&amp;A sessions during our global, company-wide Connect and Engage meetngs. We enable employees to have opportunites for career development through on-demand and company-led trainings in our Learning Management System platorm: DevelopU.</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compensaton framework is designed so that employees are compensated equitably and compettvely, including through base salary, variable pay, equity award opportunites and comprehensive beneft oferings. We also seek to support the whole person, through increased benefts and focus on overall well-being.</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Ultmately, we believe that Blackbaud is an excellent place to work because we are energized by our opportunity to fuel social impact and commited to running our business in a way that amplifes the diference we make in the world. We govern our business ethically and contribute to causes and communites that mater to our employees through corporate philanthropy. We pursue sustainability, and we work every day to ensure our workplace is supportve, inclusive and engaging.</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ofer an array of philanthropy programs aimed at engaging our employees as agents of good, including matching gifs, compettve grants that honor noteworthy examples of volunteerism, employee-led grant commitees, skills-based volunteerism initatves, as well as science, technology, engineering and mathematcs (STEM) focused community programs.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commitment to inclusion and sustainability supports our eforts to atract, develop and retain a high-performing employee base. In 2023, we brought together the talent acquisiton team with Inclusion and Corporate Social Responsibility teams under one leader within People and Culture. The company believes that it is essental to foster inclusion from the moment a candidate considers Blackbaud. This alignment contnues our focus to amplify and accelerate the signifcant initatves already in place at Blackbaud, including: a focus on allyship, mentoring and afnity groups. We have 11 employee-led afnity groups, including, but not limited to those that represent veterans, LGBTQ+, women in technology, women in sales, Black employees, those interested in sustainability and those with a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231775</wp:posOffset>
            </wp:positionV>
            <wp:extent cx="72898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13</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51555C"/>
        </w:rPr>
        <w:t>We believe we have a responsibility to act in the fght against climate change—it is both the right thing to do and necessary to ensure the future stability of our business and customers. For these reasons, Blackbaud takes proactve measures to protect the environment, both in our internal sustainable business practces and our external engagements. As we did in 2021 and 2022, in 2023 we plan to achieve carbon neutrality across our business operatons. We are commited to our contnued eforts to reduce our emissions footprint and provide transparent annual social responsibility and sustainability reportng.</w:t>
      </w:r>
    </w:p>
    <w:p>
      <w:pPr>
        <w:spacing w:after="0" w:line="154"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51555C"/>
        </w:rPr>
        <w:t>Blackbaud was recognized by Newsweek as one of America's Most Responsible Companies 2024, Built In's Best Places to Work, Forbes' list of America's Best Employers 2023 and won Governance Team of the Year for small to mid-cap companies in Governance Intelligence's annual Corporate Governance Awards.</w:t>
      </w:r>
    </w:p>
    <w:p>
      <w:pPr>
        <w:spacing w:after="0" w:line="1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Additonal informaton related to our human capital strategy can be found in our 2022 ESG Report which is available on the Corporate Social Responsibility secton of our website. Informaton contained on or accessible through our websites is not incorporated into, and does not form a part of, this Annual Report or any other report or document we fle with the SEC, and any references to our websites are intended to be inactve textual references only.</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a discussion of seasonal variatons in our business, see “Management’s Discussion and Analysis of Financial Conditons and Results of Operatons — Seasonality” in Item 7 in this report.</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a discussion of our working capital practces, see “Management’s Discussion and Analysis of Financial Conditons and Results of Operatons — Liquidity and Capital Resources” in Item 7 in this report.</w:t>
      </w:r>
    </w:p>
    <w:p>
      <w:pPr>
        <w:spacing w:after="0" w:line="19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Available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 xml:space="preserve">Our website address is </w:t>
      </w:r>
      <w:r>
        <w:rPr>
          <w:rFonts w:ascii="Calibri" w:cs="Calibri" w:eastAsia="Calibri" w:hAnsi="Calibri"/>
          <w:sz w:val="18"/>
          <w:szCs w:val="18"/>
          <w:u w:val="single" w:color="auto"/>
          <w:color w:val="51555C"/>
        </w:rPr>
        <w:t>www.blackbaud.com</w:t>
      </w:r>
      <w:r>
        <w:rPr>
          <w:rFonts w:ascii="Calibri" w:cs="Calibri" w:eastAsia="Calibri" w:hAnsi="Calibri"/>
          <w:sz w:val="18"/>
          <w:szCs w:val="18"/>
          <w:color w:val="51555C"/>
        </w:rPr>
        <w:t xml:space="preserve">. We make available, free of charge through our website, our annual report on Form 10-K, quarterly reports on Form 10-Q, current reports on Form 8-K and all amendments to those reports pursuant to Secton 13(a) or 15(d) of the Exchange Act as soon as reasonably practcable afer we electronically fle such material with, or furnish it to, the SEC, but other informaton on our website is not incorporated into this report. The SEC maintains an Internet site that contains these reports, proxy and informaton statements, and other informaton regarding issuers that fle electronically with the SEC at </w:t>
      </w:r>
      <w:r>
        <w:rPr>
          <w:rFonts w:ascii="Calibri" w:cs="Calibri" w:eastAsia="Calibri" w:hAnsi="Calibri"/>
          <w:sz w:val="18"/>
          <w:szCs w:val="18"/>
          <w:u w:val="single" w:color="auto"/>
          <w:color w:val="51555C"/>
        </w:rPr>
        <w:t>www.sec.gov</w:t>
      </w:r>
      <w:r>
        <w:rPr>
          <w:rFonts w:ascii="Calibri" w:cs="Calibri" w:eastAsia="Calibri" w:hAnsi="Calibri"/>
          <w:sz w:val="18"/>
          <w:szCs w:val="18"/>
          <w:color w:val="51555C"/>
        </w:rPr>
        <w:t>.</w:t>
      </w: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Informaton About Our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sets forth informaton concerning our executve ofcers as of February 15,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Name</w:t>
            </w:r>
          </w:p>
        </w:tc>
        <w:tc>
          <w:tcPr>
            <w:tcW w:w="2620" w:type="dxa"/>
            <w:vAlign w:val="bottom"/>
            <w:shd w:val="clear" w:color="auto" w:fill="004054"/>
          </w:tcPr>
          <w:p>
            <w:pPr>
              <w:ind w:left="2020"/>
              <w:spacing w:after="0"/>
              <w:rPr>
                <w:sz w:val="20"/>
                <w:szCs w:val="20"/>
                <w:color w:val="auto"/>
              </w:rPr>
            </w:pPr>
            <w:r>
              <w:rPr>
                <w:rFonts w:ascii="Calibri" w:cs="Calibri" w:eastAsia="Calibri" w:hAnsi="Calibri"/>
                <w:sz w:val="14"/>
                <w:szCs w:val="14"/>
                <w:b w:val="1"/>
                <w:bCs w:val="1"/>
                <w:color w:val="FFFFFF"/>
              </w:rPr>
              <w:t>Age</w:t>
            </w:r>
          </w:p>
        </w:tc>
        <w:tc>
          <w:tcPr>
            <w:tcW w:w="7060" w:type="dxa"/>
            <w:vAlign w:val="bottom"/>
            <w:shd w:val="clear" w:color="auto" w:fill="004054"/>
          </w:tcPr>
          <w:p>
            <w:pPr>
              <w:ind w:left="20"/>
              <w:spacing w:after="0"/>
              <w:rPr>
                <w:sz w:val="20"/>
                <w:szCs w:val="20"/>
                <w:color w:val="auto"/>
              </w:rPr>
            </w:pPr>
            <w:r>
              <w:rPr>
                <w:rFonts w:ascii="Calibri" w:cs="Calibri" w:eastAsia="Calibri" w:hAnsi="Calibri"/>
                <w:sz w:val="14"/>
                <w:szCs w:val="14"/>
                <w:b w:val="1"/>
                <w:bCs w:val="1"/>
                <w:color w:val="FFFFFF"/>
              </w:rPr>
              <w:t>Title</w:t>
            </w:r>
          </w:p>
        </w:tc>
        <w:tc>
          <w:tcPr>
            <w:tcW w:w="20" w:type="dxa"/>
            <w:vAlign w:val="bottom"/>
          </w:tcPr>
          <w:p>
            <w:pPr>
              <w:spacing w:after="0"/>
              <w:rPr>
                <w:sz w:val="16"/>
                <w:szCs w:val="16"/>
                <w:color w:val="auto"/>
              </w:rPr>
            </w:pPr>
          </w:p>
        </w:tc>
      </w:tr>
      <w:tr>
        <w:trPr>
          <w:trHeight w:val="67"/>
        </w:trPr>
        <w:tc>
          <w:tcPr>
            <w:tcW w:w="1540" w:type="dxa"/>
            <w:vAlign w:val="bottom"/>
            <w:shd w:val="clear" w:color="auto" w:fill="004054"/>
          </w:tcPr>
          <w:p>
            <w:pPr>
              <w:spacing w:after="0"/>
              <w:rPr>
                <w:sz w:val="5"/>
                <w:szCs w:val="5"/>
                <w:color w:val="auto"/>
              </w:rPr>
            </w:pPr>
          </w:p>
        </w:tc>
        <w:tc>
          <w:tcPr>
            <w:tcW w:w="2620" w:type="dxa"/>
            <w:vAlign w:val="bottom"/>
            <w:shd w:val="clear" w:color="auto" w:fill="004054"/>
          </w:tcPr>
          <w:p>
            <w:pPr>
              <w:spacing w:after="0"/>
              <w:rPr>
                <w:sz w:val="5"/>
                <w:szCs w:val="5"/>
                <w:color w:val="auto"/>
              </w:rPr>
            </w:pPr>
          </w:p>
        </w:tc>
        <w:tc>
          <w:tcPr>
            <w:tcW w:w="7060" w:type="dxa"/>
            <w:vAlign w:val="bottom"/>
            <w:shd w:val="clear" w:color="auto" w:fill="004054"/>
          </w:tcPr>
          <w:p>
            <w:pPr>
              <w:spacing w:after="0"/>
              <w:rPr>
                <w:sz w:val="5"/>
                <w:szCs w:val="5"/>
                <w:color w:val="auto"/>
              </w:rPr>
            </w:pPr>
          </w:p>
        </w:tc>
        <w:tc>
          <w:tcPr>
            <w:tcW w:w="20" w:type="dxa"/>
            <w:vAlign w:val="bottom"/>
          </w:tcPr>
          <w:p>
            <w:pPr>
              <w:spacing w:after="0"/>
              <w:rPr>
                <w:sz w:val="5"/>
                <w:szCs w:val="5"/>
                <w:color w:val="auto"/>
              </w:rPr>
            </w:pPr>
          </w:p>
        </w:tc>
      </w:tr>
      <w:tr>
        <w:trPr>
          <w:trHeight w:val="250"/>
        </w:trPr>
        <w:tc>
          <w:tcPr>
            <w:tcW w:w="1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Michael P. Gianoni</w:t>
            </w:r>
          </w:p>
        </w:tc>
        <w:tc>
          <w:tcPr>
            <w:tcW w:w="2620" w:type="dxa"/>
            <w:vAlign w:val="bottom"/>
            <w:tcBorders>
              <w:bottom w:val="single" w:sz="8" w:color="EBFBFF"/>
            </w:tcBorders>
            <w:shd w:val="clear" w:color="auto" w:fill="EBFBFF"/>
          </w:tcPr>
          <w:p>
            <w:pPr>
              <w:ind w:left="2020"/>
              <w:spacing w:after="0"/>
              <w:rPr>
                <w:sz w:val="20"/>
                <w:szCs w:val="20"/>
                <w:color w:val="auto"/>
              </w:rPr>
            </w:pPr>
            <w:r>
              <w:rPr>
                <w:rFonts w:ascii="Calibri" w:cs="Calibri" w:eastAsia="Calibri" w:hAnsi="Calibri"/>
                <w:sz w:val="18"/>
                <w:szCs w:val="18"/>
                <w:color w:val="51555C"/>
              </w:rPr>
              <w:t>63</w:t>
            </w:r>
          </w:p>
        </w:tc>
        <w:tc>
          <w:tcPr>
            <w:tcW w:w="70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Chief Executve Ofcer, President and Vice Chairman of the Board</w:t>
            </w:r>
          </w:p>
        </w:tc>
        <w:tc>
          <w:tcPr>
            <w:tcW w:w="20" w:type="dxa"/>
            <w:vAlign w:val="bottom"/>
          </w:tcPr>
          <w:p>
            <w:pPr>
              <w:spacing w:after="0"/>
              <w:rPr>
                <w:sz w:val="21"/>
                <w:szCs w:val="21"/>
                <w:color w:val="auto"/>
              </w:rPr>
            </w:pPr>
          </w:p>
        </w:tc>
      </w:tr>
      <w:tr>
        <w:trPr>
          <w:trHeight w:val="220"/>
        </w:trPr>
        <w:tc>
          <w:tcPr>
            <w:tcW w:w="1540" w:type="dxa"/>
            <w:vAlign w:val="bottom"/>
          </w:tcPr>
          <w:p>
            <w:pPr>
              <w:ind w:left="20"/>
              <w:spacing w:after="0"/>
              <w:rPr>
                <w:sz w:val="20"/>
                <w:szCs w:val="20"/>
                <w:color w:val="auto"/>
              </w:rPr>
            </w:pPr>
            <w:r>
              <w:rPr>
                <w:rFonts w:ascii="Calibri" w:cs="Calibri" w:eastAsia="Calibri" w:hAnsi="Calibri"/>
                <w:sz w:val="18"/>
                <w:szCs w:val="18"/>
                <w:color w:val="51555C"/>
              </w:rPr>
              <w:t>Anthony W. Boor</w:t>
            </w:r>
          </w:p>
        </w:tc>
        <w:tc>
          <w:tcPr>
            <w:tcW w:w="2620" w:type="dxa"/>
            <w:vAlign w:val="bottom"/>
          </w:tcPr>
          <w:p>
            <w:pPr>
              <w:ind w:left="2020"/>
              <w:spacing w:after="0"/>
              <w:rPr>
                <w:sz w:val="20"/>
                <w:szCs w:val="20"/>
                <w:color w:val="auto"/>
              </w:rPr>
            </w:pPr>
            <w:r>
              <w:rPr>
                <w:rFonts w:ascii="Calibri" w:cs="Calibri" w:eastAsia="Calibri" w:hAnsi="Calibri"/>
                <w:sz w:val="18"/>
                <w:szCs w:val="18"/>
                <w:color w:val="51555C"/>
              </w:rPr>
              <w:t>61</w:t>
            </w:r>
          </w:p>
        </w:tc>
        <w:tc>
          <w:tcPr>
            <w:tcW w:w="7080" w:type="dxa"/>
            <w:vAlign w:val="bottom"/>
            <w:gridSpan w:val="2"/>
          </w:tcPr>
          <w:p>
            <w:pPr>
              <w:ind w:left="20"/>
              <w:spacing w:after="0"/>
              <w:rPr>
                <w:sz w:val="20"/>
                <w:szCs w:val="20"/>
                <w:color w:val="auto"/>
              </w:rPr>
            </w:pPr>
            <w:r>
              <w:rPr>
                <w:rFonts w:ascii="Calibri" w:cs="Calibri" w:eastAsia="Calibri" w:hAnsi="Calibri"/>
                <w:sz w:val="18"/>
                <w:szCs w:val="18"/>
                <w:color w:val="51555C"/>
              </w:rPr>
              <w:t>Executve Vice President and Chief Financial Ofcer</w:t>
            </w:r>
          </w:p>
        </w:tc>
      </w:tr>
      <w:tr>
        <w:trPr>
          <w:trHeight w:val="50"/>
        </w:trPr>
        <w:tc>
          <w:tcPr>
            <w:tcW w:w="1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70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David J. Benjamin</w:t>
            </w:r>
          </w:p>
        </w:tc>
        <w:tc>
          <w:tcPr>
            <w:tcW w:w="2620" w:type="dxa"/>
            <w:vAlign w:val="bottom"/>
            <w:tcBorders>
              <w:bottom w:val="single" w:sz="8" w:color="EBFBFF"/>
            </w:tcBorders>
            <w:shd w:val="clear" w:color="auto" w:fill="EBFBFF"/>
          </w:tcPr>
          <w:p>
            <w:pPr>
              <w:ind w:left="2020"/>
              <w:spacing w:after="0"/>
              <w:rPr>
                <w:sz w:val="20"/>
                <w:szCs w:val="20"/>
                <w:color w:val="auto"/>
              </w:rPr>
            </w:pPr>
            <w:r>
              <w:rPr>
                <w:rFonts w:ascii="Calibri" w:cs="Calibri" w:eastAsia="Calibri" w:hAnsi="Calibri"/>
                <w:sz w:val="18"/>
                <w:szCs w:val="18"/>
                <w:color w:val="51555C"/>
              </w:rPr>
              <w:t>52</w:t>
            </w:r>
          </w:p>
        </w:tc>
        <w:tc>
          <w:tcPr>
            <w:tcW w:w="70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Executve Vice President and Chief Commercial Ofcer</w:t>
            </w:r>
          </w:p>
        </w:tc>
        <w:tc>
          <w:tcPr>
            <w:tcW w:w="20" w:type="dxa"/>
            <w:vAlign w:val="bottom"/>
          </w:tcPr>
          <w:p>
            <w:pPr>
              <w:spacing w:after="0"/>
              <w:rPr>
                <w:sz w:val="21"/>
                <w:szCs w:val="21"/>
                <w:color w:val="auto"/>
              </w:rPr>
            </w:pPr>
          </w:p>
        </w:tc>
      </w:tr>
      <w:tr>
        <w:trPr>
          <w:trHeight w:val="220"/>
        </w:trPr>
        <w:tc>
          <w:tcPr>
            <w:tcW w:w="1540" w:type="dxa"/>
            <w:vAlign w:val="bottom"/>
          </w:tcPr>
          <w:p>
            <w:pPr>
              <w:ind w:left="20"/>
              <w:spacing w:after="0"/>
              <w:rPr>
                <w:sz w:val="20"/>
                <w:szCs w:val="20"/>
                <w:color w:val="auto"/>
              </w:rPr>
            </w:pPr>
            <w:r>
              <w:rPr>
                <w:rFonts w:ascii="Calibri" w:cs="Calibri" w:eastAsia="Calibri" w:hAnsi="Calibri"/>
                <w:sz w:val="18"/>
                <w:szCs w:val="18"/>
                <w:color w:val="51555C"/>
              </w:rPr>
              <w:t>Kevin P. Gregoire</w:t>
            </w:r>
          </w:p>
        </w:tc>
        <w:tc>
          <w:tcPr>
            <w:tcW w:w="2620" w:type="dxa"/>
            <w:vAlign w:val="bottom"/>
          </w:tcPr>
          <w:p>
            <w:pPr>
              <w:ind w:left="2020"/>
              <w:spacing w:after="0"/>
              <w:rPr>
                <w:sz w:val="20"/>
                <w:szCs w:val="20"/>
                <w:color w:val="auto"/>
              </w:rPr>
            </w:pPr>
            <w:r>
              <w:rPr>
                <w:rFonts w:ascii="Calibri" w:cs="Calibri" w:eastAsia="Calibri" w:hAnsi="Calibri"/>
                <w:sz w:val="18"/>
                <w:szCs w:val="18"/>
                <w:color w:val="51555C"/>
              </w:rPr>
              <w:t>56</w:t>
            </w:r>
          </w:p>
        </w:tc>
        <w:tc>
          <w:tcPr>
            <w:tcW w:w="7080" w:type="dxa"/>
            <w:vAlign w:val="bottom"/>
            <w:gridSpan w:val="2"/>
          </w:tcPr>
          <w:p>
            <w:pPr>
              <w:ind w:left="20"/>
              <w:spacing w:after="0"/>
              <w:rPr>
                <w:sz w:val="20"/>
                <w:szCs w:val="20"/>
                <w:color w:val="auto"/>
              </w:rPr>
            </w:pPr>
            <w:r>
              <w:rPr>
                <w:rFonts w:ascii="Calibri" w:cs="Calibri" w:eastAsia="Calibri" w:hAnsi="Calibri"/>
                <w:sz w:val="18"/>
                <w:szCs w:val="18"/>
                <w:color w:val="51555C"/>
              </w:rPr>
              <w:t>Executve Vice President and Chief Operatng Ofcer</w:t>
            </w:r>
          </w:p>
        </w:tc>
      </w:tr>
      <w:tr>
        <w:trPr>
          <w:trHeight w:val="50"/>
        </w:trPr>
        <w:tc>
          <w:tcPr>
            <w:tcW w:w="1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70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Kevin R. McDearis</w:t>
            </w:r>
          </w:p>
        </w:tc>
        <w:tc>
          <w:tcPr>
            <w:tcW w:w="2620" w:type="dxa"/>
            <w:vAlign w:val="bottom"/>
            <w:tcBorders>
              <w:bottom w:val="single" w:sz="8" w:color="EBFBFF"/>
            </w:tcBorders>
            <w:shd w:val="clear" w:color="auto" w:fill="EBFBFF"/>
          </w:tcPr>
          <w:p>
            <w:pPr>
              <w:ind w:left="2020"/>
              <w:spacing w:after="0"/>
              <w:rPr>
                <w:sz w:val="20"/>
                <w:szCs w:val="20"/>
                <w:color w:val="auto"/>
              </w:rPr>
            </w:pPr>
            <w:r>
              <w:rPr>
                <w:rFonts w:ascii="Calibri" w:cs="Calibri" w:eastAsia="Calibri" w:hAnsi="Calibri"/>
                <w:sz w:val="18"/>
                <w:szCs w:val="18"/>
                <w:color w:val="51555C"/>
              </w:rPr>
              <w:t>56</w:t>
            </w:r>
          </w:p>
        </w:tc>
        <w:tc>
          <w:tcPr>
            <w:tcW w:w="70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Executve Vice President and Chief Technology Ofcer</w:t>
            </w:r>
          </w:p>
        </w:tc>
        <w:tc>
          <w:tcPr>
            <w:tcW w:w="20" w:type="dxa"/>
            <w:vAlign w:val="bottom"/>
          </w:tcPr>
          <w:p>
            <w:pPr>
              <w:spacing w:after="0"/>
              <w:rPr>
                <w:sz w:val="21"/>
                <w:szCs w:val="21"/>
                <w:color w:val="auto"/>
              </w:rPr>
            </w:pPr>
          </w:p>
        </w:tc>
      </w:tr>
      <w:tr>
        <w:trPr>
          <w:trHeight w:val="220"/>
        </w:trPr>
        <w:tc>
          <w:tcPr>
            <w:tcW w:w="1540" w:type="dxa"/>
            <w:vAlign w:val="bottom"/>
          </w:tcPr>
          <w:p>
            <w:pPr>
              <w:ind w:left="20"/>
              <w:spacing w:after="0"/>
              <w:rPr>
                <w:sz w:val="20"/>
                <w:szCs w:val="20"/>
                <w:color w:val="auto"/>
              </w:rPr>
            </w:pPr>
            <w:r>
              <w:rPr>
                <w:rFonts w:ascii="Calibri" w:cs="Calibri" w:eastAsia="Calibri" w:hAnsi="Calibri"/>
                <w:sz w:val="18"/>
                <w:szCs w:val="18"/>
                <w:color w:val="51555C"/>
              </w:rPr>
              <w:t>Jon W. Olson</w:t>
            </w:r>
          </w:p>
        </w:tc>
        <w:tc>
          <w:tcPr>
            <w:tcW w:w="2620" w:type="dxa"/>
            <w:vAlign w:val="bottom"/>
          </w:tcPr>
          <w:p>
            <w:pPr>
              <w:ind w:left="2020"/>
              <w:spacing w:after="0"/>
              <w:rPr>
                <w:sz w:val="20"/>
                <w:szCs w:val="20"/>
                <w:color w:val="auto"/>
              </w:rPr>
            </w:pPr>
            <w:r>
              <w:rPr>
                <w:rFonts w:ascii="Calibri" w:cs="Calibri" w:eastAsia="Calibri" w:hAnsi="Calibri"/>
                <w:sz w:val="18"/>
                <w:szCs w:val="18"/>
                <w:color w:val="51555C"/>
              </w:rPr>
              <w:t>60</w:t>
            </w:r>
          </w:p>
        </w:tc>
        <w:tc>
          <w:tcPr>
            <w:tcW w:w="7080" w:type="dxa"/>
            <w:vAlign w:val="bottom"/>
            <w:gridSpan w:val="2"/>
          </w:tcPr>
          <w:p>
            <w:pPr>
              <w:ind w:left="20"/>
              <w:spacing w:after="0"/>
              <w:rPr>
                <w:sz w:val="20"/>
                <w:szCs w:val="20"/>
                <w:color w:val="auto"/>
              </w:rPr>
            </w:pPr>
            <w:r>
              <w:rPr>
                <w:rFonts w:ascii="Calibri" w:cs="Calibri" w:eastAsia="Calibri" w:hAnsi="Calibri"/>
                <w:sz w:val="18"/>
                <w:szCs w:val="18"/>
                <w:color w:val="51555C"/>
              </w:rPr>
              <w:t>Senior Vice President and General Counsel</w:t>
            </w:r>
          </w:p>
        </w:tc>
      </w:tr>
      <w:tr>
        <w:trPr>
          <w:trHeight w:val="50"/>
        </w:trPr>
        <w:tc>
          <w:tcPr>
            <w:tcW w:w="1540" w:type="dxa"/>
            <w:vAlign w:val="bottom"/>
            <w:tcBorders>
              <w:bottom w:val="single" w:sz="8" w:color="0CD973"/>
            </w:tcBorders>
          </w:tcPr>
          <w:p>
            <w:pPr>
              <w:spacing w:after="0"/>
              <w:rPr>
                <w:sz w:val="4"/>
                <w:szCs w:val="4"/>
                <w:color w:val="auto"/>
              </w:rPr>
            </w:pPr>
          </w:p>
        </w:tc>
        <w:tc>
          <w:tcPr>
            <w:tcW w:w="2620" w:type="dxa"/>
            <w:vAlign w:val="bottom"/>
            <w:tcBorders>
              <w:bottom w:val="single" w:sz="8" w:color="0CD973"/>
            </w:tcBorders>
          </w:tcPr>
          <w:p>
            <w:pPr>
              <w:spacing w:after="0"/>
              <w:rPr>
                <w:sz w:val="4"/>
                <w:szCs w:val="4"/>
                <w:color w:val="auto"/>
              </w:rPr>
            </w:pPr>
          </w:p>
        </w:tc>
        <w:tc>
          <w:tcPr>
            <w:tcW w:w="706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r>
        <w:trPr>
          <w:trHeight w:val="662"/>
        </w:trPr>
        <w:tc>
          <w:tcPr>
            <w:tcW w:w="1540" w:type="dxa"/>
            <w:vAlign w:val="bottom"/>
          </w:tcPr>
          <w:p>
            <w:pPr>
              <w:ind w:left="20"/>
              <w:spacing w:after="0"/>
              <w:rPr>
                <w:sz w:val="20"/>
                <w:szCs w:val="20"/>
                <w:color w:val="auto"/>
              </w:rPr>
            </w:pPr>
            <w:r>
              <w:rPr>
                <w:rFonts w:ascii="Calibri" w:cs="Calibri" w:eastAsia="Calibri" w:hAnsi="Calibri"/>
                <w:sz w:val="14"/>
                <w:szCs w:val="14"/>
                <w:color w:val="51555C"/>
              </w:rPr>
              <w:t>14</w:t>
            </w:r>
          </w:p>
        </w:tc>
        <w:tc>
          <w:tcPr>
            <w:tcW w:w="2620" w:type="dxa"/>
            <w:vAlign w:val="bottom"/>
          </w:tcPr>
          <w:p>
            <w:pPr>
              <w:ind w:left="220"/>
              <w:spacing w:after="0"/>
              <w:rPr>
                <w:sz w:val="20"/>
                <w:szCs w:val="20"/>
                <w:color w:val="auto"/>
              </w:rPr>
            </w:pPr>
            <w:r>
              <w:rPr>
                <w:rFonts w:ascii="Calibri" w:cs="Calibri" w:eastAsia="Calibri" w:hAnsi="Calibri"/>
                <w:sz w:val="14"/>
                <w:szCs w:val="14"/>
                <w:color w:val="51555C"/>
              </w:rPr>
              <w:t>2023 Form 10-K</w:t>
            </w:r>
          </w:p>
        </w:tc>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5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-385445</wp:posOffset>
            </wp:positionV>
            <wp:extent cx="72834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Michael P. Gianoni </w:t>
      </w:r>
      <w:r>
        <w:rPr>
          <w:rFonts w:ascii="Calibri" w:cs="Calibri" w:eastAsia="Calibri" w:hAnsi="Calibri"/>
          <w:sz w:val="18"/>
          <w:szCs w:val="18"/>
          <w:color w:val="51555C"/>
        </w:rPr>
        <w:t>joined us as Chief Executve Ofcer and President in January 2014 and was appointed Vice Chairman of the Board in January 2024. Prior to</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joining us, he served as Executve Vice President and Group President, Financial Insttutons at Fiserv, Inc., a global technology provider serving the fnancial services industry, from January 2010 to December 2013. He joined Fiserv as President of its Investment Services division in December 2007. Mr. Gianoni was Executve Vice President and General Manager of CheckFree Investment Services, which provided investment management solutons to fnancial services organizatons, from June 2006 untl December 2007 when CheckFree was acquired by Fiserv. From May 1994 to November 2005, he served as Senior Vice President of DST Systems Inc., a global provider of technology-based service solutons. Mr. Gianoni is a member of the Board of Directors of Teradata Corporaton, a publicly traded global big data analytcs company, and has been Chairman of the Board since February 2020. Mr. Gianoni has served on several nonproft boards across several segments, including relief organizatons, hospitals and higher educaton. He currently is a board member of the Internatonal African American Museum and a member of the President's Advisory Group at the Medical University of South Carolina. He holds an AS in electrical engineering from Waterbury State Technical College, a BS with a business concentraton from Charter Oak State College, and an MBA and an honorary Doctorate from the University of New Haven.</w:t>
      </w:r>
    </w:p>
    <w:p>
      <w:pPr>
        <w:spacing w:after="0" w:line="17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Anthony W. Boor </w:t>
      </w:r>
      <w:r>
        <w:rPr>
          <w:rFonts w:ascii="Calibri" w:cs="Calibri" w:eastAsia="Calibri" w:hAnsi="Calibri"/>
          <w:sz w:val="18"/>
          <w:szCs w:val="18"/>
          <w:color w:val="51555C"/>
        </w:rPr>
        <w:t>joined us as Executve Vice President and Chief Financial Ofcer in November 2011 and served as our interim President and Chief Executve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Ofcer from August 2013 to January 2014. Prior to joining us, he served as an executve with Brightpoint, Inc., a global provider of device lifecycle services to the wireless industry, beginning in 1999, most recently as its Executve Vice President, Chief Financial Ofcer and Treasurer. He also served as the interim President of Europe, Middle East and Africa during Brightpoint's signifcant restructuring of that region. Mr. Boor served as Director of Business Operatons for Brightpoint North America from August 1998 to July 1999. Prior to joining Brightpoint, Mr. Boor was employed in various fnancial positons with Macmillan Computer Publishing, Inc., a Viacom owned book publishing company specializing in computer hardware and sofware related topics, Day Dream Publishing, Inc., a publishing company specializing in calendars, posters and tme management materials, Ernst &amp; Young LLP, an accountng frm, Expo New Mexico, a state-owned fair and expo grounds and live pari-mutual horse racing venue, KPMG LLP, an accountng frm, and Ernst &amp; Whinney LLP, an accountng frm. He holds a BS in Accountng from New Mexico State University.</w:t>
      </w:r>
    </w:p>
    <w:p>
      <w:pPr>
        <w:spacing w:after="0" w:line="17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i w:val="1"/>
          <w:iCs w:val="1"/>
          <w:color w:val="51555C"/>
        </w:rPr>
        <w:t xml:space="preserve">David J. Benjamin </w:t>
      </w:r>
      <w:r>
        <w:rPr>
          <w:rFonts w:ascii="Calibri" w:cs="Calibri" w:eastAsia="Calibri" w:hAnsi="Calibri"/>
          <w:sz w:val="17"/>
          <w:szCs w:val="17"/>
          <w:color w:val="51555C"/>
        </w:rPr>
        <w:t>has served as our Executve Vice President and Chief Commercial Ofcer since July 2022. He joined us as Executve Vice President and</w:t>
      </w:r>
      <w:r>
        <w:rPr>
          <w:rFonts w:ascii="Calibri" w:cs="Calibri" w:eastAsia="Calibri" w:hAnsi="Calibri"/>
          <w:sz w:val="17"/>
          <w:szCs w:val="17"/>
          <w:i w:val="1"/>
          <w:iCs w:val="1"/>
          <w:color w:val="51555C"/>
        </w:rPr>
        <w:t xml:space="preserve"> </w:t>
      </w:r>
      <w:r>
        <w:rPr>
          <w:rFonts w:ascii="Calibri" w:cs="Calibri" w:eastAsia="Calibri" w:hAnsi="Calibri"/>
          <w:sz w:val="17"/>
          <w:szCs w:val="17"/>
          <w:color w:val="51555C"/>
        </w:rPr>
        <w:t>President, Internatonal Markets Group in April 2018. Prior to joining us, Mr. Benjamin was Senior Vice President and General Manager at Box, a cloud content management platorm for businesses, from October 2016 to March 2022. Prior to that, he was Vice President of Global Services at Britsh Telecom, a multnatonal telecommunicatons holding company, from October 2007 to September 2016. Prior to that, he was at Guardian Media Group, a mass media company owning various media operatons company, where he served as Divisional Chief Operatng Ofcer, among other leadership roles, from June 1995 to September 2007. He holds a BA in European Business from London Metropolitan University and an MBA from The Manchester Metropolitan University.</w:t>
      </w:r>
    </w:p>
    <w:p>
      <w:pPr>
        <w:spacing w:after="0" w:line="15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Kevin P. Gregoire </w:t>
      </w:r>
      <w:r>
        <w:rPr>
          <w:rFonts w:ascii="Calibri" w:cs="Calibri" w:eastAsia="Calibri" w:hAnsi="Calibri"/>
          <w:sz w:val="18"/>
          <w:szCs w:val="18"/>
          <w:color w:val="51555C"/>
        </w:rPr>
        <w:t>has served as our Executve Vice President and Chief Operatng Ofcer since July 2022. Prior to that, he was the Executve Vice President and</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President of U.S. Markets since April 2021. He joined us as Executve Vice President and President, Enterprise Markets Group in April 2018. Prior to joining us, Mr. Gregoire was Group President of the Financial Insttutons Group at Fiserv, a global technology provider serving the fnancial services industry, from March 2014 untl February 2018. He joined Fiserv in December 2002 and served in other key leadership roles including Division President and Chief Operatng Ofcer, Card Services, and Senior Vice President of Product and Network Strategy. Mr. Gregoire is also a veteran of the United States Army, where he served as Lieutenant in the Corps of Engineers and was awarded three Army Commendaton Medals. He holds a BS from the United States Military Academy at West Point, and an MBA from the F.W. Olin School of Business at Babson College.</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Kevin R. McDearis </w:t>
      </w:r>
      <w:r>
        <w:rPr>
          <w:rFonts w:ascii="Calibri" w:cs="Calibri" w:eastAsia="Calibri" w:hAnsi="Calibri"/>
          <w:sz w:val="18"/>
          <w:szCs w:val="18"/>
          <w:color w:val="51555C"/>
        </w:rPr>
        <w:t>has served as our Executve Vice President and Chief Technology Ofcer since October 2016 and is responsible for the company’s global</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product and technology portolio, including cybersecurity. He joined us in August 2014 as our Senior Vice President of Global Product Development. Prior to joining us, Mr. McDearis was the Chief Informaton Ofcer at Manhatan Associates, Inc., a technology leader in supply chain and omnichannel commerce, from August 2012 to July 2014. He was responsible for leading a global IT organizaton in strategy development, organizaton development, portolio and project management, sofware and infrastructure engineering, service delivery and operatons. Prior to that, Mr. McDearis served as Chief Technology Ofcer for the Enterprise Technology Group and other key leadership positons at Fiserv (formerly CheckFree), a global technology provider serving the fnancial services industry, from October 1996 to August 2012. Mr. McDearis serves on the Board of Directors for the USS Yorktown Foundaton. He also served on the Board of Directors of the Technology Associaton of Georgia from 2011 to 2016 and as Vice Chairman of the Board in 2014. He holds a BS in Management from The Georgia Insttute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224790</wp:posOffset>
            </wp:positionV>
            <wp:extent cx="72898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Jon W. Olson </w:t>
      </w:r>
      <w:r>
        <w:rPr>
          <w:rFonts w:ascii="Calibri" w:cs="Calibri" w:eastAsia="Calibri" w:hAnsi="Calibri"/>
          <w:sz w:val="18"/>
          <w:szCs w:val="18"/>
          <w:color w:val="51555C"/>
        </w:rPr>
        <w:t>joined us as Senior Vice President and General Counsel in September 2008. Mr. Olson is responsible for Blackbaud's legal actvites. Prior to</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joining us, he was an atorney with Alcatel-Lucent USA, the U.S. subsidiary of Alcatel-Lucent (now owned by Nokia Corporaton) that designs, develops, and builds wireline, wireless, and converged communicatons networks, from July 1997 to September 2008. Prior to joining Alcatel-Lucent, Mr. Olson was employed in legal positons with MCI, Inc., a global business and residental communicatons company, from September 1996 to July 1997, and Unisys Corporaton, a global informaton technology company, from July 1992 to September 1996. Mr. Olson is a member of the MUSC (Medical University of South Carolina) Hollings Cancer Center Advisory Board and is on the board of Charleston Jazz. He holds a BS from Georgetown University, a JD from Dickinson School of Law and an MBA from Seton Hall University.</w:t>
      </w:r>
    </w:p>
    <w:p>
      <w:pPr>
        <w:spacing w:after="0" w:line="25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1A. RISK FACTORS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Our business operatons face a number of risks. These risks should be read and considered with other informaton provided in this report.</w:t>
      </w:r>
    </w:p>
    <w:p>
      <w:pPr>
        <w:spacing w:after="0" w:line="20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Strategic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51555C"/>
        </w:rPr>
        <w:t>Our failure to compete successfully, including through technology innovatons or new and improved solutons, could cause our revenue or market share to decline.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market is highly compettve and rapidly evolving, and there are limited barriers to entry for many segments of this market. The companies we compete with and other potental compettors may have greater fnancial, technical and marketng resources, generate greater revenue and have beter name recogniton than we do. Also, a large, diversifed sofware enterprise could decide to enter the market directly, including through acquisitons. Compettve pressures can adversely impact our business by limitng the prices we can charge our customers and making the adopton and renewal of our solutons more difcult. Our compettors might also establish or strengthen cooperatve relatonships with resellers and third-party consultng frms or other partes with whom we have had relatonships, thereby limitng our ability to promote our solutons. These compettve pressures could cause our revenue and market share to decline.</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the introducton of solutons encompassing new technologies can render existng solutons obsolete and unmarketable. As a result, our future success will depend, in part, upon our ability to contnue to enhance existng solutons and develop and introduce in a tmely manner or acquire new solutons that keep pace with technological developments, satsfy increasingly sophistcated customer requirements and achieve market acceptance. If we are unable to develop or acquire on a tmely and cost-efectve basis new sofware solutons or enhancements to existng solutons or if such new solutons or enhancements do not achieve market acceptance, we may be unable to compete successfully and our business, results of operatons and fnancial conditon may be materially adversely afected.</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Because competton for highly qualifed personnel is intense, we might not be able to atract and retain key personnel needed to support our planned growth.</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To meet our objectves successfully, we must atract and retain highly qualifed personnel with specialized skill sets. If we are unable to atract and retain suitably qualifed management, there could be a material adverse impact on our business.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Further, we use equity incentve programs and equity awards in lieu of cash as part of our overall employee compensaton agreements to both atract and retain personnel. A decline in our stock price could negatvely impact the value of these equity incentve and related compensaton programs as retenton and recruitng tools. We may need to create new or additonal equity incentve programs and/or compensaton packages to remain compettve, which could be dilutve to our existng stockholders and/or adversely afect our results of operatons.</w:t>
      </w:r>
    </w:p>
    <w:p>
      <w:pPr>
        <w:spacing w:after="0" w:line="32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16</w:t>
      </w:r>
      <w:r>
        <w:rPr>
          <w:sz w:val="20"/>
          <w:szCs w:val="20"/>
          <w:color w:val="auto"/>
        </w:rPr>
        <w:tab/>
      </w:r>
      <w:r>
        <w:rPr>
          <w:sz w:val="1"/>
          <w:szCs w:val="1"/>
          <w:color w:val="auto"/>
        </w:rPr>
        <w:drawing>
          <wp:inline distT="0" distB="0" distL="0" distR="0">
            <wp:extent cx="728345" cy="18859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The market for sofware and services for the social impact community might not grow and the organizatons in that community might not contnue to adopt, or renew their subscriptons for, our solutons and services.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Many organizatons in the social impact community, including nonprofts, foundatons, companies, educaton insttutons, and healthcare organizatons, have not traditonally used integrated and comprehensive sofware and services for their specifc needs. We cannot be certain that the market for such solutons and services will contnue to develop and grow or that these organizatons will elect to adopt our solutons and services rather than contnue to use traditonal, less automated methods, atempt to develop sofware internally, rely upon legacy sofware systems, or use sofware solutons not specifcally designed for this market. Organizatons that have already invested substantal resources in other fundraising methods or other non-integrated sofware solutons might be reluctant to adopt our solutons and services to supplement or replace their existng systems or methods. In additon, the implementaton of one or more of our sofware solutons can involve signifcant capital commitments by our customers, which they may be unwilling or unable to make. If demand for and market acceptance of our solutons and services does not increase, we might not grow our business as we expect.</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Furthermore, our subscripton arrangements are generally for a term of three years at contract incepton with three-year renewals thereafer. Our maintenance arrangement renewals are generally for a term of three years. As the end of the contract term approaches, we seek the renewal of the agreement with the customer. Historically, subscripton and maintenance renewals have represented a signifcant porton of our total revenue. Because of this characteristc of our business, if our customers choose not to renew their subscriptons or maintenance arrangements with us on benefcial terms or at all, our business, operatng results and fnancial conditon could be harmed. Our customers' renewal rates may decline or fuctuate as a result of a number of factors, including their level of satsfacton with our solutons and services and their ability to contnue their operatons and spending levels due to general economic conditons, extraordinary business interruptons, client-specifc fnancial issues or otherwise.</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We are incorporatng generatve artfcial intelligence, or AI, technology into certain of our products and services. This technology is new and developing, and while we aim to adopt known best practces, it may result in operatonal, fnancial and reputatonal harm and other adverse consequences to our business.</w:t>
      </w:r>
    </w:p>
    <w:p>
      <w:pPr>
        <w:spacing w:after="0" w:line="165"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51555C"/>
        </w:rPr>
        <w:t>We are implementng AI features in certain of our products and services. The technologies underpinning these features are in the early stages of commercial use and exist in an emerging regulatory environment, which presents regulatory, litgaton, ethical, reputatonal, operatonal and fnancial risks. Many U.S. and internatonal governmental bodies and regulators have proposed, or are in the process of developing, new regulatons related to the use of AI and machine learning technologies. The fnal form of these may impose obligatons related to our development, ofering and use of AI technologies and expose us to increased risk of regulatory enforcement and litgaton. We also expect that many of our generatve AI features will include the processing of personal data and may be subject to laws, policies, legal obligatons and codes of conduct related to privacy and data protecton. There is uncertainty about the extent to which privacy and data protecton laws apply to AI technologies, and any delay in addressing privacy or data protecton concerns relatng to our AI features may result in liability or regulatory investgatons and fnes, as well as harm to our sales and reputaton. In additon, issues relatng to intellectual property rights in AI-generated content have not been fully addressed by the courts, laws or regulatons. Accordingly, the implementaton of generatve AI technologies into our products and services may result in exposure to claims related to copyright infringement or other intellectual property misappropriaton.</w:t>
      </w:r>
    </w:p>
    <w:p>
      <w:pPr>
        <w:spacing w:after="0" w:line="16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Furthermore, many of our AI features may rely on third-party service providers. As such, any improper processing of personal data by these service providers could harm our reputaton, business or customers, or expose us to legal liability. Any disrupton or failure in our AI systems or infrastructure could result in delays or errors in our operatons, which could harm our business and fnancial results.</w:t>
      </w:r>
    </w:p>
    <w:p>
      <w:pPr>
        <w:spacing w:after="0" w:line="165"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Our generatve AI technology features may also generate output that is misleading, insecure, inaccurate, harmful or otherwise fawed, which may harm our reputaton, business or customers, or expose us to legal liability. Also, some AI scenarios present ethical issues. If we enable or ofer AI solutons that are controversial because of their purported or actual impact on human rights, privacy, employment or other social issues, we may experience reputatonal harm.</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New and emerging AI technologies may require additonal investment in the development and maintenance of various models, approaches and processes, as well as development of protectons and safeguards for the use of AI technologies, which may be expensive and could impact our fnancial results if we decide to further expand generatve AI into our products and services. Likewise, the use of AI involves signifcant technical complexity and requires specialized expertse. The success of any enhancement or new product depends on many factors, including its relevance to our customers, tmely implementaton and market acceptance. If our enhanced products and services do not achieve widespread market adopton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222885</wp:posOffset>
            </wp:positionV>
            <wp:extent cx="7289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or there is a reducton in demand due to a lack of customer acceptance, technology challenges, strengthening competton, weakening economic conditons, or security or privacy concerns, our business could be harmed and our fnancial results could be adversely afected.</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Although we aim to develop and use AI responsibly and atempt to identfy and mitgate ethical and legal issues presented by its use, we may be unsuccessful in identfying or resolving issues before they arise.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If we do not successfully address the risks inherent in the expansion of our internatonal operatons, our business could sufer.</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We currently have non-U.S. operatons primarily in the U.K., Canada, Australia and Costa Rica, and we intend to expand further into internatonal markets. Expansion of our internatonal operatons will require a signifcant amount of atenton from our management and substantal fnancial resources and might require us to add qualifed management in these markets. Our direct sales model requires us to atract, retain and manage qualifed sales personnel capable of selling into markets outside the United States. In some cases, our costs of sales might increase if our customers require us to sell through local distributors. If we are unable to grow our internatonal operatons in a cost-efectve and tmely manner, our business and operatng results could be harmed.</w:t>
      </w:r>
    </w:p>
    <w:p>
      <w:pPr>
        <w:spacing w:after="0" w:line="15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Increases in our internatonal revenues denominated in foreign currencies subject us to fuctuatons in foreign currency exchange rates. If we expand our internatonal operatons, exposures to gains and losses on foreign currency transactons may increase. (See Foreign Currency Exchange Rates on page 59 for more informaton regarding the impact of foreign currency exchange rates on our operatons.)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Doing business internatonally involves additonal risks that could harm our operatng results. Along with risks similar to those faced by our U.S. operatons, our internatonal operatons are also subject to risks related to difering legal, politcal, social and regulatory requirements and economic conditons, including:</w:t>
      </w:r>
    </w:p>
    <w:p>
      <w:pPr>
        <w:spacing w:after="0" w:line="57" w:lineRule="exact"/>
        <w:rPr>
          <w:sz w:val="20"/>
          <w:szCs w:val="20"/>
          <w:color w:val="auto"/>
        </w:rPr>
      </w:pPr>
    </w:p>
    <w:p>
      <w:pPr>
        <w:ind w:left="660" w:right="20" w:hanging="328"/>
        <w:spacing w:after="0" w:line="235" w:lineRule="auto"/>
        <w:tabs>
          <w:tab w:leader="none" w:pos="653"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the impositon of additonal withholding taxes or other tax on our foreign income, tarifs or restrictons on foreign trade or investment, including currency exchange controls;</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greater risk of a failure of our employees and partners to comply with both U.S. and foreign laws, including anttrust regulatons, the U.S. Foreign Corrupt Practces Act, the U.K. Bribery Act of 2010, and any trade regulatons ensuring fair trade practces;</w:t>
      </w:r>
    </w:p>
    <w:p>
      <w:pPr>
        <w:spacing w:after="0" w:line="55" w:lineRule="exact"/>
        <w:rPr>
          <w:rFonts w:ascii="Calibri" w:cs="Calibri" w:eastAsia="Calibri" w:hAnsi="Calibri"/>
          <w:sz w:val="18"/>
          <w:szCs w:val="18"/>
          <w:color w:val="51555C"/>
        </w:rPr>
      </w:pPr>
    </w:p>
    <w:p>
      <w:pPr>
        <w:ind w:left="660" w:right="20" w:hanging="328"/>
        <w:spacing w:after="0" w:line="235" w:lineRule="auto"/>
        <w:tabs>
          <w:tab w:leader="none" w:pos="653"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the impositon of, or unexpected adverse changes in, foreign laws or regulatory requirements, including those pertaining to export restrictons, privacy and data protecton, trade and employment restrictons and intellectual protectons;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1"/>
        </w:numPr>
        <w:rPr>
          <w:rFonts w:ascii="Calibri" w:cs="Calibri" w:eastAsia="Calibri" w:hAnsi="Calibri"/>
          <w:sz w:val="18"/>
          <w:szCs w:val="18"/>
          <w:color w:val="51555C"/>
        </w:rPr>
      </w:pPr>
      <w:r>
        <w:rPr>
          <w:rFonts w:ascii="Calibri" w:cs="Calibri" w:eastAsia="Calibri" w:hAnsi="Calibri"/>
          <w:sz w:val="18"/>
          <w:szCs w:val="18"/>
          <w:color w:val="51555C"/>
        </w:rPr>
        <w:t>general business disruptons caused by geopolitcal situatons and developments.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Unfavorable media coverage related to peer-to-peer fundraising campaigns on our social platorms could negatvely impact our business.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online social giving platorms receive a high degree of media coverage for partcularly news-worthy or controversial fundraising campaigns, as well as for our fee-based business model. Although our terms of service provide express limitatons on the platorms' user-initated fundraising campaigns and reserve our right to remove content that violates our terms of service, it may not always be possible to remove such content prior to it receiving atenton in the media. Negatve publicity related to our online social giving platorms could have an adverse efect on the size, engagement and loyalty of our user base and could result in decreased revenue, which could adversely afect our business and fnancial results.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Acquisitons could be difcult to consummate and integrate into our operatons, and they could disrupt our business, dilute stockholder value or impair our fnancial results.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part of our business strategy, we, from tme to tme, seek to grow our business through acquisitons of new or complementary businesses, technologies or products that we believe can improve our ability to compete in our existng customer markets or allow us to enter new markets. The potental risks associated with acquisitons and investment transactons include, but are not limited to:</w:t>
      </w:r>
    </w:p>
    <w:p>
      <w:pPr>
        <w:spacing w:after="0" w:line="52" w:lineRule="exact"/>
        <w:rPr>
          <w:sz w:val="20"/>
          <w:szCs w:val="20"/>
          <w:color w:val="auto"/>
        </w:rPr>
      </w:pPr>
    </w:p>
    <w:p>
      <w:pPr>
        <w:ind w:left="640" w:hanging="308"/>
        <w:spacing w:after="0"/>
        <w:tabs>
          <w:tab w:leader="none" w:pos="640" w:val="left"/>
        </w:tabs>
        <w:numPr>
          <w:ilvl w:val="0"/>
          <w:numId w:val="12"/>
        </w:numPr>
        <w:rPr>
          <w:rFonts w:ascii="Calibri" w:cs="Calibri" w:eastAsia="Calibri" w:hAnsi="Calibri"/>
          <w:sz w:val="18"/>
          <w:szCs w:val="18"/>
          <w:color w:val="51555C"/>
        </w:rPr>
      </w:pPr>
      <w:r>
        <w:rPr>
          <w:rFonts w:ascii="Calibri" w:cs="Calibri" w:eastAsia="Calibri" w:hAnsi="Calibri"/>
          <w:sz w:val="18"/>
          <w:szCs w:val="18"/>
          <w:color w:val="51555C"/>
        </w:rPr>
        <w:t>failure to realize antcipated returns on investment, cost savings and synergies;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2"/>
        </w:numPr>
        <w:rPr>
          <w:rFonts w:ascii="Calibri" w:cs="Calibri" w:eastAsia="Calibri" w:hAnsi="Calibri"/>
          <w:sz w:val="18"/>
          <w:szCs w:val="18"/>
          <w:color w:val="51555C"/>
        </w:rPr>
      </w:pPr>
      <w:r>
        <w:rPr>
          <w:rFonts w:ascii="Calibri" w:cs="Calibri" w:eastAsia="Calibri" w:hAnsi="Calibri"/>
          <w:sz w:val="18"/>
          <w:szCs w:val="18"/>
          <w:color w:val="51555C"/>
        </w:rPr>
        <w:t>difculty in assimilatng the operatons, policies and personnel of the acquired company;</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2"/>
        </w:numPr>
        <w:rPr>
          <w:rFonts w:ascii="Calibri" w:cs="Calibri" w:eastAsia="Calibri" w:hAnsi="Calibri"/>
          <w:sz w:val="18"/>
          <w:szCs w:val="18"/>
          <w:color w:val="51555C"/>
        </w:rPr>
      </w:pPr>
      <w:r>
        <w:rPr>
          <w:rFonts w:ascii="Calibri" w:cs="Calibri" w:eastAsia="Calibri" w:hAnsi="Calibri"/>
          <w:sz w:val="18"/>
          <w:szCs w:val="18"/>
          <w:color w:val="51555C"/>
        </w:rPr>
        <w:t>unantcipated costs associated with acquisitons;</w:t>
      </w:r>
    </w:p>
    <w:p>
      <w:pPr>
        <w:spacing w:after="0" w:line="310"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18</w:t>
      </w:r>
      <w:r>
        <w:rPr>
          <w:sz w:val="20"/>
          <w:szCs w:val="20"/>
          <w:color w:val="auto"/>
        </w:rPr>
        <w:tab/>
      </w:r>
      <w:r>
        <w:rPr>
          <w:sz w:val="1"/>
          <w:szCs w:val="1"/>
          <w:color w:val="auto"/>
        </w:rPr>
        <w:drawing>
          <wp:inline distT="0" distB="0" distL="0" distR="0">
            <wp:extent cx="728345" cy="18859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0" w:hanging="308"/>
        <w:spacing w:after="0"/>
        <w:tabs>
          <w:tab w:leader="none" w:pos="640"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challenges in combining product oferings and entering into new markets in which we may not have experience;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distracton of management’s atenton from normal business operatons;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potental loss of key employees of the acquired company;</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difculty implementng efectve internal controls over fnancial reportng, disclosure controls and procedures and cybersecurity and data protecton procedures;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impairment of relatonships with customers or suppliers;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3"/>
        </w:numPr>
        <w:rPr>
          <w:rFonts w:ascii="Calibri" w:cs="Calibri" w:eastAsia="Calibri" w:hAnsi="Calibri"/>
          <w:sz w:val="18"/>
          <w:szCs w:val="18"/>
          <w:color w:val="51555C"/>
        </w:rPr>
      </w:pPr>
      <w:r>
        <w:rPr>
          <w:rFonts w:ascii="Calibri" w:cs="Calibri" w:eastAsia="Calibri" w:hAnsi="Calibri"/>
          <w:sz w:val="18"/>
          <w:szCs w:val="18"/>
          <w:color w:val="51555C"/>
        </w:rPr>
        <w:t>issues not discovered in due diligence, which may include product quality issues or legal or other contngencies.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example, following our acquisiton of EVERFI, Inc. (as further described in Note 3 to our consolidate fnancial statements in this report) we experienced the loss of certain employees and unexpected delays in realizing antcipated returns on our investment.</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Acquisitons, including for example our acquisiton of EVERFI, Inc., may also result in potentally dilutve issuances of equity securites, the incurrence of debt and contngent liabilites, the expenditure of available cash, and amortzaton expenses or write-downs related to intangible assets such as goodwill, any of which could have a material adverse efect on our operatng results or fnancial conditon. We may experience risks relatng to the challenges and costs of closing a business combinaton and the risk that an announced business combinaton may not close. There can be no assurance that we will be successful in making additonal acquisitons in the future or in integratng or executng on our business plan for existng or future acquisitons.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A reducton in the growth or amount of charitable giving due to deterioratng general economic conditons, a recession or otherwise could adversely afect our operatng results and fnancial conditon.</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 large percentage of our customers are nonprofts, foundatons, educaton insttutons, healthcare organizatons and other members of the social impact community that fully or partally rely on charitable donatons. If charitable giving, including online giving, does not contnue to grow or declines, it could limit our current and potental customers' ability to use and pay for our solutons and services, which could adversely afect our operatng results and fnancial conditon.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we derive a signifcant porton of our revenue from transacton-based payment processing fees that we collect from our customers through our Blackbaud Merchant Services soluton, which enables our customers' donors to make donatons and purchase goods and services using various payment optons. A reducton in the growth of, or a decline in, charitable giving to these customers, whether due to deterioratng general economic conditons, the impact of past or future changes to applicable tax laws, or otherwise, could negatvely impact the volume and size of such payment processing transactons and thereby adversely afect our operatng results and fnancial conditon.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Our failure to obtain licenses for, or our use of, third-party technologies could harm our business.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expect to contnue licensing technologies from third partes, including applicatons used in our research and development actvites, technologies that are integrated into our solutons and solutons that we resell. We believe that the loss of any third-party technologies currently integrated into our solutons could have a material adverse efect on our business. Our inability in the future to obtain any third-party licenses on commercially reasonable terms, or at all, could delay future soluton development untl equivalent technology can be identfed, licensed or developed and integrated. This inability in turn could harm our business and operatng results.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use of third-party technologies also exposes us to increased risks including, but not limited to, risks associated with the integraton of new technology into our solutons, the diversion of our resources from development of our own proprietary technology and our inability to generate revenue from licensed technology sufcient to ofset associated acquisiton and maintenance costs.</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Operatonal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Breaches of our sofware, our failure to securely collect, store and transmit customer informaton, or our failure to safeguard confdental donor data, including, for example, the Security Incident described below, exposes us to liability, litgaton, government investgatons, penaltes and remedial costs and our reputaton and business could sufer.</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Fundamental to the use of our solutons is the secure collecton, storage and transmission of confdental donor, customer and end user data, personally identfable informaton and transacton data, including in our payment services. Despite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220980</wp:posOffset>
            </wp:positionV>
            <wp:extent cx="7289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19</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network, applicaton and physical security procedures and internal control measures we employ to safeguard our systems, we have been, and in the future may be, vulnerable to a security breach, intrusion, loss or thef of confdental donor data and transacton data, which has in the past harmed and may in the future harm our business, reputaton and future fnancial results. Furthermore, our reliance on remote access to informaton systems increases our exposure to potental cybersecurity incidents.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Like virtually all major businesses, we are, from tme to tme, a target of cyberatacks, such as the Security Incident (as described below and in Note 11 to our consolidated fnancial statements in this report), informaton systems interruptons, phishing, social engineering schemes and other systems disruptons. We expect these threats to contnue, some of which have been, and in the future may be, successful to varying degrees. Because the numerous and evolving cybersecurity threats used to obtain unauthorized access, disable, degrade or sabotage systems have become increasingly more complex and sophistcated, it may be difcult to antcipate these acts or to detect them for periods of tme, as with the Security Incident, and we may be unable to respond adequately or tmely. As these threats contnue to evolve and increase, we have already devoted and expect to contnue to devote signifcant resources in order to modify and enhance our security controls and to identfy and remediate any security vulnerabilites.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 compromise of our data security, such as the Security Incident, that results in customer or customer consttuent personal or payment card data being obtained by unauthorized persons could adversely afect our reputaton with our customers and others, as well as our operatons, results of operatons, fnancial conditon and liquidity and has resulted in, and could in the future result in, litgaton against us, government investgatons or the impositon of fnes and penaltes. (See Note 11 to our consolidated fnancial statements in this report for informaton regarding litgaton, government investgatons, fnes and penaltes related to the Security Incident.) We have been, and in the future might be, required to expend signifcant additonal capital and other resources to rectfy problems caused by a security breach, including notfcaton under data privacy laws and regulatons, and incur expenses related to remediatng our informaton security systems.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Even though we may carry cyber-technology insurance policies that provide insurance coverage under certain circumstances, we have in the past sufered losses and may in the future sufer losses as a result of a security breach that exceed the coverage available under our insurance policies or for which we do not have coverage. (See Note 11 to our consolidated fnancial statements in this report for expense and insurance coverage informaton related to the Security Incident.) Furthermore, in the future such insurance may not be available on commercially reasonable terms, or at all. A security breach and any eforts we make to address such breach could also result in a disrupton of our operatons, partcularly our online sales operatons.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occurrence of actual cyber security events, such as the Security Incident, could magnify the severity of the adverse efects of future incidents on our business. The techniques used to obtain unauthorized access, disable or degrade service, or sabotage informaton systems can be difcult to detect for long periods of tme and can involve difcult or prolonged assessment or remediaton periods even once detected. We, therefore, cannot assure you that all potental causes of past signifcant incidents, including the Security Incident, have been fully identfed and remediated. The steps we take may not be sufcient to prevent future signifcant incidents and, as a result, such incidents may occur again.</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The Security Incident has had, and may contnue to have, numerous adverse efects on our business, results of operatons, fnancial conditon and cash fows.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previously disclosed, on July 16, 2020, we contacted certain customers to inform them about the Security Incident, including that in May 2020 we discovered and stopped a ransomware atack. Prior to our successfully preventng the cybercriminal from blocking our system access and fully encryptng fles, and ultmately expelling them from our system with no signifcant disrupton to our operatons, the cybercriminal removed a copy of a subset of data from our self-hosted environment that afected over 13,000 customers. Based on the nature of the incident, our research and third party (including law enforcement) investgaton we believe that no data went beyond the cybercriminal, was or will be misused, or will be disseminated or otherwise made available publicly. However, our investgaton into the Security Incident remains ongoing and may provide additonal informaton.</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To date, we have received approximately 260 specifc requests for reimbursement of expenses, approximately 214 (or 82%) of which have been fully resolved and closed and approximately 39 (or 15%) are inactve and are considered by us to have been abandoned by the customers. We have also received approximately 400 reservatons of the right to seek expense recovery in the future from customers or their atorneys in the U.S., U.K. and Canada related to the Security Incident, none of which resulted in claims submited to us and are considered by us to have been abandoned by the customers. We have also received notces of proposed claims on behalf of a number of U.K. data subjects, which we are reviewing. In additon, insurance</w:t>
      </w:r>
    </w:p>
    <w:p>
      <w:pPr>
        <w:spacing w:after="0" w:line="31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20</w:t>
      </w:r>
      <w:r>
        <w:rPr>
          <w:sz w:val="20"/>
          <w:szCs w:val="20"/>
          <w:color w:val="auto"/>
        </w:rPr>
        <w:tab/>
      </w:r>
      <w:r>
        <w:rPr>
          <w:sz w:val="1"/>
          <w:szCs w:val="1"/>
          <w:color w:val="auto"/>
        </w:rPr>
        <w:drawing>
          <wp:inline distT="0" distB="0" distL="0" distR="0">
            <wp:extent cx="728345" cy="18859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companies representng various customers’ interests through subrogaton claims have contacted us, and certain insurance companies have fled subrogaton claims in court, of which 3 cases remain actve and unresolved. Customer and insurer subrogaton claims generally seek reimbursement of their costs and expenses associated with notfying their own customers of the Security Incident and taking steps to assure that personal informaton has not been compromised as a result of the Security Incident. In additon, presently, we are a defendant in putatve consumer class acton cases in U.S. federal courts (most of which have been consolidated under mult district litgaton to a single federal court) and in Canadian courts alleging harm from the Security Incident. The plaintfs in these cases, who generally purport to represent various classes of individual consttuents of our customers, generally claim to have been harmed by alleged actons and/or omissions by us in connecton with the Security Incident and assert a variety of common law and statutory claims seeking monetary damages, injunctve relief, costs and atorneys’ fees, and other related relief. We have received a Civil Investgatve Demand from the ofce of the California Atorney General relatng to the Security Incident. In additon, we are subject to pending governmental actons or investgatons by the U.S. Federal Trade Commission, the U.S. Department of Health and Human Services, the Ofce of the Australian Informaton Commissioner and the Ofce of the Privacy Commissioner of Canada. (See Note 11 to our consolidated fnancial statements included in this report for a more detailed descripton of the Security Incident and related maters.)</w:t>
      </w:r>
    </w:p>
    <w:p>
      <w:pPr>
        <w:spacing w:after="0" w:line="17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March 9, 2023, the Company reached a setlement with the SEC in connecton with the Security Incident. This setlement fully resolves the previously disclosed SEC investgaton of the Security Incident and is further described in the SEC Order. Under the terms of the SEC Order, the Company agreed to cease-and-desist from commitng or causing any violatons or any future violatons of Sectons 17(a)(2) and (3) of the Securites Act and Secton 13(a) of the Exchange Act, and Rules 12b-20, 13a-13 and 13a-15(a) thereunder. As part of the SEC Order, the Company also agreed to pay, and has paid, a civil penalty in the amount of $3.0 million.</w:t>
      </w:r>
    </w:p>
    <w:p>
      <w:pPr>
        <w:spacing w:after="0" w:line="166"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51555C"/>
        </w:rPr>
        <w:t>On October 5, 2023, the Company reached a setlement with each of 49 state Atorneys General and the District of Columbia in connecton with the Security Incident. This setlement fully resolves the previously disclosed mult-state Civil Investgatve Demand and the separate Civil Investgatve Demand from the Ofce of the Indiana Atorney General relatng to the Security Incident, which is further described in the substantally similar Administratve Orders fled in each of the 49 states and the District of Columbia. Under the terms of the Administratve Orders, we have agreed: (i) to comply with state consumer protecton laws, data breach notfcaton laws, and HIPAA; (ii) not to make misleading misrepresentatons to our customers or the individuals whose data is stored by us concerning (a) the extent to which we protect the privacy, security, confdentality, or integrity of certain data, (b) the likelihood that data impacted by a security incident may be subject to unauthorized access, disclosure, or other misuse, or (c) the data breach notfcaton requirements; and (iii) to implement and improve certain cybersecurity programs and tools. As part of the Administratve Orders, we also agreed to pay, and have paid, a total of $49.5 million to the 49 states and District of Columbia. We paid the full setlement amount to each state and the District of Columbia during the fourth quarter of 2023 from our existng liquidity. This amount was fully accrued as a contngent liability in our fnancial statements as of June 30, 2023. We entered into the Administratve Orders without admitng fault of liability in connecton with the maters subject to the Multstate Investgaton. The form of Administratve Order was furnished as Exhibit 99.2 to the Company’s Current Report on Form 8-K fled with the SEC on October 5, 2023.</w:t>
      </w:r>
    </w:p>
    <w:p>
      <w:pPr>
        <w:spacing w:after="0" w:line="16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previously disclosed, on February 1, 2024, the FTC announced its approval of an Agreement Containing Consent Order (the “Proposed Order”) evidencing its setlement with the Company in connecton with the Security Incident. Pursuant to its rules, the FTC placed the Proposed Order and related draf complaint on the public record for a period of 30 days for the receipt of public comments afer which the FTC will consider any comments received from interested persons prior to determining whether and in what form to fnalize the Proposed Order. The 30-day comment period is scheduled to expire on March 14, 2024. As part of the FTC’s proposed order, the Company has not been fned and is not otherwise required to make any payment. Furthermore, the Company has agreed to the FTC’s proposed order without admitng or denying any of the FTC’s allegatons, except as expressly stated otherwise in the Proposed Order. If fnalized, the setlement described in the Proposed Order will fully resolve the FTC investgaton. Although we believe the Proposed Order will be fnalized in substantally its current form, there can be no assurances as to whether that will occur or its tming. Under the terms of the Proposed Order, we have agreed (i) to not misrepresent (a) the extent to which we maintain, use, delete or disclose certain customer informaton, (b) the extent to which we protect the privacy, security, availability, confdentality or integrity of such informaton or (c) the extent of any security incident or unauthorized disclosure, misuse, loss, thef, alteraton, destructon or other compromise of such informaton, and (ii) to delete certain data, adopt and make public certain record retenton limits, establish, implement and maintain a specifed informaton security program, obtain regular independent assessments of the mandated informaton security program, provide to the FTC specifed certfcatons regarding our compliance with the Proposed Order, provide to the FTC reports of any future security incidents and create and maintain specifed recordkeeping. The form of Proposed Order was furnished as Exhibit 99.2 to the Company’s Current Report on Form 8-K fled with the SEC on February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227965</wp:posOffset>
            </wp:positionV>
            <wp:extent cx="7289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noted above, the terms of the FTC Proposed Order, the Atorneys General Administratve Orders and our setlement with the SEC require that we implement and maintain certain processes and programs and comply with certain legal requirements related to cybersecurity and data protecton. Any future regulatory investgaton or litgaton setlements may also contain such requirements. Efectvely implementng, monitoring and updatng these requirements is expected to be expensive and tme-consuming over an extended period. Our failure to do so in accordance with the terms of our agreements with FTC, the Atorneys General and with the SEC, and possibly others, could expose us to additonal material liability under the terms of the Administratve Orders, the SEC setlement, or otherwise.</w:t>
      </w:r>
    </w:p>
    <w:p>
      <w:pPr>
        <w:spacing w:after="0" w:line="16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We may be named as a party in additonal lawsuits, other claims may be asserted by or on behalf of our customers or their consttuents, and we may be subject to additonal governmental inquires, requests or investgatons. Responding to and resolving these current and any future lawsuits, claims and/or investgatons could result in material remedial and other expenses that will not be covered by insurance. It is reasonably possible that our estmated or actual losses may change in the near term for those maters and be materially more than the amounts accrued. Certain governmental authorites are seeking to impose undertakings, injunctve relief, consent decrees, or other civil or criminal penaltes, which could, among other things, materially increase our data security costs or otherwise require us to alter how we operate our business. Although we intend to defend ourselves vigorously against the claims asserted against us, we cannot predict the potental outcomes, cost and expenses associated with current and any future claims, lawsuits, inquiries and investgatons.</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any legislatve or regulatory changes adopted in reacton to the Security Incident or other companies’ data breaches could require us to make modifcatons to the operaton of our business that could have an adverse efect and/or increase or accelerate our compliance costs.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Signifcant management tme and Company resources have been, and are expected to contnue to be, devoted to the Security Incident. For example, for full year 2023, we incurred net pre-tax expenses of $53.4 million related to the Security Incident, which included $22.4 million for ongoing legal fees and $31.0 million for setlements and recorded liabilites for loss contngencies. During 2023, we had net cash outlays of $78.0 million related to the Security Incident, which included ongoing legal fees, the $3.0 million civil penalty paid during the frst quarter of 2023 related to the SEC setlement and the $49.5 million civil penalty paid during the fourth quarter of 2023 related to the Multstate Investgaton (as discussed in Note 11). Although we carry insurance against certain losses related to the Security Incident, we exceeded the limit of that insurance coverage in the frst quarter of 2022. As a result, we will be responsible for all expenses or other losses (including penaltes, fnes or other judgments) or all types of claims that may arise in connecton with the Security Incident, which could materially and adversely afect our liquidity and results of operatons. (See Note 11 to our consolidated fnancial statements included in this report.) If any such fnes or penaltes were great enough that we could not pay them through funds generated from operatng actvites and/or cause a default under the 2020 Credit Facility, we may be forced to renegotate or obtain a waiver under the 2020 Credit Facility and/or seek additonal debt or equity fnancing. Such renegotaton or fnancing may not be available on acceptable terms, or at all. In these circumstances, if we were unable to obtain sufcient fnancing, we may not be able to meet our obligatons as they come due.</w:t>
      </w:r>
    </w:p>
    <w:p>
      <w:pPr>
        <w:spacing w:after="0" w:line="17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publicity or developments related to the Security Incident could in the future have a range of other adverse efects on our business or prospects, including causing or contributng to loss of customer confdence, reduced customer demand, reduced customer retenton, strategic growth opportunites, and associated retenton and recruitng difcultes, some or all of which could be material.</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i w:val="1"/>
          <w:iCs w:val="1"/>
          <w:color w:val="51555C"/>
        </w:rPr>
        <w:t>Climate change and other natural disasters, new regulatons and standards and climate-related goals have impacted, and may in the future impact, our operatons and fnancial performance.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long-term efects of climate change on the global economy and our industry may impact our business operatons and those of our suppliers, customers and partners. Climate change increases the severity and frequency of extreme weather events such as hurricanes, wildfres, foods, heat waves, or power shortages, all of which could lead to business disruptons. The locatons of our principal executve ofces and our data centers are vulnerable to the efects of climate events and other natural disasters, including hurricanes, heat waves and earthquakes, which we have experienced in the past. In additon, the efects of climate change are harder to mitgate for our remote-frst workforce, which exposes the Company to business disrupton. Even though we carry business interrupton insurance policies and typically have provisions in our commercial contracts that protect us in certain events, we might sufer losses as a result of business interruptons that exceed the coverage available under our insurance policies or for which we do not have coverage. Any natural disaster or catastrophic event afectng us could have a signifcant negatve impact on our operatons.</w:t>
      </w: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22</w:t>
      </w:r>
      <w:r>
        <w:rPr>
          <w:sz w:val="20"/>
          <w:szCs w:val="20"/>
          <w:color w:val="auto"/>
        </w:rPr>
        <w:tab/>
      </w:r>
      <w:r>
        <w:rPr>
          <w:sz w:val="1"/>
          <w:szCs w:val="1"/>
          <w:color w:val="auto"/>
        </w:rPr>
        <w:drawing>
          <wp:inline distT="0" distB="0" distL="0" distR="0">
            <wp:extent cx="728345" cy="18859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Expected new regulatons and standards relatng to public disclosure, including those related to climate change, could adversely impose signifcant costs on us to comply with such regulatons.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Finally, a failure to meet our climate-related goals, such as our commitment and progress towards reducton of greenhouse gas emissions, could damage our reputaton, afect our fnancial performance and impact our ability to atract and retain talent.</w:t>
      </w:r>
    </w:p>
    <w:p>
      <w:pPr>
        <w:spacing w:after="0" w:line="164"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51555C"/>
        </w:rPr>
        <w:t>Defects, delays or interruptons in our cloud solutons and hostng services could diminish demand for these services and subject us to substantal liability.</w:t>
      </w:r>
    </w:p>
    <w:p>
      <w:pPr>
        <w:spacing w:after="0" w:line="1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currently utlize data center hostng facilites to provide cloud solutons to a signifcant number of our subscripton customers and hostng services to our on-premise license customers. Any damage to, or failure of, these data center systems generally could result in interruptons in service to our customers, notwithstanding any business contnuity or disaster recovery agreements that may currently be in place at these facilites. As noted above, our executve ofces and some of our data centers are located in areas that are vulnerable to the efects of climate change and could be subject to increased interruptons as a result of the severity and increased frequency of extreme weather events such as hurricanes, wildfres, foods, heat waves, or power shortages. Because our cloud solutons and hostng service oferings are complex and we have incorporated a variety of new computer hardware and sofware systems at our data centers, our services might have errors or defects that users identfy afer they begin using our services. This could result in unantcipated downtme for our customers and harm to our reputaton and business results. Internet-based services sometmes contain undetected errors when frst introduced or when new versions or enhancements are released. We have from tme to tme found defects in our web-based services and new errors might again be detected in the future. In additon, our customers might use our Internet-based oferings in unantcipated ways that cause a disrupton in service for other customers atemptng to access their data.</w:t>
      </w:r>
    </w:p>
    <w:p>
      <w:pPr>
        <w:spacing w:after="0" w:line="171"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51555C"/>
        </w:rPr>
        <w:t>Because our customers use these services for important aspects of their businesses, any defects, delays or disruptons in service or other performance problems with our services could hurt our reputaton and damage our customers' businesses. If that occurs, customers could elect to cancel their service, delay or withhold payment to us, not purchase from us in the future or make claims against us, which could result in an increase in our provision for credit losses, an increase in collecton cycles for accounts receivable or the expense and risk of litgaton. Any of these could harm our business and reputaton.</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Material defects or errors in the sofware we use to deliver our services could harm our reputaton, result in signifcant costs to us and impair our ability to sell our services.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sofware applicatons underlying our services are inherently complex and may contain material defects or errors, partcularly when frst introduced or when new versions or enhancements are released. We have from tme to tme found defects in our sofware, and new errors in our existng sofware may be detected in the future.</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Afer the release of our sofware, defects or errors may also be identfed from tme to tme by our internal team and our customers. The costs incurred in correctng any material defects or errors in our sofware may be substantal and could harm our operatng results. Furthermore, our customers may use our sofware together with solutons from other companies. As a result, when problems occur, it might be difcult to identfy the source of the problem. Even when our sofware does not cause these problems, the existence of these errors might cause us to incur signifcant costs, divert the atenton of our technical personnel from our soluton development eforts, impact our reputaton and cause signifcant customer relatons problems.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If we are unable, or our customers believe we may be unable, to detect and prevent unauthorized use of payment card or other private fnancial or personal informaton, or are otherwise unable to efectvely manage our payment processing business, we could be subject to fnancial liability, our reputaton could be harmed and customers may be reluctant to use our solutons and services.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solutons provide our customers payment processing capabilites that enable their consttuents to make donatons and purchase services using numerous payment optons, including credit card and automated clearing house (“ACH”) checking transactons, through secure online transactons. The provision of convenient, trusted, fast and efectve payment processing services to our customers and potental customers is critcal to our business, and revenue from payments processing consttutes a signifcant percentage of our total revenue. Increases in payment processing fees, material changes in our payment processing systems, changes to rules or regulatons concerning payments or disruptons or failures in our payment processing systems or payment products, including products we use to update payment informaton, could materially adversely impact our customer retenton and results of operaton. In additon, from tme to tme, we encounter fraudulent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223520</wp:posOffset>
            </wp:positionV>
            <wp:extent cx="7289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23</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use of payment methods that could result in substantal additonal costs or delay, preclude planned transactons, product launches or improvements, require signifcant and costly operatonal changes, impose restrictons, limitatons, or additonal requirements on our business, products and services, prevent or limit us from providing our products or services in a given market and adversely impact customer retenton. Furthermore, we contnue to undertake system upgrades designed to improve the availability, reliability, resiliency and speed of our payments systems. These eforts are costly and tme-consuming, involve signifcant technical complexity and risk, may divert our resources from new features and products and may ultmately not be efectve.</w:t>
      </w:r>
    </w:p>
    <w:p>
      <w:pPr>
        <w:spacing w:after="0" w:line="15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rules of payment card associatons in which we partcipate require that we comply with Payment Card Industry Data Security Standard ("PCI DSS") in order to preserve security of payment card data. Under PCI DSS, we are required to adopt and implement internal controls over the use, storage and security of payment card data to help prevent card fraud. Conforming our solutons and services to PCI DSS or other payment services related regulatons or requirements imposed by payment networks or our customers or payment processing partners is expensive and tme-consuming. However, failure to comply may subject us to fnes, penaltes, damages and civil liability, may impair the security of payment card data in our possession, and may harm our reputaton and our business prospects, including by limitng our ability to process transactons. All Blackbaud products in scope for PCI DSS compliance meet applicable PCI DSS security requirements.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we routnely subject our various data protecton processes and controls to voluntary third-party review, audit or reportng, including, for example, the American Insttute of Certfed Public Accountants’ System and Organizaton Controls reportng. Failure to conduct these voluntary data protecton process and control reviews or to obtain and maintain audits or reports covering our data protecton processes and controls may harm our reputaton or our business prospects and our ability to market our solutons to our customers.</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Financial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Because a signifcant porton of our revenue is recognized over tme on a ratable basis over the contract term, downturns in sales may not be immediately refected in our revenue.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generally recognize our subscripton and maintenance revenue ratably over tme over the contract term. Our subscripton arrangements are generally for a term of three years at contract incepton with three-year renewals thereafer. Our maintenance arrangement renewals are generally for a term of three years. As a result, much of the revenue we report in each quarter is atributable to arrangements entered into during previous quarters. Consequently, a decline in sales to new customers, renewals by existng customers or market acceptance of our solutons in any one quarter will not necessarily be fully refected in the revenues in that quarter and could negatvely afect our revenues and proftability in future quarters.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We signifcantly increased our leverage in connecton with acquisiton of EVERFI and may increase our leverage in the future in connecton with additonal acquisitons, Security Incident costs or other business purposes, which could adversely impact our business and fnancial performance.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incurred a substantal amount of indebtedness in connecton with acquisitons, including our acquisiton of EVERFI, Inc. (as described in Note 3 to our consolidated fnancial statements included in this report). As a result of this indebtedness, our interest payment obligatons have increased. In additon, we have been named as a party in various lawsuits in connecton with the Security Incident, claims have been asserted by or on behalf of our customers or their consttuents, and we are subject to various governmental inquires, requests or investgatons. Responding to and resolving these current and any future lawsuits, claims and/or investgatons could result in material remedial and other expenses. Although we intend to defend ourselves vigorously against the claims asserted against us, we cannot predict the potental outcomes, cost and expenses associated with current and any future claims, lawsuits, inquiries and investgatons, which could require that we incur additonal indebtedness to fund. (See Note 11 to our consolidated fnancial statements in this report for additonal informaton regarding the Security Incident.)</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color w:val="51555C"/>
        </w:rPr>
        <w:t>The degree to which we are leveraged could have adverse efects on our business, including the following:</w:t>
      </w:r>
    </w:p>
    <w:p>
      <w:pPr>
        <w:spacing w:after="0" w:line="55" w:lineRule="exact"/>
        <w:rPr>
          <w:sz w:val="20"/>
          <w:szCs w:val="20"/>
          <w:color w:val="auto"/>
        </w:rPr>
      </w:pPr>
    </w:p>
    <w:p>
      <w:pPr>
        <w:ind w:left="660" w:hanging="328"/>
        <w:spacing w:after="0" w:line="235" w:lineRule="auto"/>
        <w:tabs>
          <w:tab w:leader="none" w:pos="653"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Requiring us to dedicate a substantal porton of our cash fow from operatons to payments on our indebtedness, thereby reducing the availability of our cash fow to fund working capital, capital expenditures, acquisitons, dividends, stock repurchases and other general corporate purposes;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Increasing the amount of interest we pay, partcularly if interest rates increase;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4"/>
        </w:numPr>
        <w:rPr>
          <w:rFonts w:ascii="Calibri" w:cs="Calibri" w:eastAsia="Calibri" w:hAnsi="Calibri"/>
          <w:sz w:val="18"/>
          <w:szCs w:val="18"/>
          <w:color w:val="51555C"/>
        </w:rPr>
      </w:pPr>
      <w:r>
        <w:rPr>
          <w:rFonts w:ascii="Calibri" w:cs="Calibri" w:eastAsia="Calibri" w:hAnsi="Calibri"/>
          <w:sz w:val="18"/>
          <w:szCs w:val="18"/>
          <w:color w:val="51555C"/>
        </w:rPr>
        <w:t>Limitng our fexibility in planning for, or reactng to, changes in our business and the industries in which we operate;</w:t>
      </w:r>
    </w:p>
    <w:p>
      <w:pPr>
        <w:spacing w:after="0" w:line="310"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24</w:t>
      </w:r>
      <w:r>
        <w:rPr>
          <w:sz w:val="20"/>
          <w:szCs w:val="20"/>
          <w:color w:val="auto"/>
        </w:rPr>
        <w:tab/>
      </w:r>
      <w:r>
        <w:rPr>
          <w:sz w:val="1"/>
          <w:szCs w:val="1"/>
          <w:color w:val="auto"/>
        </w:rPr>
        <w:drawing>
          <wp:inline distT="0" distB="0" distL="0" distR="0">
            <wp:extent cx="728345" cy="1885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40" w:hanging="308"/>
        <w:spacing w:after="0"/>
        <w:tabs>
          <w:tab w:leader="none" w:pos="640"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Restrictng us from making additonal strategic acquisitons or exploitng business opportunites;</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Placing us at a compettve disadvantage compared to our compettors that have less debt;</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Reducing our currently available borrowing capacity or limitng our ability to borrow additonal funds;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15"/>
        </w:numPr>
        <w:rPr>
          <w:rFonts w:ascii="Calibri" w:cs="Calibri" w:eastAsia="Calibri" w:hAnsi="Calibri"/>
          <w:sz w:val="18"/>
          <w:szCs w:val="18"/>
          <w:color w:val="51555C"/>
        </w:rPr>
      </w:pPr>
      <w:r>
        <w:rPr>
          <w:rFonts w:ascii="Calibri" w:cs="Calibri" w:eastAsia="Calibri" w:hAnsi="Calibri"/>
          <w:sz w:val="18"/>
          <w:szCs w:val="18"/>
          <w:color w:val="51555C"/>
        </w:rPr>
        <w:t>Decreasing our ability to compete efectvely or operate successfully under adverse economic and industry conditons.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If we incur additonal debt, these risks may intensify. Our ability to meet our debt service obligatons will depend upon our future performance, which will be subject to the fnancial, business and other factors afectng our operatons, many of which are beyond our control.</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additonal leverage could impact our ability to meet certain fnancial and other covenants contained in our 2020 Credit Facility. (See Note 9 to our consolidated fnancial statements included in this report for a more detailed descripton of our 2020 Credit Facility.) There can be no assurance that we will be able to remain in compliance with the covenants to which we are now subject or may be subject in the future and, if we fail to do so, that we will be able to obtain waivers from our lenders or amend the covenants.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the event of a default under our 2020 Credit Facility, we could be required to immediately repay all outstanding borrowings, which we might not be able to do and which would materially negatvely afect our business, operatons and fnancial conditon.</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Our balance sheet includes signifcant amounts of goodwill and intangible assets. The impairment of a signifcant porton of these assets could negatvely afect our operatng results.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2023, we had $1.1 billion and $581.9 million of goodwill and intangible assets, respectvely. On at least an annual basis, we assess whether there have been impairments in the carrying value of goodwill and intangible assets. If the carrying value of an asset is determined to be impaired, then it is writen down to fair value by a non-cash charge to operatng earnings. Changes in circumstances that could indicate that the carrying value of goodwill or intangible assets may not be recoverable include declines in our stock price, market capitalizaton, cash fows and slower growth rates in our industry. We cannot accurately predict the likelihood or potental amount and tming of any impairment of goodwill or other intangible assets. An impairment of a signifcant porton of goodwill or intangible assets could materially and negatvely afect our results of operatons and fnancial conditon.</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Restrictons in our credit facility limit certain of our actvites, including dividend payments, stock repurchases and acquisitons.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credit facility contains restrictons, including covenants limitng our ability to incur additonal debt, grant liens, make acquisitons and other investments, prepay specifed debt, consolidate, merge or acquire other businesses, sell assets, pay dividends and other distributons, repurchase stock and enter into transactons with afliates. There can be no assurance that we will be able to remain in compliance with the covenants to which we are subject in the future and, if we fail to do so, that we will be able to obtain waivers from our lenders or amend the covenants.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the event of a default under our credit facility, we could be required to immediately repay all outstanding borrowings, which we might not be able to do. In additon, certain of our material domestc subsidiaries are required to guarantee amounts borrowed under the credit facility, and we have pledged the shares of certain of our subsidiaries as collateral for our obligatons under the credit facility. Any such default could have a material adverse efect on our ability to operate, including allowing lenders under the credit facility to enforce guarantees of our subsidiaries, if any, or exercise their rights with respect to the shares pledged as collateral.</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We cannot guarantee that our stock repurchase program will be fully consummated or that it will enhance long-term stockholder value. Stock repurchases could also increase the volatlity of the trading price of our stock and will diminish our cash reserves.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Although our board of directors has authorized a stock repurchase program that does not have an expiraton date, the program does not obligate us to repurchase any specifc dollar amount or to acquire any specifc number of shares of our common stock. We have, from tme to tme, repurchased stock under this program and re-initated repurchases under the program in the fourth quarter of 2023 afer a two-year hiatus. We cannot guarantee that the program will be fully consummated or that it will enhance long-term stockholder value. The program could afect the trading price of our stock and increase volatlity, and any announcement of a terminaton of this program may result in a decrease in the trading price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222885</wp:posOffset>
            </wp:positionV>
            <wp:extent cx="72898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stock. In additon, implementaton of some or all of this program diminishes our cash reserves, which may impact our ability to fnance future growth, to pursue possible future strategic opportunites and acquisitons and fund liabilites and expenses related to the Security Incident. (See Note 14 to our consolidated fnancial statements in this report for additonal informaton related to our stock repurchase program.)</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We have recorded signifcant deferred tax assets, and we might never realize their full value, which would result in a charge against our earnings.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2023, we had deferred tax assets of $143.3 million. Realizaton of our deferred tax assets is dependent upon our generatng sufcient taxable income in future years to realize the tax beneft from those assets. Deferred tax assets are reviewed at least annually for realizability. A charge against our earnings would result if, based on the available evidence, it is more likely than not that some porton of the deferred tax asset will not be realized beyond our existng valuaton allowance. This could be caused by, among other things, deterioraton in performance, adverse market conditons, adverse changes in applicable laws or regulatons, including changes that restrict the actvites of or afect the solutons sold by our business and a variety of other factors. If a deferred tax asset net of our valuaton allowance was determined to be not realizable in a future period, the charge to earnings would be recognized as an expense in our results of operatons in the period the determinaton is made. Additonally, if we are unable to utlize our deferred tax assets, our cash fow available to fund operatons could be adversely afected.</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Depending on future circumstances, it is possible that we might never realize the full value of our deferred tax assets. Any future impairment charges related to a signifcant porton of our deferred tax assets would have an adverse efect on our fnancial conditon and results of operatons.</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Legal and Compliance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Privacy and data protecton concerns, including evolving domestc and internatonal government regulaton in the area of consumer data privacy or data protecton, could adversely afect our business and operatng results.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efectveness of our sofware solutons relies on our customers' storage and use of data concerning their customers, including fnancial, personally identfying or other sensitve data. Our customers' collecton and use of this data for donor profling, data analytcs or communicatons outreach might raise privacy and data protecton concerns and negatvely impact the demand for our solutons and services. For example, our custom modeling and analytcal services rely heavily on processing and using of data we gather from customers and various sources. Privacy and data protecton laws could add restrictons or regulatory burdens, which could limit our ability to market and proft from those services.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Governments in some jurisdictons have enacted or are considering enactng consumer data privacy or data protecton legislaton, including laws and regulatons applying to the solicitaton, collecton, transfer, processing and use of personal data. This legislaton could reduce the demand for our sofware solutons if we fail to design or enhance our solutons to enable our customers to comply with the privacy and data protecton measures required by the legislaton. Moreover, we may be exposed to liability under existng or new consumer privacy or data protecton legislaton. For example, when providing our solutons to certain customers in the healthcare industry, we must comply with applicable provisions of the Health Insurance Portability and Accountability Act of 1996 ("HIPAA"), and might be subject to similar provisions of other legislaton, including, without limitaton, the Gramm-Leach-Bliley Act and related regulatons, and the California Consumer Privacy Act of 2018, which became efectve January 1, 2020, and may apply to some of our customers and areas of business. Even technical violatons of these laws may result in penaltes that are assessed for each non-compliant transacton.</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and some of our customers, are subject to the E.U. General Data Protecton Regulaton (“GDPR”) and U.K. data protecton law, known as the "U.K. GDPR." The law requires companies to meet requirements regarding the handling of personal data, including rights such as the portability of personal data. All solutons we sell to customers subject to GDPR must include GDPR features. The implementaton of GDPR has afected our ability to ofer some features and services to customers in the E.U. and U.K. Furthermore, actons and investgatons by regulatory authorites related to data security incidents and privacy violatons contnue to increase, which have impacted us, and could in the future further impact us, through increased costs or restrictons on our business, and noncompliance could result in signifcant regulatory penaltes and legal liability.</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If our customers or we were found to be subject to and in violaton of any privacy or data protecton laws or regulatons, our business may be materially and adversely impacted and we and/or our customers would likely have to change our business practces. In additon, these laws and regulatons could impose signifcant costs on our customers and us and make it more</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26</w:t>
      </w:r>
      <w:r>
        <w:rPr>
          <w:sz w:val="20"/>
          <w:szCs w:val="20"/>
          <w:color w:val="auto"/>
        </w:rPr>
        <w:tab/>
      </w:r>
      <w:r>
        <w:rPr>
          <w:sz w:val="1"/>
          <w:szCs w:val="1"/>
          <w:color w:val="auto"/>
        </w:rPr>
        <w:drawing>
          <wp:inline distT="0" distB="0" distL="0" distR="0">
            <wp:extent cx="728345" cy="1885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difcult for donors to make online donatons. (See Note 11 to our consolidated fnancial statements included in this report for a descripton of the Security Incident and related legal proceedings and regulatory maters.)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in the informaton technology business, and our solutons and services store, retrieve, transfer, manipulate and manage our customers’ informaton and data. The efectveness of our sofware solutons relies on our customers’ storage and use of data concerning their donors, including fnancial, personally identfying and other sensitve data and our business uses similar systems that require us to store and use data with respect to our customers and personnel. Our collecton and our customers’ collecton and use of this data might raise privacy and data protecton concerns and negatvely impact our business or the demand for our solutons and services. If a breach of data security, such as the Security Incident, were to occur, or other violaton of privacy or data protecton laws and regulatons were to be alleged, our business may be materially and adversely impacted and solutons may be perceived as less desirable, which would negatvely afect our business and operatng results.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Claims that we or our technologies infringe upon the intellectual property or other proprietary rights of a third party may require us to incur signifcant costs, enter into royalty or licensing agreements or develop or license substtute technology.</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been, and may in the future be, subject to claims that the technologies in our solutons and services infringe upon the intellectual property or other proprietary rights of a third party. In additon, the vendors providing us with technology that we use in our own solutons could become subject to similar infringement claims. Although we believe that our solutons and services do not infringe any intellectual property or other proprietary rights, we cannot be certain that our solutons and services do not, or that they will not in the future, infringe intellectual property or other proprietary rights held by others. Any claims of infringement could cause us to incur substantal costs to defend against the claim, even if the claim is without merit, and could distract our management from our business. Moreover, any setlement or adverse judgment resultng from the claim could require us to pay substantal amounts, or obtain a license to contnue to use the technology and services that are the subject of the claim, and/or otherwise restrict or prohibit our use of the same. There can be no assurance that we would be able to obtain a license on commercially reasonable terms from the third party assertng any partcular claim, or that we would be able to successfully develop alternatve technology on a tmely basis, or that we would be able to obtain a license from another provider of suitable alternatve technology to permit us to contnue ofering, and our customers to contnue using, the solutons and services. In additon, we generally provide in our customer arrangements for certain solutons and services that we will indemnify our customers against third-party infringement claims relatng to technology we provide to those customers, which could obligate us to pay damages if the solutons and services were found to be infringing. Infringement claims asserted against us, our vendors or our customers may have a material adverse efect on our business, prospects, fnancial conditon and results of operatons.</w:t>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Our solutons utlize open source sofware, which may subject us to litgaton, require us to re-engineer our solutons, or otherwise divert resources away from our development eforts.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use open source sofware in connecton with certain of our solutons. Such open source sofware is generally licensed by its authors or other third partes under open source licenses, including, for example, the GNU General Public License, the GNU Lesser General Public License, “Apache-style” licenses, “BSD-style” licenses and other open source licenses. There is litle legal precedent governing the interpretaton of many of the terms of some of these licenses and, therefore, the potental impact of these terms on our business is currently unable to be determined and may result in unantcipated obligatons regarding our solutons and technologies. From tme to tme, companies that incorporate open source sofware into their products have faced claims challenging the ownership of open source sofware and/or compliance with open source license terms. Therefore, we could be subject to litgaton by partes claiming ownership of open source sofware or noncompliance with open source licensing terms. Some open source sofware licenses require users who distribute open source sofware as part of their own sofware to publicly disclose all or part of the source code to such sofware and/or make available any derivatve works of the open source code on unfavorable terms or at no cost. While we monitor our use of open source sofware and try to ensure that none is used in a manner that would require us to disclose the source code or that would otherwise breach the terms of an open source agreement, such use could inadvertently occur and we may be required to release proprietary source code, pay damages for breach of contract, re-engineer our applicatons, discontnue sales in the event re-engineering cannot be accomplished on a tmely basis, or take other remedial acton that may divert resources away from our development eforts, any of which could adversely afect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226695</wp:posOffset>
            </wp:positionV>
            <wp:extent cx="7289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51555C"/>
        </w:rPr>
        <w:t>We rely upon trademark, copyright, patent and trade secret laws to protect our proprietary rights, which might not provide us with adequate protecton.</w:t>
      </w:r>
    </w:p>
    <w:p>
      <w:pPr>
        <w:spacing w:after="0" w:line="1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success and ability to compete depends to a signifcant degree upon the protecton of our proprietary technology rights. We might not be successful in protectng our proprietary technology and our proprietary rights might not provide us with a meaningful compettve advantage. To protect our core proprietary technology, we rely on a combinaton of patent, trademark, copyright and trade secret laws, as well as nondisclosure agreements, each of which afords only limited protecton.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Changing domestc and internatonal laws, government regulatons and policies, laws limitng or restrictng our ability to pass card charges on to customers and other similar laws and regulatons, could adversely afect our business and operatng results by increasing compliance costs, reducing customer demand for our solutons or damaging our reputaton.</w:t>
      </w:r>
    </w:p>
    <w:p>
      <w:pPr>
        <w:spacing w:after="0" w:line="16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Certain of our solutons, in partcular our fnancial management and payment services solutons, relate to actvity heavily regulated by government agencies in the U.S., the U.K. and other countries in which we operate. The laws and regulatons enforced by these agencies are proposed or enacted to deter fraud and other illicit fnancial transactons and to protect consumers and the fnancial system and are ofen revised or increased in scope. We have procedures and controls in place to monitor compliance with numerous federal, state and foreign laws and regulatons. However, because these laws and regulatons are complex, difer between jurisdictons, and are ofen subject to interpretaton, or as a result of unintended errors, we may, from tme to tme, inadvertently violate these laws and regulatons. Compliance with these laws and regulatons is expensive and requires the tme and atenton of management. These costs divert capital and focus away from eforts intended to grow our business. If we do not successfully comply with laws, regulatons, or policies, we could incur fnes or penaltes, be subject to litgaton, lose existng or new customer contracts or other business, and sufer damage to our reputaton.</w:t>
      </w:r>
    </w:p>
    <w:p>
      <w:pPr>
        <w:spacing w:after="0" w:line="1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changes in certain laws, regulatons or policies could impact our customers, alter our business environment and limit our operatons. For example, various fnancial insttutons subscribe to our EVERFI training soluton, which they may then provide free of charge to schools in low-income and moderate-income communites as a means of satsfying their obligatons under the Community Reinvestment Act of 1977, as amended (the “CRA”). Repeal or signifcant modifcaton of the CRA or the many government agency regulatons and policies implementng its provisions could cause fnancial insttutons to limit or eliminate their purchases of these EVERFI solutons and thereby negatvely impact our operatng results and fnancial conditon.</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 xml:space="preserve">Provisions in our organizatonal documents, our Stockholder Rights Agreement </w:t>
      </w:r>
      <w:r>
        <w:rPr>
          <w:rFonts w:ascii="Calibri" w:cs="Calibri" w:eastAsia="Calibri" w:hAnsi="Calibri"/>
          <w:sz w:val="18"/>
          <w:szCs w:val="18"/>
          <w:color w:val="51555C"/>
        </w:rPr>
        <w:t>(as described below, the "Rights Agreement")</w:t>
      </w:r>
      <w:r>
        <w:rPr>
          <w:rFonts w:ascii="Calibri" w:cs="Calibri" w:eastAsia="Calibri" w:hAnsi="Calibri"/>
          <w:sz w:val="18"/>
          <w:szCs w:val="18"/>
          <w:b w:val="1"/>
          <w:bCs w:val="1"/>
          <w:i w:val="1"/>
          <w:iCs w:val="1"/>
          <w:color w:val="51555C"/>
        </w:rPr>
        <w:t>, certain ofcer compensaton arrangements and Delaware law may delay or prevent an acquisiton or change of control of our Company that could be deemed benefcial to our stockholders.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Certain provisions in our organizatonal documents, the Rights Agreement, compensaton arrangements with our ofcers and Delaware law (as summarized below) may have the efect of delaying, deferring, discouraging or preventng an acquisiton or change in control of the Company or a change in our management. This includes tender ofers for our common stock, proxy contests or other takeover atempts. These ant-takeover efects may discourage transactons that might result in the payment of a premium over the market price for shares of our common stock. Even in the absence of a takeover atempt, the existence of these provisions may adversely afect the prevailing market price of our common stock if they are viewed as discouraging takeover atempts in the future.</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Certfcate of Incorporaton and Bylaw provisions. </w:t>
      </w:r>
      <w:r>
        <w:rPr>
          <w:rFonts w:ascii="Calibri" w:cs="Calibri" w:eastAsia="Calibri" w:hAnsi="Calibri"/>
          <w:sz w:val="18"/>
          <w:szCs w:val="18"/>
          <w:color w:val="51555C"/>
        </w:rPr>
        <w:t>The Board of Directors is divided into three classes of directors, as nearly equal in number as possible, with</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each class serving a staggered term of three years. The classifcaton of directors will have the efect of making it more difcult and tme-consuming for stockholders to change the compositon of the Board of Directors, could discourage a third-party from making a tender ofer or otherwise atemptng to obtain control of the Company and may maintain the incumbency of the Board of Directors.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Bylaws contain an advance notce procedure for stockholders' proposals to be brought before a meetng of stockholders, including any proposed nominatons of persons for electon to the Board of Directors. The Bylaws may have the efect of precluding the conduct of business at a meetng if the proper procedures are not followed and may discourage or deter a potental acquirer from conductng a solicitaton of proxies to elect its own slate of directors or otherwise atemptng to obtain control of the Company.</w:t>
      </w:r>
    </w:p>
    <w:p>
      <w:pPr>
        <w:spacing w:after="0" w:line="31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28</w:t>
      </w:r>
      <w:r>
        <w:rPr>
          <w:sz w:val="20"/>
          <w:szCs w:val="20"/>
          <w:color w:val="auto"/>
        </w:rPr>
        <w:tab/>
      </w:r>
      <w:r>
        <w:rPr>
          <w:sz w:val="1"/>
          <w:szCs w:val="1"/>
          <w:color w:val="auto"/>
        </w:rPr>
        <w:drawing>
          <wp:inline distT="0" distB="0" distL="0" distR="0">
            <wp:extent cx="728345" cy="18859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Board of Directors has the authority to issue up to an aggregate of 20,000,000 shares of preferred stock in one or more classes or series and to determine, with respect to any such class or series, the designatons, powers, preferences and rights of such class or series, and the qualifcatons, limitatons and restrictons thereof, including dividend rights, dividend rates, conversion rights, votng rights, terms of redempton (including sinking fund provisions), redempton prices, liquidaton preferences, and the number of shares consttutng any class or series or the designaton of such class or series, without further vote or acton by the stockholders. This preferred stock, including the Series A Preferred Stock described below, could have terms that may discourage a potental acquirer from making, without frst negotatng with the Board of Directors, an acquisiton atempt through which such acquirer may be able to change the compositon of the Board of Directors, including a tender ofer or other takeover atempt.</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Board of Directors possesses the authority to call and hold emergency special meetngs of the Board of Directors with less than forty-eight hours’ notce. This power to hold an emergency special meetng of the Board of Directors on short notce could discourage a potental acquirer from launching a bid to acquire majority ownership of the Company, a proxy solicitaton in order to replace the current Board of Directors, or otherwise atemptng to obtain control of the Company.</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Stockholder Rights Agreement. </w:t>
      </w:r>
      <w:r>
        <w:rPr>
          <w:rFonts w:ascii="Calibri" w:cs="Calibri" w:eastAsia="Calibri" w:hAnsi="Calibri"/>
          <w:sz w:val="18"/>
          <w:szCs w:val="18"/>
          <w:color w:val="51555C"/>
        </w:rPr>
        <w:t>On October 7, 2022, the Company declared a dividend of one preferred share purchase right (a "Right") for each of the</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Company’s issued and outstanding shares of our common stock. The descripton and terms of these Rights are set forth in the Rights Agreement by and between the Company and American Stock Transfer &amp; Trust Company, LLC. Each Right enttles the registered holder, subject to the terms of the Rights Agreement, to purchase from us one one-thousandth of a share of the Series A Junior Partcipatng Preferred Stock, par value $0.001 per share (the “Series A Preferred Stock”) at a price of $313.00, subject to certain adjustments (as adjusted from tme to tme, the “Exercise Price”). Under the Rights Agreement, the Rights will become exercisable if an entty, person or group acquires benefcial ownership of 20% or more of the outstanding common stock in a transacton not approved by the Board of Directors. In the event that the Rights become exercisable due to the ownership threshold being crossed, each Right will enttle its holder (other than the person, entty or group triggering the Rights Plan, whose rights will become void and will not be exercisable) to purchase additonal shares of our common stock having a then-current market value of twice the Exercise Price, which would likely make any takeover or change of control atempt by such entty, person or group prohibitvely expensive. Subject to the terms of the Rights Agreement, the Rights were scheduled to expire on October 2, 2023. On October 2, 2023, the Company amended the Rights Agreement to extend the fnal expiraton date from October 2, 2023 to October 2, 2024. The Company expects to submit this amendment to the Company’s stockholders for ratfcaton at the Company’s 2024 annual meetng of stockholders. On January 26, 2024, the Company amended the Rights Agreement to refect a change in rights agent. Additonal informaton regarding the Rights Agreement and it amendments, including copies thereof, is contained in the Company’s Current Reports on Form 8-K fled with the SEC on October 7, 2022, October 2, 2023 and January 26, 2024.</w:t>
      </w:r>
    </w:p>
    <w:p>
      <w:pPr>
        <w:spacing w:after="0" w:line="17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 xml:space="preserve">Ofcer Compensaton Arrangements. </w:t>
      </w:r>
      <w:r>
        <w:rPr>
          <w:rFonts w:ascii="Calibri" w:cs="Calibri" w:eastAsia="Calibri" w:hAnsi="Calibri"/>
          <w:sz w:val="18"/>
          <w:szCs w:val="18"/>
          <w:color w:val="51555C"/>
        </w:rPr>
        <w:t>We have entered into an employment agreement with our Chief Executve Ofcer and retenton agreements with</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certain of our ofcers, which provide that, upon the occurrence of a change in control of us and either the terminaton of their employment without cause (as defned) or their resignaton for good reason (as defned), such persons would be enttled to certain terminaton or severance payments made by us (which may include a lump sum payment equal to defned percentages of compensaton and accelerated vestng of certain equity stock awards paid in accordance with the terms and conditons of the respectve agreement). Such provisions could signifcantly increase the costs to a third-party acquirer and/or deter such third-party from acquiring us.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Delaware ant-takeover law</w:t>
      </w:r>
      <w:r>
        <w:rPr>
          <w:rFonts w:ascii="Calibri" w:cs="Calibri" w:eastAsia="Calibri" w:hAnsi="Calibri"/>
          <w:sz w:val="18"/>
          <w:szCs w:val="18"/>
          <w:color w:val="51555C"/>
        </w:rPr>
        <w:t>. We are subject to Secton 203 of the Delaware General Corporaton Law, an ant-takeover law. In general, Secton 203 prohibits a</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publicly held Delaware corporaton, such as the Company, from engaging in a “business combinaton” with an “interested stockholder” for a period of three years following the date the person became an interested stockholder, unless certain criteria are met. Generally, a “business combinaton” includes a merger, asset or stock sale, or other transacton resultng in a fnancial beneft to the interested stockholder. Generally, an “interested stockholder” is a person who, together with afliates and associates, owns, or is an afliate or associate of the corporaton, and within three years prior to the determinaton of interested stockholder status did own, 15% or more of a corporaton’s votng stock.</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Changes in our efectve tax rate and additonal tax liabilites and global tax developments may impact our fnancial results.</w:t>
      </w:r>
    </w:p>
    <w:p>
      <w:pPr>
        <w:spacing w:after="0" w:line="163"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51555C"/>
        </w:rPr>
        <w:t>We are subject to income taxes in the United States and various other jurisdictons. Signifcant judgment is ofen required in the determinaton of our worldwide provision for income taxes. Our efectve tax rate could be impacted by changes in our earnings and losses in countries with difering statutory tax rates, changes in operatons, changes in non-deductble expenses, changes in excess tax benefts of stock-based compensaton, changes in the valuaton of deferred tax assets and liabilites and our ability to utlize them, the applicability of withholding taxes, efects from acquisitons, and changes in accountng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215265</wp:posOffset>
            </wp:positionV>
            <wp:extent cx="7289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29</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principles and tax laws. Any changes, ambiguity or uncertainty in taxing jurisdictons’ administratve interpretatons, decisions, policies and positons could also materially impact our income tax liabilites.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may also be subject to additonal tax liabilites and penaltes due to changes in non-income-based taxes resultng from changes in federal, state, local or internatonal tax laws, changes in taxing jurisdictons’ administratve interpretatons, decisions, policies and positons, results of tax examinatons, setlements or judicial decisions, changes in accountng principles, or changes to our business operatons, including as a result of acquisitons. For example, the U.S. Infaton Reducton Act of 2022 created an excise tax of 1% on the value of any stock repurchased by us afer December 31, 2022. We could be subject to this excise tax, but the amount will vary depending on various factors, including the amount and frequency of any stock repurchases and any permited reductons or exceptons to the amount subject to the tax. Any resultng increase in our tax obligaton or cash taxes paid could adversely afect our fnancial positon and cash fows.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also subject to tax examinatons or engaged in alternatve resolutons in multple jurisdictons. While we regularly evaluate new informaton that may change our judgment resultng in recogniton, derecogniton or changes in measurement of a tax positon taken, there can be no assurance that the fnal determinaton of any examinatons will not have an adverse efect on our operatng results or fnancial positon.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we utlize our tax credits and net operatng loss carryforwards, we may be unable to mitgate our tax obligatons to the same extent as in prior years, which could have a material impact to our future cash fows. In additon, changes to our operatng structure, including changes related to acquisitons, may result in cash tax obligatons.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Global tax developments applicable to multnatonal businesses may have a material impact to our business, cash fow from operatng actvites, or fnancial results. Such developments, for example, may include certain United States’ proposals as well as the Organizaton for Economic Co-operaton and Development’s, the European Commission’s and certain major jurisdictons’ heightened interest in and taxaton of companies partcipatng in the digital economy.</w:t>
      </w:r>
    </w:p>
    <w:p>
      <w:pPr>
        <w:spacing w:after="0" w:line="25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1B. UNRESOLVED STAFF COMMENTS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None.</w:t>
      </w:r>
    </w:p>
    <w:p>
      <w:pPr>
        <w:spacing w:after="0" w:line="25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1C. CYBERSECURITY</w:t>
      </w:r>
    </w:p>
    <w:p>
      <w:pPr>
        <w:spacing w:after="0" w:line="19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Risk Management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Because technology, data and informaton security is a top priority at Blackbaud, we maintain and contnuously assess and strengthen our cybersecurity program. Comprehensive cybersecurity risk management, including identfcaton, analysis and response to risks afectng our business and its customers, provides the foundaton for our program.</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We utlize a four-prong strategy for assessing, identfying and managing material risks from cybersecurity threats:</w:t>
      </w:r>
    </w:p>
    <w:p>
      <w:pPr>
        <w:spacing w:after="0" w:line="158" w:lineRule="exact"/>
        <w:rPr>
          <w:sz w:val="20"/>
          <w:szCs w:val="20"/>
          <w:color w:val="auto"/>
        </w:rPr>
      </w:pPr>
    </w:p>
    <w:p>
      <w:pPr>
        <w:ind w:left="640" w:hanging="308"/>
        <w:spacing w:after="0"/>
        <w:tabs>
          <w:tab w:leader="none" w:pos="640" w:val="left"/>
        </w:tabs>
        <w:numPr>
          <w:ilvl w:val="0"/>
          <w:numId w:val="16"/>
        </w:numPr>
        <w:rPr>
          <w:rFonts w:ascii="Calibri" w:cs="Calibri" w:eastAsia="Calibri" w:hAnsi="Calibri"/>
          <w:sz w:val="18"/>
          <w:szCs w:val="18"/>
          <w:b w:val="1"/>
          <w:bCs w:val="1"/>
          <w:color w:val="51555C"/>
        </w:rPr>
      </w:pPr>
      <w:r>
        <w:rPr>
          <w:rFonts w:ascii="Calibri" w:cs="Calibri" w:eastAsia="Calibri" w:hAnsi="Calibri"/>
          <w:sz w:val="18"/>
          <w:szCs w:val="18"/>
          <w:b w:val="1"/>
          <w:bCs w:val="1"/>
          <w:i w:val="1"/>
          <w:iCs w:val="1"/>
          <w:color w:val="51555C"/>
        </w:rPr>
        <w:t xml:space="preserve">Operatonal security: </w:t>
      </w:r>
      <w:r>
        <w:rPr>
          <w:rFonts w:ascii="Calibri" w:cs="Calibri" w:eastAsia="Calibri" w:hAnsi="Calibri"/>
          <w:sz w:val="18"/>
          <w:szCs w:val="18"/>
          <w:color w:val="51555C"/>
        </w:rPr>
        <w:t>We leverage the industry standard CIA Triad Model in conjuncton with comprehensive industry control frameworks,</w:t>
      </w:r>
    </w:p>
    <w:p>
      <w:pPr>
        <w:spacing w:after="0" w:line="1" w:lineRule="exact"/>
        <w:rPr>
          <w:rFonts w:ascii="Calibri" w:cs="Calibri" w:eastAsia="Calibri" w:hAnsi="Calibri"/>
          <w:sz w:val="18"/>
          <w:szCs w:val="18"/>
          <w:b w:val="1"/>
          <w:bCs w:val="1"/>
          <w:color w:val="51555C"/>
        </w:rPr>
      </w:pPr>
    </w:p>
    <w:p>
      <w:pPr>
        <w:jc w:val="both"/>
        <w:ind w:left="660"/>
        <w:spacing w:after="0" w:line="235" w:lineRule="auto"/>
        <w:rPr>
          <w:rFonts w:ascii="Calibri" w:cs="Calibri" w:eastAsia="Calibri" w:hAnsi="Calibri"/>
          <w:sz w:val="18"/>
          <w:szCs w:val="18"/>
          <w:b w:val="1"/>
          <w:bCs w:val="1"/>
          <w:color w:val="51555C"/>
        </w:rPr>
      </w:pPr>
      <w:r>
        <w:rPr>
          <w:rFonts w:ascii="Calibri" w:cs="Calibri" w:eastAsia="Calibri" w:hAnsi="Calibri"/>
          <w:sz w:val="18"/>
          <w:szCs w:val="18"/>
          <w:color w:val="51555C"/>
        </w:rPr>
        <w:t>compliance regulatons, privacy requirements and best practces, including: the Natonal Insttute of Standards and Technology ("NIST") Cybersecurity Framework, PCI DSS, System and Organizaton Controls ("SOC") 1, SOC 2, GDPR, HIPAA, the Trans-Atlantc Data Privacy Framework and Cloud Security Alliance.</w:t>
      </w:r>
    </w:p>
    <w:p>
      <w:pPr>
        <w:spacing w:after="0" w:line="159" w:lineRule="exact"/>
        <w:rPr>
          <w:rFonts w:ascii="Calibri" w:cs="Calibri" w:eastAsia="Calibri" w:hAnsi="Calibri"/>
          <w:sz w:val="18"/>
          <w:szCs w:val="18"/>
          <w:b w:val="1"/>
          <w:bCs w:val="1"/>
          <w:color w:val="51555C"/>
        </w:rPr>
      </w:pPr>
    </w:p>
    <w:p>
      <w:pPr>
        <w:ind w:left="640" w:hanging="308"/>
        <w:spacing w:after="0"/>
        <w:tabs>
          <w:tab w:leader="none" w:pos="640" w:val="left"/>
        </w:tabs>
        <w:numPr>
          <w:ilvl w:val="0"/>
          <w:numId w:val="16"/>
        </w:numPr>
        <w:rPr>
          <w:rFonts w:ascii="Calibri" w:cs="Calibri" w:eastAsia="Calibri" w:hAnsi="Calibri"/>
          <w:sz w:val="18"/>
          <w:szCs w:val="18"/>
          <w:b w:val="1"/>
          <w:bCs w:val="1"/>
          <w:color w:val="51555C"/>
        </w:rPr>
      </w:pPr>
      <w:r>
        <w:rPr>
          <w:rFonts w:ascii="Calibri" w:cs="Calibri" w:eastAsia="Calibri" w:hAnsi="Calibri"/>
          <w:sz w:val="18"/>
          <w:szCs w:val="18"/>
          <w:b w:val="1"/>
          <w:bCs w:val="1"/>
          <w:i w:val="1"/>
          <w:iCs w:val="1"/>
          <w:color w:val="51555C"/>
        </w:rPr>
        <w:t xml:space="preserve">Product security: </w:t>
      </w:r>
      <w:r>
        <w:rPr>
          <w:rFonts w:ascii="Calibri" w:cs="Calibri" w:eastAsia="Calibri" w:hAnsi="Calibri"/>
          <w:sz w:val="18"/>
          <w:szCs w:val="18"/>
          <w:color w:val="51555C"/>
        </w:rPr>
        <w:t>Our development teams take part in regular training and use industry best practces to build security into our solutons.</w:t>
      </w:r>
    </w:p>
    <w:p>
      <w:pPr>
        <w:spacing w:after="0" w:line="163" w:lineRule="exact"/>
        <w:rPr>
          <w:rFonts w:ascii="Calibri" w:cs="Calibri" w:eastAsia="Calibri" w:hAnsi="Calibri"/>
          <w:sz w:val="18"/>
          <w:szCs w:val="18"/>
          <w:b w:val="1"/>
          <w:bCs w:val="1"/>
          <w:color w:val="51555C"/>
        </w:rPr>
      </w:pPr>
    </w:p>
    <w:p>
      <w:pPr>
        <w:ind w:left="660" w:hanging="328"/>
        <w:spacing w:after="0" w:line="235" w:lineRule="auto"/>
        <w:tabs>
          <w:tab w:leader="none" w:pos="647" w:val="left"/>
        </w:tabs>
        <w:numPr>
          <w:ilvl w:val="0"/>
          <w:numId w:val="16"/>
        </w:numPr>
        <w:rPr>
          <w:rFonts w:ascii="Calibri" w:cs="Calibri" w:eastAsia="Calibri" w:hAnsi="Calibri"/>
          <w:sz w:val="18"/>
          <w:szCs w:val="18"/>
          <w:b w:val="1"/>
          <w:bCs w:val="1"/>
          <w:color w:val="51555C"/>
        </w:rPr>
      </w:pPr>
      <w:r>
        <w:rPr>
          <w:rFonts w:ascii="Calibri" w:cs="Calibri" w:eastAsia="Calibri" w:hAnsi="Calibri"/>
          <w:sz w:val="18"/>
          <w:szCs w:val="18"/>
          <w:b w:val="1"/>
          <w:bCs w:val="1"/>
          <w:i w:val="1"/>
          <w:iCs w:val="1"/>
          <w:color w:val="51555C"/>
        </w:rPr>
        <w:t xml:space="preserve">Incident response: </w:t>
      </w:r>
      <w:r>
        <w:rPr>
          <w:rFonts w:ascii="Calibri" w:cs="Calibri" w:eastAsia="Calibri" w:hAnsi="Calibri"/>
          <w:sz w:val="18"/>
          <w:szCs w:val="18"/>
          <w:color w:val="51555C"/>
        </w:rPr>
        <w:t>We monitor the threat landscape 24/7 in coordinaton with a third-party frm, routnely test our incident response capabilites</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and preparedness and maintain proactve relatonships with law enforcement.</w:t>
      </w:r>
    </w:p>
    <w:p>
      <w:pPr>
        <w:spacing w:after="0" w:line="163" w:lineRule="exact"/>
        <w:rPr>
          <w:rFonts w:ascii="Calibri" w:cs="Calibri" w:eastAsia="Calibri" w:hAnsi="Calibri"/>
          <w:sz w:val="18"/>
          <w:szCs w:val="18"/>
          <w:b w:val="1"/>
          <w:bCs w:val="1"/>
          <w:color w:val="51555C"/>
        </w:rPr>
      </w:pPr>
    </w:p>
    <w:p>
      <w:pPr>
        <w:ind w:left="660" w:hanging="328"/>
        <w:spacing w:after="0" w:line="235" w:lineRule="auto"/>
        <w:tabs>
          <w:tab w:leader="none" w:pos="647" w:val="left"/>
        </w:tabs>
        <w:numPr>
          <w:ilvl w:val="0"/>
          <w:numId w:val="16"/>
        </w:numPr>
        <w:rPr>
          <w:rFonts w:ascii="Calibri" w:cs="Calibri" w:eastAsia="Calibri" w:hAnsi="Calibri"/>
          <w:sz w:val="18"/>
          <w:szCs w:val="18"/>
          <w:b w:val="1"/>
          <w:bCs w:val="1"/>
          <w:color w:val="51555C"/>
        </w:rPr>
      </w:pPr>
      <w:r>
        <w:rPr>
          <w:rFonts w:ascii="Calibri" w:cs="Calibri" w:eastAsia="Calibri" w:hAnsi="Calibri"/>
          <w:sz w:val="18"/>
          <w:szCs w:val="18"/>
          <w:b w:val="1"/>
          <w:bCs w:val="1"/>
          <w:i w:val="1"/>
          <w:iCs w:val="1"/>
          <w:color w:val="51555C"/>
        </w:rPr>
        <w:t xml:space="preserve">Ongoing landscape analysis: </w:t>
      </w:r>
      <w:r>
        <w:rPr>
          <w:rFonts w:ascii="Calibri" w:cs="Calibri" w:eastAsia="Calibri" w:hAnsi="Calibri"/>
          <w:sz w:val="18"/>
          <w:szCs w:val="18"/>
          <w:color w:val="51555C"/>
        </w:rPr>
        <w:t>We contnually evaluate upcoming and changing data privacy regulatons and provide thought leadership for our</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customers on the operatonal impacts of these regulatons and compliance requirements.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believe that informaton and technology security is a shared responsibility and, therefore, incorporate data and privacy protecton educaton into the customer experience through ongoing resources such as best practces content, one-on-one consultatons with customer success managers and bbcon® sessions. We also partcipate in global communites and</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30</w:t>
      </w:r>
      <w:r>
        <w:rPr>
          <w:sz w:val="20"/>
          <w:szCs w:val="20"/>
          <w:color w:val="auto"/>
        </w:rPr>
        <w:tab/>
      </w:r>
      <w:r>
        <w:rPr>
          <w:sz w:val="1"/>
          <w:szCs w:val="1"/>
          <w:color w:val="auto"/>
        </w:rPr>
        <w:drawing>
          <wp:inline distT="0" distB="0" distL="0" distR="0">
            <wp:extent cx="728345" cy="18859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conference platorms to share informaton and present on best practces to improve the industry’s security awareness posture. In additon, Blackbaud employees are all engaged in on-going security and privacy awareness training campaigns to ensure they are empowered to protect both Blackbaud’s and our customers’ data.</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 also maintains a defned program and dedicated team that provides security oversight of its third-party service providers. This program assesses and manages risk at the onboarding phase of engagement with third-party vendors and partners as well as oversight throughout the lifecycle of the vendor relatonship.</w:t>
      </w:r>
    </w:p>
    <w:p>
      <w:pPr>
        <w:spacing w:after="0" w:line="165"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51555C"/>
        </w:rPr>
        <w:t>We regularly engage outside consultants and experts to assist us regarding our cybersecurity program. Engagements include an annual NIST Cybersecurity Framework assessment to ensure a reasonable cybersecurity program and retained leading external cybersecurity Incident Response (IR) experts.</w:t>
      </w:r>
    </w:p>
    <w:p>
      <w:pPr>
        <w:spacing w:after="0" w:line="1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Consistent with our prioritzaton of informaton and technology protecton, cybersecurity risk management has been and remains a key aspect of our overall business strategy, fnancial planning and capital allocaton and a point of ongoing emphasis at all levels of our Company.</w:t>
      </w:r>
    </w:p>
    <w:p>
      <w:pPr>
        <w:spacing w:after="0" w:line="16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In additon, we contnuously learn from and leverage experience gained from previous cybersecurity incidents that we, like many other companies, have experienced. As previously disclosed, we have been and remain subject to risks and uncertaintes as a result of a ransomware atack against us in May 2020 in which a cybercriminal removed a copy of a subset of data from our self-hosted environment. As a result of the Security Incident, we are currently subject to certain legal proceedings, claims and investgatons and could be the subject of additonal legal proceedings, claims, inquiries and investgatons in the future that might result in adverse judgments, setlements, fnes, penaltes or other resoluton. See Note 11 to the consolidated audited fnancial statements contained in this Annual Report on Form 10-K for additonal informaton regarding the Security Incident and its past and potental impact on the Company.</w:t>
      </w:r>
    </w:p>
    <w:p>
      <w:pPr>
        <w:spacing w:after="0" w:line="15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Notwithstanding our strong commitment to cybersecurity, we may not be successful in preventng or mitgatng a cybersecurity incident that could have a material adverse efect on us. See Item 1A. "Risk Factors" for a discussion of our cybersecurity risks.</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mult-level cybersecurity governance and risk management structure begins with our Operatonal Risk Compliance and Security (“ORCAS”) Commitee consistng of cross-functonal management representatves throughout our Company. The ORCAS Commitee receives detailed cybersecurity informaton from key security personnel and reports at least quarterly up through our Risk Steering Commitee, which is made up of executves and senior management from various Blackbaud departments: Chief Executve Ofcer, Chief Operatng Ofcer, Chief Financial Ofcer, Chief Technology Ofcer, General Counsel, Chief Privacy Ofcer and Chief Informaton Security Ofcer ("CISO"), who has extensive informaton technology and program management experience. Our CISO has served in various roles of increasing responsibility in informaton technology and informaton security for more than 25 years, including serving in various cybersecurity leadership roles within public and private companies. He holds two undergraduate degrees—one in business administraton and the other in computer informaton systems, a graduate degree in informaton systems and maintains two cybersecurity industry recognized certfcatons: Certfed Informaton Systems Security Professional (CISSP) and Certfed Cloud Security Professional (CCSP), both from the Internatonal Informaton System Security Certfcaton Consortum. Cybersecurity leaders reportng to our CISO also have signifcant informaton technology and informaton security experience and industry recognized certfcatons.</w:t>
      </w:r>
    </w:p>
    <w:p>
      <w:pPr>
        <w:spacing w:after="0" w:line="17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Risk Steering Commitee reports to the Risk Oversight Commitee of our Board of Directors at the regular quarterly meetngs, or more frequently as needed. The Risk Oversight Commitee's dutes include, among other things, oversight of risks related to informaton technology security. The Risk Oversight Commitee communicates as appropriate with the full Board of Directors, which is ultmately responsible for cybersecurity risk oversight.</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Additonally, our cybersecurity Incident Response plan tmely informs our Cybersecurity Incident Subcommitee on actve cybersecurity incidents that are potentally material. The Cybersecurity Subcommitee determines cybersecurity materiality and is made up of our General Counsel, Chief Informaton Security Ofcer, Chief Accountng Ofcer and Director of SEC Reportng. Our Cybersecurity Incident Subcommitee is part of our Disclosure Commitee, which is appointed by Chief Executve Ofcer and Chief Financial Ofcer to assist our executves in their responsibility for oversight of the accuracy and tmeliness of the disclosures made by Blackbaud.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222885</wp:posOffset>
            </wp:positionV>
            <wp:extent cx="7289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2. PROPERTIES</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own our LEED Gold certfed global headquarters facility in Charleston, South Carolina, which consists of approximately 172,000 square feet. We believe that it is in good operatng conditon and adequately serves our current business operatons.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December 2021, we acquired EVERFI and assumed a lease for ofce space in Washington, D.C. and an ofce in London, U.K. In February 2023, we closed our Washington, DC ofce locaton to align with our remote-frst workforce strategy and have since that tme subleased a porton of the space. We contnue to pursue strategic alternatves for our Washington, DC ofce space, including additonal subleases. We have the intent and ability to sublease this ofce space.</w:t>
      </w:r>
    </w:p>
    <w:p>
      <w:pPr>
        <w:spacing w:after="0" w:line="25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3. LEGAL PROCEEDINGS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For a discussion of our legal proceedings, see Note 11 to our consolidated fnancial statements in this report.</w:t>
      </w:r>
    </w:p>
    <w:p>
      <w:pPr>
        <w:spacing w:after="0" w:line="25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4. MINE SAFETY DISCLOSURES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Not applicable.</w:t>
      </w:r>
    </w:p>
    <w:p>
      <w:pPr>
        <w:spacing w:after="0" w:line="310"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32</w:t>
      </w:r>
      <w:r>
        <w:rPr>
          <w:sz w:val="20"/>
          <w:szCs w:val="20"/>
          <w:color w:val="auto"/>
        </w:rPr>
        <w:tab/>
      </w:r>
      <w:r>
        <w:rPr>
          <w:sz w:val="1"/>
          <w:szCs w:val="1"/>
          <w:color w:val="auto"/>
        </w:rPr>
        <w:drawing>
          <wp:inline distT="0" distB="0" distL="0" distR="0">
            <wp:extent cx="728345" cy="18859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3"/>
          <w:szCs w:val="43"/>
          <w:b w:val="1"/>
          <w:bCs w:val="1"/>
          <w:color w:val="50535A"/>
        </w:rPr>
        <w:t xml:space="preserve"> PART II.</w:t>
      </w:r>
    </w:p>
    <w:p>
      <w:pPr>
        <w:spacing w:after="0" w:line="200" w:lineRule="exact"/>
        <w:rPr>
          <w:sz w:val="20"/>
          <w:szCs w:val="20"/>
          <w:color w:val="auto"/>
        </w:rPr>
      </w:pPr>
    </w:p>
    <w:p>
      <w:pPr>
        <w:spacing w:after="0" w:line="203" w:lineRule="exact"/>
        <w:rPr>
          <w:sz w:val="20"/>
          <w:szCs w:val="20"/>
          <w:color w:val="auto"/>
        </w:rPr>
      </w:pPr>
    </w:p>
    <w:p>
      <w:pPr>
        <w:ind w:right="500"/>
        <w:spacing w:after="0" w:line="231" w:lineRule="auto"/>
        <w:rPr>
          <w:sz w:val="20"/>
          <w:szCs w:val="20"/>
          <w:color w:val="auto"/>
        </w:rPr>
      </w:pPr>
      <w:r>
        <w:rPr>
          <w:rFonts w:ascii="Calibri" w:cs="Calibri" w:eastAsia="Calibri" w:hAnsi="Calibri"/>
          <w:sz w:val="29"/>
          <w:szCs w:val="29"/>
          <w:b w:val="1"/>
          <w:bCs w:val="1"/>
          <w:color w:val="004054"/>
        </w:rPr>
        <w:t>ITEM 5. MARKET FOR REGISTRANT'S COMMON EQUITY, RELATED STOCKHOLDER MATTERS AND ISSUER PURCHASES OF EQUITY SECURITIES</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common stock is trading on the Nasdaq Stock Market LLC (“Nasdaq”) under the symbol “BLKB.” According to the records of our transfer agent, as of February 14, 2024, there were approximately 109 stockholders of record of our common stock. Because many of our shares of common stock are held by brokers and other insttutons on behalf of stockholders, this number is not representatve of the total number of benefcial owners of our stock. On February 14, 2024, the closing price of our common stock was $71.61.</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following performance graph shall not be deemed to be “solicitng material” or “fled” or incorporated by reference in future flings with the SEC, or subject to the liabilites of Secton 18 of the Exchange Act except as shall be expressly set forth by specifc reference in such fling. The performance graph compares the performance of our common stock to the Nasdaq Composite Index and the Nasdaq Computer Index. The graph covers the most recent fve-year period ended December 31, 2023. The graph assumes that the value of the investment in our common stock and each index was $100.00 at December 31, 2018, and that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120015</wp:posOffset>
            </wp:positionV>
            <wp:extent cx="5863590" cy="30003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6359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December 31,</w:t>
            </w:r>
          </w:p>
        </w:tc>
        <w:tc>
          <w:tcPr>
            <w:tcW w:w="1148" w:type="dxa"/>
            <w:vAlign w:val="bottom"/>
            <w:shd w:val="clear" w:color="auto" w:fill="004054"/>
          </w:tcPr>
          <w:p>
            <w:pPr>
              <w:jc w:val="right"/>
              <w:ind w:right="36"/>
              <w:spacing w:after="0"/>
              <w:rPr>
                <w:sz w:val="20"/>
                <w:szCs w:val="20"/>
                <w:color w:val="auto"/>
              </w:rPr>
            </w:pPr>
            <w:r>
              <w:rPr>
                <w:rFonts w:ascii="Calibri" w:cs="Calibri" w:eastAsia="Calibri" w:hAnsi="Calibri"/>
                <w:sz w:val="14"/>
                <w:szCs w:val="14"/>
                <w:b w:val="1"/>
                <w:bCs w:val="1"/>
                <w:color w:val="FFFFFF"/>
              </w:rPr>
              <w:t>2018</w:t>
            </w:r>
          </w:p>
        </w:tc>
        <w:tc>
          <w:tcPr>
            <w:tcW w:w="1178" w:type="dxa"/>
            <w:vAlign w:val="bottom"/>
            <w:shd w:val="clear" w:color="auto" w:fill="004054"/>
          </w:tcPr>
          <w:p>
            <w:pPr>
              <w:jc w:val="right"/>
              <w:ind w:right="33"/>
              <w:spacing w:after="0"/>
              <w:rPr>
                <w:sz w:val="20"/>
                <w:szCs w:val="20"/>
                <w:color w:val="auto"/>
              </w:rPr>
            </w:pPr>
            <w:r>
              <w:rPr>
                <w:rFonts w:ascii="Calibri" w:cs="Calibri" w:eastAsia="Calibri" w:hAnsi="Calibri"/>
                <w:sz w:val="14"/>
                <w:szCs w:val="14"/>
                <w:b w:val="1"/>
                <w:bCs w:val="1"/>
                <w:color w:val="FFFFFF"/>
              </w:rPr>
              <w:t>2019</w:t>
            </w:r>
          </w:p>
        </w:tc>
        <w:tc>
          <w:tcPr>
            <w:tcW w:w="1160" w:type="dxa"/>
            <w:vAlign w:val="bottom"/>
            <w:shd w:val="clear" w:color="auto" w:fill="004054"/>
          </w:tcPr>
          <w:p>
            <w:pPr>
              <w:jc w:val="right"/>
              <w:ind w:right="33"/>
              <w:spacing w:after="0"/>
              <w:rPr>
                <w:sz w:val="20"/>
                <w:szCs w:val="20"/>
                <w:color w:val="auto"/>
              </w:rPr>
            </w:pPr>
            <w:r>
              <w:rPr>
                <w:rFonts w:ascii="Calibri" w:cs="Calibri" w:eastAsia="Calibri" w:hAnsi="Calibri"/>
                <w:sz w:val="14"/>
                <w:szCs w:val="14"/>
                <w:b w:val="1"/>
                <w:bCs w:val="1"/>
                <w:color w:val="FFFFFF"/>
              </w:rPr>
              <w:t>2020</w:t>
            </w:r>
          </w:p>
        </w:tc>
        <w:tc>
          <w:tcPr>
            <w:tcW w:w="1180" w:type="dxa"/>
            <w:vAlign w:val="bottom"/>
            <w:shd w:val="clear" w:color="auto" w:fill="004054"/>
          </w:tcPr>
          <w:p>
            <w:pPr>
              <w:jc w:val="right"/>
              <w:ind w:right="53"/>
              <w:spacing w:after="0"/>
              <w:rPr>
                <w:sz w:val="20"/>
                <w:szCs w:val="20"/>
                <w:color w:val="auto"/>
              </w:rPr>
            </w:pPr>
            <w:r>
              <w:rPr>
                <w:rFonts w:ascii="Calibri" w:cs="Calibri" w:eastAsia="Calibri" w:hAnsi="Calibri"/>
                <w:sz w:val="14"/>
                <w:szCs w:val="14"/>
                <w:b w:val="1"/>
                <w:bCs w:val="1"/>
                <w:color w:val="FFFFFF"/>
              </w:rPr>
              <w:t>2021</w:t>
            </w:r>
          </w:p>
        </w:tc>
        <w:tc>
          <w:tcPr>
            <w:tcW w:w="1168" w:type="dxa"/>
            <w:vAlign w:val="bottom"/>
            <w:shd w:val="clear" w:color="auto" w:fill="004054"/>
          </w:tcPr>
          <w:p>
            <w:pPr>
              <w:jc w:val="right"/>
              <w:ind w:right="41"/>
              <w:spacing w:after="0"/>
              <w:rPr>
                <w:sz w:val="20"/>
                <w:szCs w:val="20"/>
                <w:color w:val="auto"/>
              </w:rPr>
            </w:pPr>
            <w:r>
              <w:rPr>
                <w:rFonts w:ascii="Calibri" w:cs="Calibri" w:eastAsia="Calibri" w:hAnsi="Calibri"/>
                <w:sz w:val="14"/>
                <w:szCs w:val="14"/>
                <w:b w:val="1"/>
                <w:bCs w:val="1"/>
                <w:color w:val="FFFFFF"/>
              </w:rPr>
              <w:t>2022</w:t>
            </w:r>
          </w:p>
        </w:tc>
        <w:tc>
          <w:tcPr>
            <w:tcW w:w="1108"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r>
      <w:tr>
        <w:trPr>
          <w:trHeight w:val="67"/>
        </w:trPr>
        <w:tc>
          <w:tcPr>
            <w:tcW w:w="4240" w:type="dxa"/>
            <w:vAlign w:val="bottom"/>
            <w:shd w:val="clear" w:color="auto" w:fill="004054"/>
          </w:tcPr>
          <w:p>
            <w:pPr>
              <w:spacing w:after="0"/>
              <w:rPr>
                <w:sz w:val="5"/>
                <w:szCs w:val="5"/>
                <w:color w:val="auto"/>
              </w:rPr>
            </w:pPr>
          </w:p>
        </w:tc>
        <w:tc>
          <w:tcPr>
            <w:tcW w:w="1148" w:type="dxa"/>
            <w:vAlign w:val="bottom"/>
            <w:shd w:val="clear" w:color="auto" w:fill="004054"/>
          </w:tcPr>
          <w:p>
            <w:pPr>
              <w:spacing w:after="0"/>
              <w:rPr>
                <w:sz w:val="5"/>
                <w:szCs w:val="5"/>
                <w:color w:val="auto"/>
              </w:rPr>
            </w:pPr>
          </w:p>
        </w:tc>
        <w:tc>
          <w:tcPr>
            <w:tcW w:w="1178" w:type="dxa"/>
            <w:vAlign w:val="bottom"/>
            <w:shd w:val="clear" w:color="auto" w:fill="004054"/>
          </w:tcPr>
          <w:p>
            <w:pPr>
              <w:spacing w:after="0"/>
              <w:rPr>
                <w:sz w:val="5"/>
                <w:szCs w:val="5"/>
                <w:color w:val="auto"/>
              </w:rPr>
            </w:pPr>
          </w:p>
        </w:tc>
        <w:tc>
          <w:tcPr>
            <w:tcW w:w="1160" w:type="dxa"/>
            <w:vAlign w:val="bottom"/>
            <w:shd w:val="clear" w:color="auto" w:fill="004054"/>
          </w:tcPr>
          <w:p>
            <w:pPr>
              <w:spacing w:after="0"/>
              <w:rPr>
                <w:sz w:val="5"/>
                <w:szCs w:val="5"/>
                <w:color w:val="auto"/>
              </w:rPr>
            </w:pPr>
          </w:p>
        </w:tc>
        <w:tc>
          <w:tcPr>
            <w:tcW w:w="1180" w:type="dxa"/>
            <w:vAlign w:val="bottom"/>
            <w:shd w:val="clear" w:color="auto" w:fill="004054"/>
          </w:tcPr>
          <w:p>
            <w:pPr>
              <w:spacing w:after="0"/>
              <w:rPr>
                <w:sz w:val="5"/>
                <w:szCs w:val="5"/>
                <w:color w:val="auto"/>
              </w:rPr>
            </w:pPr>
          </w:p>
        </w:tc>
        <w:tc>
          <w:tcPr>
            <w:tcW w:w="1168" w:type="dxa"/>
            <w:vAlign w:val="bottom"/>
            <w:shd w:val="clear" w:color="auto" w:fill="004054"/>
          </w:tcPr>
          <w:p>
            <w:pPr>
              <w:spacing w:after="0"/>
              <w:rPr>
                <w:sz w:val="5"/>
                <w:szCs w:val="5"/>
                <w:color w:val="auto"/>
              </w:rPr>
            </w:pPr>
          </w:p>
        </w:tc>
        <w:tc>
          <w:tcPr>
            <w:tcW w:w="1108" w:type="dxa"/>
            <w:vAlign w:val="bottom"/>
            <w:shd w:val="clear" w:color="auto" w:fill="004054"/>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-8255</wp:posOffset>
            </wp:positionV>
            <wp:extent cx="7089140"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89140" cy="1803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9"/>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Calibri" w:cs="Calibri" w:eastAsia="Calibri" w:hAnsi="Calibri"/>
                <w:sz w:val="18"/>
                <w:szCs w:val="18"/>
                <w:color w:val="51555C"/>
              </w:rPr>
              <w:t>Blackbaud, Inc.</w:t>
            </w:r>
          </w:p>
        </w:tc>
        <w:tc>
          <w:tcPr>
            <w:tcW w:w="2340" w:type="dxa"/>
            <w:vAlign w:val="bottom"/>
          </w:tcPr>
          <w:p>
            <w:pPr>
              <w:jc w:val="right"/>
              <w:ind w:right="210"/>
              <w:spacing w:after="0"/>
              <w:rPr>
                <w:sz w:val="20"/>
                <w:szCs w:val="20"/>
                <w:color w:val="auto"/>
              </w:rPr>
            </w:pPr>
            <w:r>
              <w:rPr>
                <w:rFonts w:ascii="Calibri" w:cs="Calibri" w:eastAsia="Calibri" w:hAnsi="Calibri"/>
                <w:sz w:val="18"/>
                <w:szCs w:val="18"/>
                <w:color w:val="51555C"/>
              </w:rPr>
              <w:t>$100.00</w:t>
            </w:r>
          </w:p>
        </w:tc>
        <w:tc>
          <w:tcPr>
            <w:tcW w:w="1200" w:type="dxa"/>
            <w:vAlign w:val="bottom"/>
          </w:tcPr>
          <w:p>
            <w:pPr>
              <w:jc w:val="right"/>
              <w:ind w:right="230"/>
              <w:spacing w:after="0"/>
              <w:rPr>
                <w:sz w:val="20"/>
                <w:szCs w:val="20"/>
                <w:color w:val="auto"/>
              </w:rPr>
            </w:pPr>
            <w:r>
              <w:rPr>
                <w:rFonts w:ascii="Calibri" w:cs="Calibri" w:eastAsia="Calibri" w:hAnsi="Calibri"/>
                <w:sz w:val="18"/>
                <w:szCs w:val="18"/>
                <w:color w:val="51555C"/>
              </w:rPr>
              <w:t>$127.30</w:t>
            </w:r>
          </w:p>
        </w:tc>
        <w:tc>
          <w:tcPr>
            <w:tcW w:w="1140" w:type="dxa"/>
            <w:vAlign w:val="bottom"/>
          </w:tcPr>
          <w:p>
            <w:pPr>
              <w:jc w:val="right"/>
              <w:ind w:right="210"/>
              <w:spacing w:after="0"/>
              <w:rPr>
                <w:sz w:val="20"/>
                <w:szCs w:val="20"/>
                <w:color w:val="auto"/>
              </w:rPr>
            </w:pPr>
            <w:r>
              <w:rPr>
                <w:rFonts w:ascii="Calibri" w:cs="Calibri" w:eastAsia="Calibri" w:hAnsi="Calibri"/>
                <w:sz w:val="18"/>
                <w:szCs w:val="18"/>
                <w:color w:val="51555C"/>
              </w:rPr>
              <w:t>$92.21</w:t>
            </w:r>
          </w:p>
        </w:tc>
        <w:tc>
          <w:tcPr>
            <w:tcW w:w="1540" w:type="dxa"/>
            <w:vAlign w:val="bottom"/>
          </w:tcPr>
          <w:p>
            <w:pPr>
              <w:jc w:val="right"/>
              <w:ind w:right="595"/>
              <w:spacing w:after="0"/>
              <w:rPr>
                <w:sz w:val="20"/>
                <w:szCs w:val="20"/>
                <w:color w:val="auto"/>
              </w:rPr>
            </w:pPr>
            <w:r>
              <w:rPr>
                <w:rFonts w:ascii="Calibri" w:cs="Calibri" w:eastAsia="Calibri" w:hAnsi="Calibri"/>
                <w:sz w:val="18"/>
                <w:szCs w:val="18"/>
                <w:color w:val="51555C"/>
              </w:rPr>
              <w:t>$126.53</w:t>
            </w:r>
          </w:p>
        </w:tc>
        <w:tc>
          <w:tcPr>
            <w:tcW w:w="800" w:type="dxa"/>
            <w:vAlign w:val="bottom"/>
          </w:tcPr>
          <w:p>
            <w:pPr>
              <w:jc w:val="right"/>
              <w:ind w:right="210"/>
              <w:spacing w:after="0"/>
              <w:rPr>
                <w:sz w:val="20"/>
                <w:szCs w:val="20"/>
                <w:color w:val="auto"/>
              </w:rPr>
            </w:pPr>
            <w:r>
              <w:rPr>
                <w:rFonts w:ascii="Calibri" w:cs="Calibri" w:eastAsia="Calibri" w:hAnsi="Calibri"/>
                <w:sz w:val="18"/>
                <w:szCs w:val="18"/>
                <w:color w:val="51555C"/>
                <w:w w:val="95"/>
              </w:rPr>
              <w:t>$94.30</w:t>
            </w: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$138.90</w:t>
            </w:r>
          </w:p>
        </w:tc>
        <w:tc>
          <w:tcPr>
            <w:tcW w:w="20" w:type="dxa"/>
            <w:vAlign w:val="bottom"/>
          </w:tcPr>
          <w:p>
            <w:pPr>
              <w:spacing w:after="0"/>
              <w:rPr>
                <w:sz w:val="19"/>
                <w:szCs w:val="19"/>
                <w:color w:val="auto"/>
              </w:rPr>
            </w:pPr>
          </w:p>
        </w:tc>
      </w:tr>
      <w:tr>
        <w:trPr>
          <w:trHeight w:val="270"/>
        </w:trPr>
        <w:tc>
          <w:tcPr>
            <w:tcW w:w="40" w:type="dxa"/>
            <w:vAlign w:val="bottom"/>
          </w:tcPr>
          <w:p>
            <w:pPr>
              <w:spacing w:after="0"/>
              <w:rPr>
                <w:sz w:val="23"/>
                <w:szCs w:val="23"/>
                <w:color w:val="auto"/>
              </w:rPr>
            </w:pPr>
          </w:p>
        </w:tc>
        <w:tc>
          <w:tcPr>
            <w:tcW w:w="3240" w:type="dxa"/>
            <w:vAlign w:val="bottom"/>
          </w:tcPr>
          <w:p>
            <w:pPr>
              <w:ind w:left="20"/>
              <w:spacing w:after="0"/>
              <w:rPr>
                <w:sz w:val="20"/>
                <w:szCs w:val="20"/>
                <w:color w:val="auto"/>
              </w:rPr>
            </w:pPr>
            <w:r>
              <w:rPr>
                <w:rFonts w:ascii="Calibri" w:cs="Calibri" w:eastAsia="Calibri" w:hAnsi="Calibri"/>
                <w:sz w:val="18"/>
                <w:szCs w:val="18"/>
                <w:color w:val="51555C"/>
              </w:rPr>
              <w:t>Nasdaq Composite Index</w:t>
            </w:r>
          </w:p>
        </w:tc>
        <w:tc>
          <w:tcPr>
            <w:tcW w:w="2340" w:type="dxa"/>
            <w:vAlign w:val="bottom"/>
          </w:tcPr>
          <w:p>
            <w:pPr>
              <w:jc w:val="right"/>
              <w:ind w:right="210"/>
              <w:spacing w:after="0"/>
              <w:rPr>
                <w:sz w:val="20"/>
                <w:szCs w:val="20"/>
                <w:color w:val="auto"/>
              </w:rPr>
            </w:pPr>
            <w:r>
              <w:rPr>
                <w:rFonts w:ascii="Calibri" w:cs="Calibri" w:eastAsia="Calibri" w:hAnsi="Calibri"/>
                <w:sz w:val="18"/>
                <w:szCs w:val="18"/>
                <w:color w:val="51555C"/>
              </w:rPr>
              <w:t>100.00</w:t>
            </w:r>
          </w:p>
        </w:tc>
        <w:tc>
          <w:tcPr>
            <w:tcW w:w="1200" w:type="dxa"/>
            <w:vAlign w:val="bottom"/>
          </w:tcPr>
          <w:p>
            <w:pPr>
              <w:jc w:val="right"/>
              <w:ind w:right="230"/>
              <w:spacing w:after="0"/>
              <w:rPr>
                <w:sz w:val="20"/>
                <w:szCs w:val="20"/>
                <w:color w:val="auto"/>
              </w:rPr>
            </w:pPr>
            <w:r>
              <w:rPr>
                <w:rFonts w:ascii="Calibri" w:cs="Calibri" w:eastAsia="Calibri" w:hAnsi="Calibri"/>
                <w:sz w:val="18"/>
                <w:szCs w:val="18"/>
                <w:color w:val="51555C"/>
              </w:rPr>
              <w:t>136.69</w:t>
            </w:r>
          </w:p>
        </w:tc>
        <w:tc>
          <w:tcPr>
            <w:tcW w:w="1140" w:type="dxa"/>
            <w:vAlign w:val="bottom"/>
          </w:tcPr>
          <w:p>
            <w:pPr>
              <w:jc w:val="right"/>
              <w:ind w:right="210"/>
              <w:spacing w:after="0"/>
              <w:rPr>
                <w:sz w:val="20"/>
                <w:szCs w:val="20"/>
                <w:color w:val="auto"/>
              </w:rPr>
            </w:pPr>
            <w:r>
              <w:rPr>
                <w:rFonts w:ascii="Calibri" w:cs="Calibri" w:eastAsia="Calibri" w:hAnsi="Calibri"/>
                <w:sz w:val="18"/>
                <w:szCs w:val="18"/>
                <w:color w:val="51555C"/>
              </w:rPr>
              <w:t>198.10</w:t>
            </w:r>
          </w:p>
        </w:tc>
        <w:tc>
          <w:tcPr>
            <w:tcW w:w="1540" w:type="dxa"/>
            <w:vAlign w:val="bottom"/>
          </w:tcPr>
          <w:p>
            <w:pPr>
              <w:jc w:val="right"/>
              <w:ind w:right="595"/>
              <w:spacing w:after="0"/>
              <w:rPr>
                <w:sz w:val="20"/>
                <w:szCs w:val="20"/>
                <w:color w:val="auto"/>
              </w:rPr>
            </w:pPr>
            <w:r>
              <w:rPr>
                <w:rFonts w:ascii="Calibri" w:cs="Calibri" w:eastAsia="Calibri" w:hAnsi="Calibri"/>
                <w:sz w:val="18"/>
                <w:szCs w:val="18"/>
                <w:color w:val="51555C"/>
              </w:rPr>
              <w:t>242.03</w:t>
            </w:r>
          </w:p>
        </w:tc>
        <w:tc>
          <w:tcPr>
            <w:tcW w:w="800" w:type="dxa"/>
            <w:vAlign w:val="bottom"/>
          </w:tcPr>
          <w:p>
            <w:pPr>
              <w:jc w:val="right"/>
              <w:ind w:right="210"/>
              <w:spacing w:after="0"/>
              <w:rPr>
                <w:sz w:val="20"/>
                <w:szCs w:val="20"/>
                <w:color w:val="auto"/>
              </w:rPr>
            </w:pPr>
            <w:r>
              <w:rPr>
                <w:rFonts w:ascii="Calibri" w:cs="Calibri" w:eastAsia="Calibri" w:hAnsi="Calibri"/>
                <w:sz w:val="18"/>
                <w:szCs w:val="18"/>
                <w:color w:val="51555C"/>
                <w:w w:val="95"/>
              </w:rPr>
              <w:t>163.28</w:t>
            </w:r>
          </w:p>
        </w:tc>
        <w:tc>
          <w:tcPr>
            <w:tcW w:w="920" w:type="dxa"/>
            <w:vAlign w:val="bottom"/>
          </w:tcPr>
          <w:p>
            <w:pPr>
              <w:jc w:val="right"/>
              <w:spacing w:after="0"/>
              <w:rPr>
                <w:sz w:val="20"/>
                <w:szCs w:val="20"/>
                <w:color w:val="auto"/>
              </w:rPr>
            </w:pPr>
            <w:r>
              <w:rPr>
                <w:rFonts w:ascii="Calibri" w:cs="Calibri" w:eastAsia="Calibri" w:hAnsi="Calibri"/>
                <w:sz w:val="18"/>
                <w:szCs w:val="18"/>
                <w:color w:val="51555C"/>
              </w:rPr>
              <w:t>236.17</w:t>
            </w:r>
          </w:p>
        </w:tc>
        <w:tc>
          <w:tcPr>
            <w:tcW w:w="20" w:type="dxa"/>
            <w:vAlign w:val="bottom"/>
          </w:tcPr>
          <w:p>
            <w:pPr>
              <w:spacing w:after="0"/>
              <w:rPr>
                <w:sz w:val="23"/>
                <w:szCs w:val="23"/>
                <w:color w:val="auto"/>
              </w:rPr>
            </w:pPr>
          </w:p>
        </w:tc>
      </w:tr>
      <w:tr>
        <w:trPr>
          <w:trHeight w:val="51"/>
        </w:trPr>
        <w:tc>
          <w:tcPr>
            <w:tcW w:w="4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Pr>
          <w:p>
            <w:pPr>
              <w:spacing w:after="0"/>
              <w:rPr>
                <w:sz w:val="21"/>
                <w:szCs w:val="21"/>
                <w:color w:val="auto"/>
              </w:rPr>
            </w:pPr>
          </w:p>
        </w:tc>
        <w:tc>
          <w:tcPr>
            <w:tcW w:w="3240" w:type="dxa"/>
            <w:vAlign w:val="bottom"/>
            <w:tcBorders>
              <w:bottom w:val="single" w:sz="8" w:color="F4F4F4"/>
            </w:tcBorders>
            <w:shd w:val="clear" w:color="auto" w:fill="F4F4F4"/>
          </w:tcPr>
          <w:p>
            <w:pPr>
              <w:ind w:left="20"/>
              <w:spacing w:after="0"/>
              <w:rPr>
                <w:sz w:val="20"/>
                <w:szCs w:val="20"/>
                <w:color w:val="auto"/>
              </w:rPr>
            </w:pPr>
            <w:r>
              <w:rPr>
                <w:rFonts w:ascii="Calibri" w:cs="Calibri" w:eastAsia="Calibri" w:hAnsi="Calibri"/>
                <w:sz w:val="18"/>
                <w:szCs w:val="18"/>
                <w:color w:val="51555C"/>
              </w:rPr>
              <w:t>Nasdaq Computer Index</w:t>
            </w:r>
          </w:p>
        </w:tc>
        <w:tc>
          <w:tcPr>
            <w:tcW w:w="2340" w:type="dxa"/>
            <w:vAlign w:val="bottom"/>
            <w:tcBorders>
              <w:bottom w:val="single" w:sz="8" w:color="F4F4F4"/>
            </w:tcBorders>
            <w:shd w:val="clear" w:color="auto" w:fill="F4F4F4"/>
          </w:tcPr>
          <w:p>
            <w:pPr>
              <w:jc w:val="right"/>
              <w:ind w:right="210"/>
              <w:spacing w:after="0"/>
              <w:rPr>
                <w:sz w:val="20"/>
                <w:szCs w:val="20"/>
                <w:color w:val="auto"/>
              </w:rPr>
            </w:pPr>
            <w:r>
              <w:rPr>
                <w:rFonts w:ascii="Calibri" w:cs="Calibri" w:eastAsia="Calibri" w:hAnsi="Calibri"/>
                <w:sz w:val="18"/>
                <w:szCs w:val="18"/>
                <w:color w:val="51555C"/>
              </w:rPr>
              <w:t>100.00</w:t>
            </w:r>
          </w:p>
        </w:tc>
        <w:tc>
          <w:tcPr>
            <w:tcW w:w="1200" w:type="dxa"/>
            <w:vAlign w:val="bottom"/>
            <w:tcBorders>
              <w:bottom w:val="single" w:sz="8" w:color="F4F4F4"/>
            </w:tcBorders>
            <w:shd w:val="clear" w:color="auto" w:fill="F4F4F4"/>
          </w:tcPr>
          <w:p>
            <w:pPr>
              <w:jc w:val="right"/>
              <w:ind w:right="230"/>
              <w:spacing w:after="0"/>
              <w:rPr>
                <w:sz w:val="20"/>
                <w:szCs w:val="20"/>
                <w:color w:val="auto"/>
              </w:rPr>
            </w:pPr>
            <w:r>
              <w:rPr>
                <w:rFonts w:ascii="Calibri" w:cs="Calibri" w:eastAsia="Calibri" w:hAnsi="Calibri"/>
                <w:sz w:val="18"/>
                <w:szCs w:val="18"/>
                <w:color w:val="51555C"/>
              </w:rPr>
              <w:t>148.27</w:t>
            </w:r>
          </w:p>
        </w:tc>
        <w:tc>
          <w:tcPr>
            <w:tcW w:w="1140" w:type="dxa"/>
            <w:vAlign w:val="bottom"/>
            <w:tcBorders>
              <w:bottom w:val="single" w:sz="8" w:color="F4F4F4"/>
            </w:tcBorders>
            <w:shd w:val="clear" w:color="auto" w:fill="F4F4F4"/>
          </w:tcPr>
          <w:p>
            <w:pPr>
              <w:jc w:val="right"/>
              <w:ind w:right="210"/>
              <w:spacing w:after="0"/>
              <w:rPr>
                <w:sz w:val="20"/>
                <w:szCs w:val="20"/>
                <w:color w:val="auto"/>
              </w:rPr>
            </w:pPr>
            <w:r>
              <w:rPr>
                <w:rFonts w:ascii="Calibri" w:cs="Calibri" w:eastAsia="Calibri" w:hAnsi="Calibri"/>
                <w:sz w:val="18"/>
                <w:szCs w:val="18"/>
                <w:color w:val="51555C"/>
              </w:rPr>
              <w:t>233.26</w:t>
            </w:r>
          </w:p>
        </w:tc>
        <w:tc>
          <w:tcPr>
            <w:tcW w:w="1540" w:type="dxa"/>
            <w:vAlign w:val="bottom"/>
            <w:tcBorders>
              <w:bottom w:val="single" w:sz="8" w:color="F4F4F4"/>
            </w:tcBorders>
            <w:shd w:val="clear" w:color="auto" w:fill="F4F4F4"/>
          </w:tcPr>
          <w:p>
            <w:pPr>
              <w:jc w:val="right"/>
              <w:ind w:right="595"/>
              <w:spacing w:after="0"/>
              <w:rPr>
                <w:sz w:val="20"/>
                <w:szCs w:val="20"/>
                <w:color w:val="auto"/>
              </w:rPr>
            </w:pPr>
            <w:r>
              <w:rPr>
                <w:rFonts w:ascii="Calibri" w:cs="Calibri" w:eastAsia="Calibri" w:hAnsi="Calibri"/>
                <w:sz w:val="18"/>
                <w:szCs w:val="18"/>
                <w:color w:val="51555C"/>
              </w:rPr>
              <w:t>296.23</w:t>
            </w:r>
          </w:p>
        </w:tc>
        <w:tc>
          <w:tcPr>
            <w:tcW w:w="800" w:type="dxa"/>
            <w:vAlign w:val="bottom"/>
            <w:tcBorders>
              <w:bottom w:val="single" w:sz="8" w:color="F4F4F4"/>
            </w:tcBorders>
            <w:shd w:val="clear" w:color="auto" w:fill="F4F4F4"/>
          </w:tcPr>
          <w:p>
            <w:pPr>
              <w:jc w:val="right"/>
              <w:ind w:right="210"/>
              <w:spacing w:after="0"/>
              <w:rPr>
                <w:sz w:val="20"/>
                <w:szCs w:val="20"/>
                <w:color w:val="auto"/>
              </w:rPr>
            </w:pPr>
            <w:r>
              <w:rPr>
                <w:rFonts w:ascii="Calibri" w:cs="Calibri" w:eastAsia="Calibri" w:hAnsi="Calibri"/>
                <w:sz w:val="18"/>
                <w:szCs w:val="18"/>
                <w:color w:val="51555C"/>
                <w:w w:val="95"/>
              </w:rPr>
              <w:t>192.48</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Calibri" w:cs="Calibri" w:eastAsia="Calibri" w:hAnsi="Calibri"/>
                <w:sz w:val="18"/>
                <w:szCs w:val="18"/>
                <w:color w:val="51555C"/>
              </w:rPr>
              <w:t>315.60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shd w:val="clear" w:color="auto" w:fill="0CD973"/>
          </w:tcPr>
          <w:p>
            <w:pPr>
              <w:spacing w:after="0" w:line="20" w:lineRule="exact"/>
              <w:rPr>
                <w:sz w:val="1"/>
                <w:szCs w:val="1"/>
                <w:color w:val="auto"/>
              </w:rPr>
            </w:pPr>
          </w:p>
        </w:tc>
        <w:tc>
          <w:tcPr>
            <w:tcW w:w="234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1540" w:type="dxa"/>
            <w:vAlign w:val="bottom"/>
            <w:shd w:val="clear" w:color="auto" w:fill="0CD973"/>
          </w:tcPr>
          <w:p>
            <w:pPr>
              <w:spacing w:after="0" w:line="20" w:lineRule="exact"/>
              <w:rPr>
                <w:sz w:val="1"/>
                <w:szCs w:val="1"/>
                <w:color w:val="auto"/>
              </w:rPr>
            </w:pPr>
          </w:p>
        </w:tc>
        <w:tc>
          <w:tcPr>
            <w:tcW w:w="80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Calibri" w:cs="Calibri" w:eastAsia="Calibri" w:hAnsi="Calibri"/>
                <w:sz w:val="14"/>
                <w:szCs w:val="14"/>
                <w:color w:val="51555C"/>
              </w:rPr>
              <w:t>2023 Form 10-K</w:t>
            </w:r>
          </w:p>
        </w:tc>
        <w:tc>
          <w:tcPr>
            <w:tcW w:w="8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Calibri" w:cs="Calibri" w:eastAsia="Calibri" w:hAnsi="Calibri"/>
                <w:sz w:val="14"/>
                <w:szCs w:val="14"/>
                <w:color w:val="51555C"/>
              </w:rPr>
              <w:t>33</w:t>
            </w:r>
          </w:p>
        </w:tc>
      </w:tr>
      <w:tr>
        <w:trPr>
          <w:trHeight w:val="351"/>
        </w:trPr>
        <w:tc>
          <w:tcPr>
            <w:tcW w:w="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-393700</wp:posOffset>
            </wp:positionV>
            <wp:extent cx="7289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Issuer Purchases of Equity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following table provides informaton about shares of common stock acquired or repurchased during the three months ended December 31, 2023 under our stock repurchase program as then in efect, as well as common stock withheld by us to satsfy the minimum tax obligatons of employees due upon vestng of restricted stock awards and units.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Approximate</w:t>
            </w:r>
          </w:p>
        </w:tc>
        <w:tc>
          <w:tcPr>
            <w:tcW w:w="20" w:type="dxa"/>
            <w:vAlign w:val="bottom"/>
            <w:shd w:val="clear" w:color="auto" w:fill="004054"/>
          </w:tcPr>
          <w:p>
            <w:pPr>
              <w:spacing w:after="0"/>
              <w:rPr>
                <w:sz w:val="15"/>
                <w:szCs w:val="15"/>
                <w:color w:val="auto"/>
              </w:rPr>
            </w:pPr>
          </w:p>
        </w:tc>
      </w:tr>
      <w:tr>
        <w:trPr>
          <w:trHeight w:val="176"/>
        </w:trPr>
        <w:tc>
          <w:tcPr>
            <w:tcW w:w="546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 number</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dollar value</w:t>
            </w:r>
          </w:p>
        </w:tc>
        <w:tc>
          <w:tcPr>
            <w:tcW w:w="20" w:type="dxa"/>
            <w:vAlign w:val="bottom"/>
            <w:shd w:val="clear" w:color="auto" w:fill="004054"/>
          </w:tcPr>
          <w:p>
            <w:pPr>
              <w:spacing w:after="0"/>
              <w:rPr>
                <w:sz w:val="15"/>
                <w:szCs w:val="15"/>
                <w:color w:val="auto"/>
              </w:rPr>
            </w:pPr>
          </w:p>
        </w:tc>
      </w:tr>
      <w:tr>
        <w:trPr>
          <w:trHeight w:val="170"/>
        </w:trPr>
        <w:tc>
          <w:tcPr>
            <w:tcW w:w="546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8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of shares</w:t>
            </w:r>
          </w:p>
        </w:tc>
        <w:tc>
          <w:tcPr>
            <w:tcW w:w="1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of shares</w:t>
            </w:r>
          </w:p>
        </w:tc>
        <w:tc>
          <w:tcPr>
            <w:tcW w:w="20" w:type="dxa"/>
            <w:vAlign w:val="bottom"/>
            <w:shd w:val="clear" w:color="auto" w:fill="004054"/>
          </w:tcPr>
          <w:p>
            <w:pPr>
              <w:spacing w:after="0"/>
              <w:rPr>
                <w:sz w:val="14"/>
                <w:szCs w:val="14"/>
                <w:color w:val="auto"/>
              </w:rPr>
            </w:pPr>
          </w:p>
        </w:tc>
      </w:tr>
      <w:tr>
        <w:trPr>
          <w:trHeight w:val="176"/>
        </w:trPr>
        <w:tc>
          <w:tcPr>
            <w:tcW w:w="546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purchased as</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that may yet</w:t>
            </w:r>
          </w:p>
        </w:tc>
        <w:tc>
          <w:tcPr>
            <w:tcW w:w="20" w:type="dxa"/>
            <w:vAlign w:val="bottom"/>
            <w:shd w:val="clear" w:color="auto" w:fill="004054"/>
          </w:tcPr>
          <w:p>
            <w:pPr>
              <w:spacing w:after="0"/>
              <w:rPr>
                <w:sz w:val="15"/>
                <w:szCs w:val="15"/>
                <w:color w:val="auto"/>
              </w:rPr>
            </w:pPr>
          </w:p>
        </w:tc>
      </w:tr>
      <w:tr>
        <w:trPr>
          <w:trHeight w:val="168"/>
        </w:trPr>
        <w:tc>
          <w:tcPr>
            <w:tcW w:w="546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8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Average</w:t>
            </w:r>
          </w:p>
        </w:tc>
        <w:tc>
          <w:tcPr>
            <w:tcW w:w="10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part of</w:t>
            </w:r>
          </w:p>
        </w:tc>
        <w:tc>
          <w:tcPr>
            <w:tcW w:w="1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be purchased</w:t>
            </w:r>
          </w:p>
        </w:tc>
        <w:tc>
          <w:tcPr>
            <w:tcW w:w="20" w:type="dxa"/>
            <w:vAlign w:val="bottom"/>
            <w:shd w:val="clear" w:color="auto" w:fill="004054"/>
          </w:tcPr>
          <w:p>
            <w:pPr>
              <w:spacing w:after="0"/>
              <w:rPr>
                <w:sz w:val="14"/>
                <w:szCs w:val="14"/>
                <w:color w:val="auto"/>
              </w:rPr>
            </w:pPr>
          </w:p>
        </w:tc>
      </w:tr>
      <w:tr>
        <w:trPr>
          <w:trHeight w:val="175"/>
        </w:trPr>
        <w:tc>
          <w:tcPr>
            <w:tcW w:w="546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price</w:t>
            </w:r>
          </w:p>
        </w:tc>
        <w:tc>
          <w:tcPr>
            <w:tcW w:w="10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publicly</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under the</w:t>
            </w:r>
          </w:p>
        </w:tc>
        <w:tc>
          <w:tcPr>
            <w:tcW w:w="20" w:type="dxa"/>
            <w:vAlign w:val="bottom"/>
            <w:shd w:val="clear" w:color="auto" w:fill="004054"/>
          </w:tcPr>
          <w:p>
            <w:pPr>
              <w:spacing w:after="0"/>
              <w:rPr>
                <w:sz w:val="15"/>
                <w:szCs w:val="15"/>
                <w:color w:val="auto"/>
              </w:rPr>
            </w:pPr>
          </w:p>
        </w:tc>
      </w:tr>
      <w:tr>
        <w:trPr>
          <w:trHeight w:val="176"/>
        </w:trPr>
        <w:tc>
          <w:tcPr>
            <w:tcW w:w="546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number</w:t>
            </w:r>
          </w:p>
        </w:tc>
        <w:tc>
          <w:tcPr>
            <w:tcW w:w="120" w:type="dxa"/>
            <w:vAlign w:val="bottom"/>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paid</w:t>
            </w:r>
          </w:p>
        </w:tc>
        <w:tc>
          <w:tcPr>
            <w:tcW w:w="10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announced</w:t>
            </w:r>
          </w:p>
        </w:tc>
        <w:tc>
          <w:tcPr>
            <w:tcW w:w="12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plans or</w:t>
            </w:r>
          </w:p>
        </w:tc>
        <w:tc>
          <w:tcPr>
            <w:tcW w:w="20" w:type="dxa"/>
            <w:vAlign w:val="bottom"/>
            <w:shd w:val="clear" w:color="auto" w:fill="004054"/>
          </w:tcPr>
          <w:p>
            <w:pPr>
              <w:spacing w:after="0"/>
              <w:rPr>
                <w:sz w:val="15"/>
                <w:szCs w:val="15"/>
                <w:color w:val="auto"/>
              </w:rPr>
            </w:pPr>
          </w:p>
        </w:tc>
      </w:tr>
      <w:tr>
        <w:trPr>
          <w:trHeight w:val="169"/>
        </w:trPr>
        <w:tc>
          <w:tcPr>
            <w:tcW w:w="546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of shares</w:t>
            </w:r>
          </w:p>
        </w:tc>
        <w:tc>
          <w:tcPr>
            <w:tcW w:w="120" w:type="dxa"/>
            <w:vAlign w:val="bottom"/>
            <w:shd w:val="clear" w:color="auto" w:fill="004054"/>
          </w:tcPr>
          <w:p>
            <w:pPr>
              <w:spacing w:after="0"/>
              <w:rPr>
                <w:sz w:val="14"/>
                <w:szCs w:val="14"/>
                <w:color w:val="auto"/>
              </w:rPr>
            </w:pPr>
          </w:p>
        </w:tc>
        <w:tc>
          <w:tcPr>
            <w:tcW w:w="480" w:type="dxa"/>
            <w:vAlign w:val="bottom"/>
            <w:shd w:val="clear" w:color="auto" w:fill="004054"/>
          </w:tcPr>
          <w:p>
            <w:pPr>
              <w:spacing w:after="0"/>
              <w:rPr>
                <w:sz w:val="14"/>
                <w:szCs w:val="14"/>
                <w:color w:val="auto"/>
              </w:rPr>
            </w:pPr>
          </w:p>
        </w:tc>
        <w:tc>
          <w:tcPr>
            <w:tcW w:w="88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per</w:t>
            </w:r>
          </w:p>
        </w:tc>
        <w:tc>
          <w:tcPr>
            <w:tcW w:w="10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plans or</w:t>
            </w:r>
          </w:p>
        </w:tc>
        <w:tc>
          <w:tcPr>
            <w:tcW w:w="12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programs</w:t>
            </w:r>
          </w:p>
        </w:tc>
        <w:tc>
          <w:tcPr>
            <w:tcW w:w="20" w:type="dxa"/>
            <w:vAlign w:val="bottom"/>
            <w:shd w:val="clear" w:color="auto" w:fill="004054"/>
          </w:tcPr>
          <w:p>
            <w:pPr>
              <w:spacing w:after="0"/>
              <w:rPr>
                <w:sz w:val="14"/>
                <w:szCs w:val="14"/>
                <w:color w:val="auto"/>
              </w:rPr>
            </w:pPr>
          </w:p>
        </w:tc>
      </w:tr>
      <w:tr>
        <w:trPr>
          <w:trHeight w:val="230"/>
        </w:trPr>
        <w:tc>
          <w:tcPr>
            <w:tcW w:w="5460" w:type="dxa"/>
            <w:vAlign w:val="bottom"/>
            <w:tcBorders>
              <w:bottom w:val="single" w:sz="8" w:color="004054"/>
            </w:tcBorders>
            <w:shd w:val="clear" w:color="auto" w:fill="004054"/>
          </w:tcPr>
          <w:p>
            <w:pPr>
              <w:ind w:left="40"/>
              <w:spacing w:after="0"/>
              <w:rPr>
                <w:sz w:val="20"/>
                <w:szCs w:val="20"/>
                <w:color w:val="auto"/>
              </w:rPr>
            </w:pPr>
            <w:r>
              <w:rPr>
                <w:rFonts w:ascii="Calibri" w:cs="Calibri" w:eastAsia="Calibri" w:hAnsi="Calibri"/>
                <w:sz w:val="14"/>
                <w:szCs w:val="14"/>
                <w:b w:val="1"/>
                <w:bCs w:val="1"/>
                <w:color w:val="FFFFFF"/>
              </w:rPr>
              <w:t>Period</w:t>
            </w:r>
          </w:p>
        </w:tc>
        <w:tc>
          <w:tcPr>
            <w:tcW w:w="1360" w:type="dxa"/>
            <w:vAlign w:val="bottom"/>
            <w:tcBorders>
              <w:bottom w:val="single" w:sz="8" w:color="004054"/>
            </w:tcBorders>
            <w:shd w:val="clear" w:color="auto" w:fill="004054"/>
          </w:tcPr>
          <w:p>
            <w:pPr>
              <w:jc w:val="right"/>
              <w:spacing w:after="0" w:line="216" w:lineRule="exact"/>
              <w:rPr>
                <w:sz w:val="20"/>
                <w:szCs w:val="20"/>
                <w:color w:val="auto"/>
              </w:rPr>
            </w:pPr>
            <w:r>
              <w:rPr>
                <w:rFonts w:ascii="Calibri" w:cs="Calibri" w:eastAsia="Calibri" w:hAnsi="Calibri"/>
                <w:sz w:val="14"/>
                <w:szCs w:val="14"/>
                <w:b w:val="1"/>
                <w:bCs w:val="1"/>
                <w:color w:val="FFFFFF"/>
              </w:rPr>
              <w:t>purchased</w:t>
            </w:r>
            <w:r>
              <w:rPr>
                <w:rFonts w:ascii="Calibri" w:cs="Calibri" w:eastAsia="Calibri" w:hAnsi="Calibri"/>
                <w:sz w:val="18"/>
                <w:szCs w:val="18"/>
                <w:b w:val="1"/>
                <w:bCs w:val="1"/>
                <w:color w:val="FFFFFF"/>
                <w:vertAlign w:val="superscript"/>
              </w:rPr>
              <w:t>(1)</w:t>
            </w:r>
          </w:p>
        </w:tc>
        <w:tc>
          <w:tcPr>
            <w:tcW w:w="120" w:type="dxa"/>
            <w:vAlign w:val="bottom"/>
            <w:tcBorders>
              <w:bottom w:val="single" w:sz="8" w:color="004054"/>
            </w:tcBorders>
            <w:shd w:val="clear" w:color="auto" w:fill="004054"/>
          </w:tcPr>
          <w:p>
            <w:pPr>
              <w:spacing w:after="0"/>
              <w:rPr>
                <w:sz w:val="20"/>
                <w:szCs w:val="20"/>
                <w:color w:val="auto"/>
              </w:rPr>
            </w:pPr>
          </w:p>
        </w:tc>
        <w:tc>
          <w:tcPr>
            <w:tcW w:w="480" w:type="dxa"/>
            <w:vAlign w:val="bottom"/>
            <w:tcBorders>
              <w:bottom w:val="single" w:sz="8" w:color="004054"/>
            </w:tcBorders>
            <w:shd w:val="clear" w:color="auto" w:fill="004054"/>
          </w:tcPr>
          <w:p>
            <w:pPr>
              <w:spacing w:after="0"/>
              <w:rPr>
                <w:sz w:val="20"/>
                <w:szCs w:val="20"/>
                <w:color w:val="auto"/>
              </w:rPr>
            </w:pPr>
          </w:p>
        </w:tc>
        <w:tc>
          <w:tcPr>
            <w:tcW w:w="88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w:t>
            </w:r>
          </w:p>
        </w:tc>
        <w:tc>
          <w:tcPr>
            <w:tcW w:w="100" w:type="dxa"/>
            <w:vAlign w:val="bottom"/>
            <w:tcBorders>
              <w:bottom w:val="single" w:sz="8" w:color="004054"/>
            </w:tcBorders>
            <w:shd w:val="clear" w:color="auto" w:fill="004054"/>
          </w:tcPr>
          <w:p>
            <w:pPr>
              <w:spacing w:after="0"/>
              <w:rPr>
                <w:sz w:val="20"/>
                <w:szCs w:val="20"/>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programs</w:t>
            </w:r>
            <w:r>
              <w:rPr>
                <w:rFonts w:ascii="Calibri" w:cs="Calibri" w:eastAsia="Calibri" w:hAnsi="Calibri"/>
                <w:sz w:val="18"/>
                <w:szCs w:val="18"/>
                <w:b w:val="1"/>
                <w:bCs w:val="1"/>
                <w:color w:val="FFFFFF"/>
                <w:vertAlign w:val="superscript"/>
              </w:rPr>
              <w:t>(2)</w:t>
            </w:r>
          </w:p>
        </w:tc>
        <w:tc>
          <w:tcPr>
            <w:tcW w:w="120" w:type="dxa"/>
            <w:vAlign w:val="bottom"/>
            <w:tcBorders>
              <w:bottom w:val="single" w:sz="8" w:color="004054"/>
            </w:tcBorders>
            <w:shd w:val="clear" w:color="auto" w:fill="004054"/>
          </w:tcPr>
          <w:p>
            <w:pPr>
              <w:spacing w:after="0"/>
              <w:rPr>
                <w:sz w:val="20"/>
                <w:szCs w:val="20"/>
                <w:color w:val="auto"/>
              </w:rPr>
            </w:pPr>
          </w:p>
        </w:tc>
        <w:tc>
          <w:tcPr>
            <w:tcW w:w="240" w:type="dxa"/>
            <w:vAlign w:val="bottom"/>
            <w:tcBorders>
              <w:bottom w:val="single" w:sz="8" w:color="004054"/>
            </w:tcBorders>
            <w:shd w:val="clear" w:color="auto" w:fill="004054"/>
          </w:tcPr>
          <w:p>
            <w:pPr>
              <w:spacing w:after="0"/>
              <w:rPr>
                <w:sz w:val="20"/>
                <w:szCs w:val="20"/>
                <w:color w:val="auto"/>
              </w:rPr>
            </w:pPr>
          </w:p>
        </w:tc>
        <w:tc>
          <w:tcPr>
            <w:tcW w:w="1120" w:type="dxa"/>
            <w:vAlign w:val="bottom"/>
            <w:tcBorders>
              <w:bottom w:val="single" w:sz="8" w:color="004054"/>
            </w:tcBorders>
            <w:shd w:val="clear" w:color="auto" w:fill="004054"/>
          </w:tcPr>
          <w:p>
            <w:pPr>
              <w:jc w:val="right"/>
              <w:spacing w:after="0" w:line="216" w:lineRule="exact"/>
              <w:rPr>
                <w:sz w:val="20"/>
                <w:szCs w:val="20"/>
                <w:color w:val="auto"/>
              </w:rPr>
            </w:pPr>
            <w:r>
              <w:rPr>
                <w:rFonts w:ascii="Calibri" w:cs="Calibri" w:eastAsia="Calibri" w:hAnsi="Calibri"/>
                <w:sz w:val="14"/>
                <w:szCs w:val="14"/>
                <w:b w:val="1"/>
                <w:bCs w:val="1"/>
                <w:color w:val="FFFFFF"/>
              </w:rPr>
              <w:t>(in thousands)</w:t>
            </w:r>
            <w:r>
              <w:rPr>
                <w:rFonts w:ascii="Calibri" w:cs="Calibri" w:eastAsia="Calibri" w:hAnsi="Calibri"/>
                <w:sz w:val="18"/>
                <w:szCs w:val="18"/>
                <w:b w:val="1"/>
                <w:bCs w:val="1"/>
                <w:color w:val="FFFFFF"/>
                <w:vertAlign w:val="superscript"/>
              </w:rPr>
              <w:t>(2)</w:t>
            </w:r>
          </w:p>
        </w:tc>
        <w:tc>
          <w:tcPr>
            <w:tcW w:w="20" w:type="dxa"/>
            <w:vAlign w:val="bottom"/>
            <w:tcBorders>
              <w:bottom w:val="single" w:sz="8" w:color="004054"/>
            </w:tcBorders>
            <w:shd w:val="clear" w:color="auto" w:fill="004054"/>
          </w:tcPr>
          <w:p>
            <w:pPr>
              <w:spacing w:after="0"/>
              <w:rPr>
                <w:sz w:val="20"/>
                <w:szCs w:val="20"/>
                <w:color w:val="auto"/>
              </w:rPr>
            </w:pPr>
          </w:p>
        </w:tc>
      </w:tr>
      <w:tr>
        <w:trPr>
          <w:trHeight w:val="250"/>
        </w:trPr>
        <w:tc>
          <w:tcPr>
            <w:tcW w:w="5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Beginning balance, October 1, 2023</w:t>
            </w:r>
          </w:p>
        </w:tc>
        <w:tc>
          <w:tcPr>
            <w:tcW w:w="13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jc w:val="right"/>
              <w:ind w:right="50"/>
              <w:spacing w:after="0"/>
              <w:rPr>
                <w:sz w:val="20"/>
                <w:szCs w:val="20"/>
                <w:color w:val="auto"/>
              </w:rPr>
            </w:pPr>
            <w:r>
              <w:rPr>
                <w:rFonts w:ascii="Calibri" w:cs="Calibri" w:eastAsia="Calibri" w:hAnsi="Calibri"/>
                <w:sz w:val="18"/>
                <w:szCs w:val="18"/>
                <w:color w:val="51555C"/>
                <w:w w:val="87"/>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250,000</w:t>
            </w:r>
          </w:p>
        </w:tc>
        <w:tc>
          <w:tcPr>
            <w:tcW w:w="20" w:type="dxa"/>
            <w:vAlign w:val="bottom"/>
          </w:tcPr>
          <w:p>
            <w:pPr>
              <w:spacing w:after="0"/>
              <w:rPr>
                <w:sz w:val="21"/>
                <w:szCs w:val="21"/>
                <w:color w:val="auto"/>
              </w:rPr>
            </w:pPr>
          </w:p>
        </w:tc>
      </w:tr>
      <w:tr>
        <w:trPr>
          <w:trHeight w:val="220"/>
        </w:trPr>
        <w:tc>
          <w:tcPr>
            <w:tcW w:w="5460" w:type="dxa"/>
            <w:vAlign w:val="bottom"/>
          </w:tcPr>
          <w:p>
            <w:pPr>
              <w:ind w:left="20"/>
              <w:spacing w:after="0"/>
              <w:rPr>
                <w:sz w:val="20"/>
                <w:szCs w:val="20"/>
                <w:color w:val="auto"/>
              </w:rPr>
            </w:pPr>
            <w:r>
              <w:rPr>
                <w:rFonts w:ascii="Calibri" w:cs="Calibri" w:eastAsia="Calibri" w:hAnsi="Calibri"/>
                <w:sz w:val="18"/>
                <w:szCs w:val="18"/>
                <w:color w:val="51555C"/>
              </w:rPr>
              <w:t>October 1, 2023 through October 31, 2023</w:t>
            </w:r>
          </w:p>
        </w:tc>
        <w:tc>
          <w:tcPr>
            <w:tcW w:w="1480" w:type="dxa"/>
            <w:vAlign w:val="bottom"/>
            <w:gridSpan w:val="2"/>
          </w:tcPr>
          <w:p>
            <w:pPr>
              <w:jc w:val="right"/>
              <w:ind w:right="180"/>
              <w:spacing w:after="0"/>
              <w:rPr>
                <w:sz w:val="20"/>
                <w:szCs w:val="20"/>
                <w:color w:val="auto"/>
              </w:rPr>
            </w:pPr>
            <w:r>
              <w:rPr>
                <w:rFonts w:ascii="Calibri" w:cs="Calibri" w:eastAsia="Calibri" w:hAnsi="Calibri"/>
                <w:sz w:val="18"/>
                <w:szCs w:val="18"/>
                <w:color w:val="51555C"/>
              </w:rPr>
              <w:t>—</w:t>
            </w:r>
          </w:p>
        </w:tc>
        <w:tc>
          <w:tcPr>
            <w:tcW w:w="480" w:type="dxa"/>
            <w:vAlign w:val="bottom"/>
          </w:tcPr>
          <w:p>
            <w:pPr>
              <w:jc w:val="right"/>
              <w:ind w:right="290"/>
              <w:spacing w:after="0"/>
              <w:rPr>
                <w:sz w:val="20"/>
                <w:szCs w:val="20"/>
                <w:color w:val="auto"/>
              </w:rPr>
            </w:pPr>
            <w:r>
              <w:rPr>
                <w:rFonts w:ascii="Calibri" w:cs="Calibri" w:eastAsia="Calibri" w:hAnsi="Calibri"/>
                <w:sz w:val="18"/>
                <w:szCs w:val="18"/>
                <w:color w:val="51555C"/>
                <w:w w:val="87"/>
              </w:rPr>
              <w:t>$</w:t>
            </w:r>
          </w:p>
        </w:tc>
        <w:tc>
          <w:tcPr>
            <w:tcW w:w="980" w:type="dxa"/>
            <w:vAlign w:val="bottom"/>
            <w:gridSpan w:val="2"/>
          </w:tcPr>
          <w:p>
            <w:pPr>
              <w:jc w:val="right"/>
              <w:ind w:right="160"/>
              <w:spacing w:after="0"/>
              <w:rPr>
                <w:sz w:val="20"/>
                <w:szCs w:val="20"/>
                <w:color w:val="auto"/>
              </w:rPr>
            </w:pPr>
            <w:r>
              <w:rPr>
                <w:rFonts w:ascii="Calibri" w:cs="Calibri" w:eastAsia="Calibri" w:hAnsi="Calibri"/>
                <w:sz w:val="18"/>
                <w:szCs w:val="18"/>
                <w:color w:val="51555C"/>
              </w:rPr>
              <w:t>—</w:t>
            </w:r>
          </w:p>
        </w:tc>
        <w:tc>
          <w:tcPr>
            <w:tcW w:w="1480" w:type="dxa"/>
            <w:vAlign w:val="bottom"/>
            <w:gridSpan w:val="2"/>
          </w:tcPr>
          <w:p>
            <w:pPr>
              <w:jc w:val="right"/>
              <w:ind w:right="18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250,000</w:t>
            </w:r>
          </w:p>
        </w:tc>
        <w:tc>
          <w:tcPr>
            <w:tcW w:w="20" w:type="dxa"/>
            <w:vAlign w:val="bottom"/>
          </w:tcPr>
          <w:p>
            <w:pPr>
              <w:spacing w:after="0"/>
              <w:rPr>
                <w:sz w:val="19"/>
                <w:szCs w:val="19"/>
                <w:color w:val="auto"/>
              </w:rPr>
            </w:pPr>
          </w:p>
        </w:tc>
      </w:tr>
      <w:tr>
        <w:trPr>
          <w:trHeight w:val="50"/>
        </w:trPr>
        <w:tc>
          <w:tcPr>
            <w:tcW w:w="54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November 1, 2023 through November 30, 2023</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3,194</w:t>
            </w:r>
          </w:p>
        </w:tc>
        <w:tc>
          <w:tcPr>
            <w:tcW w:w="12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73.02</w:t>
            </w:r>
          </w:p>
        </w:tc>
        <w:tc>
          <w:tcPr>
            <w:tcW w:w="100" w:type="dxa"/>
            <w:vAlign w:val="bottom"/>
            <w:tcBorders>
              <w:bottom w:val="single" w:sz="8" w:color="EBFBFF"/>
            </w:tcBorders>
            <w:shd w:val="clear" w:color="auto" w:fill="EBFBFF"/>
          </w:tcPr>
          <w:p>
            <w:pPr>
              <w:spacing w:after="0"/>
              <w:rPr>
                <w:sz w:val="21"/>
                <w:szCs w:val="21"/>
                <w:color w:val="auto"/>
              </w:rPr>
            </w:pPr>
          </w:p>
        </w:tc>
        <w:tc>
          <w:tcPr>
            <w:tcW w:w="148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250,000</w:t>
            </w:r>
          </w:p>
        </w:tc>
        <w:tc>
          <w:tcPr>
            <w:tcW w:w="20" w:type="dxa"/>
            <w:vAlign w:val="bottom"/>
          </w:tcPr>
          <w:p>
            <w:pPr>
              <w:spacing w:after="0"/>
              <w:rPr>
                <w:sz w:val="21"/>
                <w:szCs w:val="21"/>
                <w:color w:val="auto"/>
              </w:rPr>
            </w:pPr>
          </w:p>
        </w:tc>
      </w:tr>
      <w:tr>
        <w:trPr>
          <w:trHeight w:val="220"/>
        </w:trPr>
        <w:tc>
          <w:tcPr>
            <w:tcW w:w="5460" w:type="dxa"/>
            <w:vAlign w:val="bottom"/>
          </w:tcPr>
          <w:p>
            <w:pPr>
              <w:ind w:left="20"/>
              <w:spacing w:after="0"/>
              <w:rPr>
                <w:sz w:val="20"/>
                <w:szCs w:val="20"/>
                <w:color w:val="auto"/>
              </w:rPr>
            </w:pPr>
            <w:r>
              <w:rPr>
                <w:rFonts w:ascii="Calibri" w:cs="Calibri" w:eastAsia="Calibri" w:hAnsi="Calibri"/>
                <w:sz w:val="18"/>
                <w:szCs w:val="18"/>
                <w:color w:val="51555C"/>
              </w:rPr>
              <w:t>December 1, 2023 through December 31, 2023</w:t>
            </w: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222,593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Calibri" w:cs="Calibri" w:eastAsia="Calibri" w:hAnsi="Calibri"/>
                <w:sz w:val="18"/>
                <w:szCs w:val="18"/>
                <w:color w:val="51555C"/>
              </w:rPr>
              <w:t>84.89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color w:val="51555C"/>
              </w:rPr>
              <w:t>221,836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231,169</w:t>
            </w:r>
          </w:p>
        </w:tc>
        <w:tc>
          <w:tcPr>
            <w:tcW w:w="20" w:type="dxa"/>
            <w:vAlign w:val="bottom"/>
          </w:tcPr>
          <w:p>
            <w:pPr>
              <w:spacing w:after="0"/>
              <w:rPr>
                <w:sz w:val="19"/>
                <w:szCs w:val="19"/>
                <w:color w:val="auto"/>
              </w:rPr>
            </w:pPr>
          </w:p>
        </w:tc>
      </w:tr>
      <w:tr>
        <w:trPr>
          <w:trHeight w:val="50"/>
        </w:trPr>
        <w:tc>
          <w:tcPr>
            <w:tcW w:w="5460" w:type="dxa"/>
            <w:vAlign w:val="bottom"/>
            <w:tcBorders>
              <w:bottom w:val="single" w:sz="8" w:color="EBFBFF"/>
            </w:tcBorders>
          </w:tcPr>
          <w:p>
            <w:pPr>
              <w:spacing w:after="0"/>
              <w:rPr>
                <w:sz w:val="4"/>
                <w:szCs w:val="4"/>
                <w:color w:val="auto"/>
              </w:rPr>
            </w:pPr>
          </w:p>
        </w:tc>
        <w:tc>
          <w:tcPr>
            <w:tcW w:w="13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480" w:type="dxa"/>
            <w:vAlign w:val="bottom"/>
            <w:tcBorders>
              <w:bottom w:val="single" w:sz="8" w:color="51555C"/>
            </w:tcBorders>
          </w:tcPr>
          <w:p>
            <w:pPr>
              <w:spacing w:after="0"/>
              <w:rPr>
                <w:sz w:val="4"/>
                <w:szCs w:val="4"/>
                <w:color w:val="auto"/>
              </w:rPr>
            </w:pPr>
          </w:p>
        </w:tc>
        <w:tc>
          <w:tcPr>
            <w:tcW w:w="88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13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12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546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Total</w:t>
            </w: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225,787</w:t>
            </w:r>
          </w:p>
        </w:tc>
        <w:tc>
          <w:tcPr>
            <w:tcW w:w="12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w w:val="87"/>
              </w:rPr>
              <w:t>$</w:t>
            </w:r>
          </w:p>
        </w:tc>
        <w:tc>
          <w:tcPr>
            <w:tcW w:w="8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84.72</w:t>
            </w:r>
          </w:p>
        </w:tc>
        <w:tc>
          <w:tcPr>
            <w:tcW w:w="10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221,836</w:t>
            </w:r>
          </w:p>
        </w:tc>
        <w:tc>
          <w:tcPr>
            <w:tcW w:w="12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jc w:val="right"/>
              <w:ind w:right="50"/>
              <w:spacing w:after="0" w:line="213" w:lineRule="exact"/>
              <w:rPr>
                <w:sz w:val="20"/>
                <w:szCs w:val="20"/>
                <w:color w:val="auto"/>
              </w:rPr>
            </w:pPr>
            <w:r>
              <w:rPr>
                <w:rFonts w:ascii="Calibri" w:cs="Calibri" w:eastAsia="Calibri" w:hAnsi="Calibri"/>
                <w:sz w:val="18"/>
                <w:szCs w:val="18"/>
                <w:color w:val="51555C"/>
                <w:w w:val="87"/>
              </w:rPr>
              <w:t>$</w:t>
            </w:r>
          </w:p>
        </w:tc>
        <w:tc>
          <w:tcPr>
            <w:tcW w:w="11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231,169</w:t>
            </w:r>
          </w:p>
        </w:tc>
        <w:tc>
          <w:tcPr>
            <w:tcW w:w="20" w:type="dxa"/>
            <w:vAlign w:val="bottom"/>
          </w:tcPr>
          <w:p>
            <w:pPr>
              <w:spacing w:after="0"/>
              <w:rPr>
                <w:sz w:val="21"/>
                <w:szCs w:val="21"/>
                <w:color w:val="auto"/>
              </w:rPr>
            </w:pPr>
          </w:p>
        </w:tc>
      </w:tr>
      <w:tr>
        <w:trPr>
          <w:trHeight w:val="20"/>
        </w:trPr>
        <w:tc>
          <w:tcPr>
            <w:tcW w:w="546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88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3" w:lineRule="exact"/>
        <w:rPr>
          <w:sz w:val="20"/>
          <w:szCs w:val="20"/>
          <w:color w:val="auto"/>
        </w:rPr>
      </w:pPr>
    </w:p>
    <w:p>
      <w:pPr>
        <w:ind w:left="340" w:right="20" w:hanging="332"/>
        <w:spacing w:after="0" w:line="245" w:lineRule="auto"/>
        <w:tabs>
          <w:tab w:leader="none" w:pos="338" w:val="left"/>
        </w:tabs>
        <w:numPr>
          <w:ilvl w:val="0"/>
          <w:numId w:val="17"/>
        </w:numPr>
        <w:rPr>
          <w:rFonts w:ascii="Calibri" w:cs="Calibri" w:eastAsia="Calibri" w:hAnsi="Calibri"/>
          <w:sz w:val="14"/>
          <w:szCs w:val="14"/>
          <w:color w:val="51555C"/>
        </w:rPr>
      </w:pPr>
      <w:r>
        <w:rPr>
          <w:rFonts w:ascii="Calibri" w:cs="Calibri" w:eastAsia="Calibri" w:hAnsi="Calibri"/>
          <w:sz w:val="14"/>
          <w:szCs w:val="14"/>
          <w:color w:val="51555C"/>
        </w:rPr>
        <w:t>Includes 3,951 shares (3,194 in November and 757 in December) withheld by us to satsfy the minimum tax obligatons of employees due upon vestng of restricted stock awards and units. The level of this acquisiton actvity varies from period to period based upon the tming of award grants and vestng.</w:t>
      </w:r>
    </w:p>
    <w:p>
      <w:pPr>
        <w:spacing w:after="0" w:line="2" w:lineRule="exact"/>
        <w:rPr>
          <w:rFonts w:ascii="Calibri" w:cs="Calibri" w:eastAsia="Calibri" w:hAnsi="Calibri"/>
          <w:sz w:val="14"/>
          <w:szCs w:val="14"/>
          <w:color w:val="51555C"/>
        </w:rPr>
      </w:pPr>
    </w:p>
    <w:p>
      <w:pPr>
        <w:jc w:val="both"/>
        <w:ind w:left="340" w:right="20" w:hanging="332"/>
        <w:spacing w:after="0" w:line="245" w:lineRule="auto"/>
        <w:tabs>
          <w:tab w:leader="none" w:pos="338" w:val="left"/>
        </w:tabs>
        <w:numPr>
          <w:ilvl w:val="0"/>
          <w:numId w:val="17"/>
        </w:numPr>
        <w:rPr>
          <w:rFonts w:ascii="Calibri" w:cs="Calibri" w:eastAsia="Calibri" w:hAnsi="Calibri"/>
          <w:sz w:val="14"/>
          <w:szCs w:val="14"/>
          <w:color w:val="51555C"/>
        </w:rPr>
      </w:pPr>
      <w:r>
        <w:rPr>
          <w:rFonts w:ascii="Calibri" w:cs="Calibri" w:eastAsia="Calibri" w:hAnsi="Calibri"/>
          <w:sz w:val="14"/>
          <w:szCs w:val="14"/>
          <w:color w:val="51555C"/>
        </w:rPr>
        <w:t>In December 2021, our Board of Directors reauthorized and replenished our stock repurchase program to authorize us to purchase up to $250.0 million of our outstanding shares of common stock. On January 17, 2024, our Board of Directors reauthorized, expanded and replenished our stock repurchase program by raising the total capacity under the program from $250.0 million to $500.0 million available for repurchases. The program does not have an expiraton date.</w:t>
      </w:r>
    </w:p>
    <w:p>
      <w:pPr>
        <w:spacing w:after="0" w:line="19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not declared or paid any cash dividends on our common stock since the frst quarter of 2020, and we do not presently plan to pay cash dividends on our common stock in the foreseeable future. Payment of future cash dividends, if any, will be at the discreton of our board of directors afer taking into account various factors, including our fnancial conditon, operatng results, current and antcipated cash needs, outstanding indebtedness, plans for expansion and restrictons imposed by our debt arrangements, if any.</w:t>
      </w:r>
    </w:p>
    <w:p>
      <w:pPr>
        <w:spacing w:after="0" w:line="25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6. [RESERVED]</w:t>
      </w:r>
    </w:p>
    <w:p>
      <w:pPr>
        <w:spacing w:after="0" w:line="324"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34</w:t>
      </w:r>
      <w:r>
        <w:rPr>
          <w:sz w:val="20"/>
          <w:szCs w:val="20"/>
          <w:color w:val="auto"/>
        </w:rPr>
        <w:tab/>
      </w:r>
      <w:r>
        <w:rPr>
          <w:sz w:val="1"/>
          <w:szCs w:val="1"/>
          <w:color w:val="auto"/>
        </w:rPr>
        <w:drawing>
          <wp:inline distT="0" distB="0" distL="0" distR="0">
            <wp:extent cx="728345" cy="18859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35" w:lineRule="auto"/>
        <w:rPr>
          <w:sz w:val="20"/>
          <w:szCs w:val="20"/>
          <w:color w:val="auto"/>
        </w:rPr>
      </w:pPr>
      <w:r>
        <w:rPr>
          <w:rFonts w:ascii="Calibri" w:cs="Calibri" w:eastAsia="Calibri" w:hAnsi="Calibri"/>
          <w:sz w:val="29"/>
          <w:szCs w:val="29"/>
          <w:b w:val="1"/>
          <w:bCs w:val="1"/>
          <w:color w:val="004054"/>
        </w:rPr>
        <w:t>ITEM 7. MANAGEMENT'S DISCUSSION AND ANALYSIS OF FINANCIAL CONDITION AND RESULTS OF OPERATIONS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51555C"/>
        </w:rPr>
        <w:t>The following discussion and analysis of our fnancial conditon and results of operatons should be read in conjuncton with Item 1A Risk factors and our consolidated fnancial statements and related notes included elsewhere in this Annual Report on Form 10-K. The following discussion and analysis presents fnancial informaton denominated in millions of dollars which can lead to diferences from rounding when compared to similar informaton contained in the consolidated fnancial statements and related notes, which are primarily denominated in thousands of dollars.</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Executve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A remote-frst company, we have operatons in the United States, Australia, Canada, Costa Rica and the United Kingdom, supportng users in 100+ countries. Millions of people across more than 100 countries connect, give, learn and engage through Blackbaud platorms. During 2023, we had nearly 100,000 customers that paid Blackbaud through transactonal fees and more than 40,000 customers with contractual billing arrangements.</w:t>
      </w:r>
    </w:p>
    <w:p>
      <w:pPr>
        <w:spacing w:after="0" w:line="16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revenue is primarily generated from the following sources: (i) charging for the use of our sofware solutons in cloud and hosted environments; (ii) providing payment and transacton services; and (iii) providing Impact-as-a-Service</w:t>
      </w:r>
      <w:r>
        <w:rPr>
          <w:rFonts w:ascii="Calibri" w:cs="Calibri" w:eastAsia="Calibri" w:hAnsi="Calibri"/>
          <w:sz w:val="18"/>
          <w:szCs w:val="18"/>
          <w:i w:val="1"/>
          <w:iCs w:val="1"/>
          <w:color w:val="51555C"/>
        </w:rPr>
        <w:t>™</w:t>
      </w:r>
      <w:r>
        <w:rPr>
          <w:rFonts w:ascii="Calibri" w:cs="Calibri" w:eastAsia="Calibri" w:hAnsi="Calibri"/>
          <w:sz w:val="18"/>
          <w:szCs w:val="18"/>
          <w:color w:val="51555C"/>
        </w:rPr>
        <w:t xml:space="preserve"> digital educatonal content.</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Update on Five Key Operatonal Initatves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135255</wp:posOffset>
            </wp:positionV>
            <wp:extent cx="265430" cy="196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06" w:lineRule="exact"/>
        <w:rPr>
          <w:sz w:val="20"/>
          <w:szCs w:val="20"/>
          <w:color w:val="auto"/>
        </w:rPr>
      </w:pPr>
    </w:p>
    <w:p>
      <w:pPr>
        <w:ind w:left="1300" w:hanging="466"/>
        <w:spacing w:after="0"/>
        <w:tabs>
          <w:tab w:leader="none" w:pos="1300" w:val="left"/>
        </w:tabs>
        <w:numPr>
          <w:ilvl w:val="2"/>
          <w:numId w:val="18"/>
        </w:numPr>
        <w:rPr>
          <w:rFonts w:ascii="Calibri" w:cs="Calibri" w:eastAsia="Calibri" w:hAnsi="Calibri"/>
          <w:sz w:val="18"/>
          <w:szCs w:val="18"/>
          <w:b w:val="1"/>
          <w:bCs w:val="1"/>
          <w:color w:val="FFFFFF"/>
        </w:rPr>
      </w:pPr>
      <w:r>
        <w:rPr>
          <w:rFonts w:ascii="Calibri" w:cs="Calibri" w:eastAsia="Calibri" w:hAnsi="Calibri"/>
          <w:sz w:val="18"/>
          <w:szCs w:val="18"/>
          <w:b w:val="1"/>
          <w:bCs w:val="1"/>
          <w:color w:val="51555C"/>
        </w:rPr>
        <w:t>Product Innovaton and Delivery</w:t>
      </w:r>
    </w:p>
    <w:p>
      <w:pPr>
        <w:spacing w:after="0" w:line="198" w:lineRule="exact"/>
        <w:rPr>
          <w:rFonts w:ascii="Calibri" w:cs="Calibri" w:eastAsia="Calibri" w:hAnsi="Calibri"/>
          <w:sz w:val="18"/>
          <w:szCs w:val="18"/>
          <w:b w:val="1"/>
          <w:bCs w:val="1"/>
          <w:color w:val="FFFFFF"/>
        </w:rPr>
      </w:pPr>
    </w:p>
    <w:p>
      <w:pPr>
        <w:ind w:left="840"/>
        <w:spacing w:after="0"/>
        <w:rPr>
          <w:rFonts w:ascii="Calibri" w:cs="Calibri" w:eastAsia="Calibri" w:hAnsi="Calibri"/>
          <w:sz w:val="18"/>
          <w:szCs w:val="18"/>
          <w:b w:val="1"/>
          <w:bCs w:val="1"/>
          <w:color w:val="FFFFFF"/>
        </w:rPr>
      </w:pPr>
      <w:r>
        <w:rPr>
          <w:rFonts w:ascii="Calibri" w:cs="Calibri" w:eastAsia="Calibri" w:hAnsi="Calibri"/>
          <w:sz w:val="18"/>
          <w:szCs w:val="18"/>
          <w:b w:val="1"/>
          <w:bCs w:val="1"/>
          <w:color w:val="FFFFFF"/>
        </w:rPr>
        <w:t>2</w:t>
      </w:r>
      <w:r>
        <w:rPr>
          <w:rFonts w:ascii="Calibri" w:cs="Calibri" w:eastAsia="Calibri" w:hAnsi="Calibri"/>
          <w:sz w:val="17"/>
          <w:szCs w:val="17"/>
          <w:b w:val="1"/>
          <w:bCs w:val="1"/>
          <w:color w:val="51555C"/>
        </w:rPr>
        <w:t>Bookings Growth and Acceleraton</w:t>
      </w:r>
    </w:p>
    <w:p>
      <w:pPr>
        <w:spacing w:after="0" w:line="198" w:lineRule="exact"/>
        <w:rPr>
          <w:rFonts w:ascii="Calibri" w:cs="Calibri" w:eastAsia="Calibri" w:hAnsi="Calibri"/>
          <w:sz w:val="18"/>
          <w:szCs w:val="18"/>
          <w:b w:val="1"/>
          <w:bCs w:val="1"/>
          <w:color w:val="FFFFFF"/>
        </w:rPr>
      </w:pPr>
    </w:p>
    <w:p>
      <w:pPr>
        <w:ind w:left="840"/>
        <w:spacing w:after="0"/>
        <w:rPr>
          <w:rFonts w:ascii="Calibri" w:cs="Calibri" w:eastAsia="Calibri" w:hAnsi="Calibri"/>
          <w:sz w:val="18"/>
          <w:szCs w:val="18"/>
          <w:b w:val="1"/>
          <w:bCs w:val="1"/>
          <w:color w:val="FFFFFF"/>
        </w:rPr>
      </w:pPr>
      <w:r>
        <w:rPr>
          <w:rFonts w:ascii="Calibri" w:cs="Calibri" w:eastAsia="Calibri" w:hAnsi="Calibri"/>
          <w:sz w:val="18"/>
          <w:szCs w:val="18"/>
          <w:b w:val="1"/>
          <w:bCs w:val="1"/>
          <w:color w:val="FFFFFF"/>
        </w:rPr>
        <w:t>3</w:t>
      </w:r>
      <w:r>
        <w:rPr>
          <w:rFonts w:ascii="Calibri" w:cs="Calibri" w:eastAsia="Calibri" w:hAnsi="Calibri"/>
          <w:sz w:val="18"/>
          <w:szCs w:val="18"/>
          <w:b w:val="1"/>
          <w:bCs w:val="1"/>
          <w:color w:val="51555C"/>
        </w:rPr>
        <w:t>Transactonal Revenue Optmizaton and Expansion</w:t>
      </w:r>
    </w:p>
    <w:p>
      <w:pPr>
        <w:spacing w:after="0" w:line="198" w:lineRule="exact"/>
        <w:rPr>
          <w:rFonts w:ascii="Calibri" w:cs="Calibri" w:eastAsia="Calibri" w:hAnsi="Calibri"/>
          <w:sz w:val="18"/>
          <w:szCs w:val="18"/>
          <w:b w:val="1"/>
          <w:bCs w:val="1"/>
          <w:color w:val="FFFFFF"/>
        </w:rPr>
      </w:pPr>
    </w:p>
    <w:p>
      <w:pPr>
        <w:ind w:left="840"/>
        <w:spacing w:after="0"/>
        <w:rPr>
          <w:rFonts w:ascii="Calibri" w:cs="Calibri" w:eastAsia="Calibri" w:hAnsi="Calibri"/>
          <w:sz w:val="18"/>
          <w:szCs w:val="18"/>
          <w:b w:val="1"/>
          <w:bCs w:val="1"/>
          <w:color w:val="FFFFFF"/>
        </w:rPr>
      </w:pPr>
      <w:r>
        <w:rPr>
          <w:rFonts w:ascii="Calibri" w:cs="Calibri" w:eastAsia="Calibri" w:hAnsi="Calibri"/>
          <w:sz w:val="18"/>
          <w:szCs w:val="18"/>
          <w:b w:val="1"/>
          <w:bCs w:val="1"/>
          <w:color w:val="FFFFFF"/>
        </w:rPr>
        <w:t>4</w:t>
      </w:r>
      <w:r>
        <w:rPr>
          <w:rFonts w:ascii="Calibri" w:cs="Calibri" w:eastAsia="Calibri" w:hAnsi="Calibri"/>
          <w:sz w:val="17"/>
          <w:szCs w:val="17"/>
          <w:b w:val="1"/>
          <w:bCs w:val="1"/>
          <w:color w:val="51555C"/>
        </w:rPr>
        <w:t>Modernized Approach to Pricing and Mult-Year Customer Contracts</w:t>
      </w:r>
    </w:p>
    <w:p>
      <w:pPr>
        <w:spacing w:after="0" w:line="198" w:lineRule="exact"/>
        <w:rPr>
          <w:rFonts w:ascii="Calibri" w:cs="Calibri" w:eastAsia="Calibri" w:hAnsi="Calibri"/>
          <w:sz w:val="18"/>
          <w:szCs w:val="18"/>
          <w:b w:val="1"/>
          <w:bCs w:val="1"/>
          <w:color w:val="FFFFFF"/>
        </w:rPr>
      </w:pPr>
    </w:p>
    <w:p>
      <w:pPr>
        <w:ind w:left="840"/>
        <w:spacing w:after="0"/>
        <w:rPr>
          <w:rFonts w:ascii="Calibri" w:cs="Calibri" w:eastAsia="Calibri" w:hAnsi="Calibri"/>
          <w:sz w:val="18"/>
          <w:szCs w:val="18"/>
          <w:b w:val="1"/>
          <w:bCs w:val="1"/>
          <w:color w:val="FFFFFF"/>
        </w:rPr>
      </w:pPr>
      <w:r>
        <w:rPr>
          <w:rFonts w:ascii="Calibri" w:cs="Calibri" w:eastAsia="Calibri" w:hAnsi="Calibri"/>
          <w:sz w:val="18"/>
          <w:szCs w:val="18"/>
          <w:b w:val="1"/>
          <w:bCs w:val="1"/>
          <w:color w:val="FFFFFF"/>
        </w:rPr>
        <w:t>5</w:t>
      </w:r>
      <w:r>
        <w:rPr>
          <w:rFonts w:ascii="Calibri" w:cs="Calibri" w:eastAsia="Calibri" w:hAnsi="Calibri"/>
          <w:sz w:val="17"/>
          <w:szCs w:val="17"/>
          <w:b w:val="1"/>
          <w:bCs w:val="1"/>
          <w:color w:val="51555C"/>
        </w:rPr>
        <w:t>Keen Atenton to Cost Management</w:t>
      </w:r>
    </w:p>
    <w:p>
      <w:pPr>
        <w:spacing w:after="0" w:line="306" w:lineRule="exact"/>
        <w:rPr>
          <w:rFonts w:ascii="Calibri" w:cs="Calibri" w:eastAsia="Calibri" w:hAnsi="Calibri"/>
          <w:sz w:val="18"/>
          <w:szCs w:val="18"/>
          <w:b w:val="1"/>
          <w:bCs w:val="1"/>
          <w:color w:val="FFFFFF"/>
        </w:rPr>
      </w:pPr>
    </w:p>
    <w:p>
      <w:pPr>
        <w:ind w:left="320" w:hanging="312"/>
        <w:spacing w:after="0"/>
        <w:tabs>
          <w:tab w:leader="none" w:pos="320" w:val="left"/>
        </w:tabs>
        <w:numPr>
          <w:ilvl w:val="0"/>
          <w:numId w:val="18"/>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Product Innovaton and Delivery</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Product is core at Blackbaud, and we strive to bring increased value to our customers with improved and innovatve capabilites. We have recently announced or released a number of product enhancements as well as new solutons that enable our customers to beter deliver on their missions. Some examples include:</w:t>
      </w:r>
    </w:p>
    <w:p>
      <w:pPr>
        <w:spacing w:after="0" w:line="164" w:lineRule="exact"/>
        <w:rPr>
          <w:rFonts w:ascii="Calibri" w:cs="Calibri" w:eastAsia="Calibri" w:hAnsi="Calibri"/>
          <w:sz w:val="18"/>
          <w:szCs w:val="18"/>
          <w:i w:val="1"/>
          <w:iCs w:val="1"/>
          <w:color w:val="51555C"/>
        </w:rPr>
      </w:pPr>
    </w:p>
    <w:p>
      <w:pPr>
        <w:jc w:val="both"/>
        <w:ind w:left="660" w:hanging="328"/>
        <w:spacing w:after="0" w:line="235" w:lineRule="auto"/>
        <w:tabs>
          <w:tab w:leader="none" w:pos="653" w:val="left"/>
        </w:tabs>
        <w:numPr>
          <w:ilvl w:val="1"/>
          <w:numId w:val="18"/>
        </w:numPr>
        <w:rPr>
          <w:rFonts w:ascii="Calibri" w:cs="Calibri" w:eastAsia="Calibri" w:hAnsi="Calibri"/>
          <w:sz w:val="18"/>
          <w:szCs w:val="18"/>
          <w:color w:val="51555C"/>
        </w:rPr>
      </w:pPr>
      <w:r>
        <w:rPr>
          <w:rFonts w:ascii="Calibri" w:cs="Calibri" w:eastAsia="Calibri" w:hAnsi="Calibri"/>
          <w:sz w:val="18"/>
          <w:szCs w:val="18"/>
          <w:color w:val="51555C"/>
        </w:rPr>
        <w:t>Optmized Online Donaton Capabilites: New online donaton capabilites that fully integrate with Blackbaud’s payment processing and CRM sofware and enable customers to raise more money while reducing processing costs. We recently began an early adopter program for the new donaton capabilites with a small sample of RE NXT customers across charity, educaton, and arts and cultural organizatons. We expect to make them generally available in the frst half of 2024.</w:t>
      </w:r>
    </w:p>
    <w:p>
      <w:pPr>
        <w:spacing w:after="0" w:line="165" w:lineRule="exact"/>
        <w:rPr>
          <w:rFonts w:ascii="Calibri" w:cs="Calibri" w:eastAsia="Calibri" w:hAnsi="Calibri"/>
          <w:sz w:val="18"/>
          <w:szCs w:val="18"/>
          <w:color w:val="51555C"/>
        </w:rPr>
      </w:pPr>
    </w:p>
    <w:p>
      <w:pPr>
        <w:ind w:left="660" w:hanging="328"/>
        <w:spacing w:after="0" w:line="235" w:lineRule="auto"/>
        <w:tabs>
          <w:tab w:leader="none" w:pos="653" w:val="left"/>
        </w:tabs>
        <w:numPr>
          <w:ilvl w:val="1"/>
          <w:numId w:val="18"/>
        </w:numPr>
        <w:rPr>
          <w:rFonts w:ascii="Calibri" w:cs="Calibri" w:eastAsia="Calibri" w:hAnsi="Calibri"/>
          <w:sz w:val="18"/>
          <w:szCs w:val="18"/>
          <w:color w:val="51555C"/>
        </w:rPr>
      </w:pPr>
      <w:r>
        <w:rPr>
          <w:rFonts w:ascii="Calibri" w:cs="Calibri" w:eastAsia="Calibri" w:hAnsi="Calibri"/>
          <w:sz w:val="18"/>
          <w:szCs w:val="18"/>
          <w:color w:val="51555C"/>
        </w:rPr>
        <w:t>Prospect Insights Pro for Raiser’s Edge NXT®: New add-on capability within Raiser’s Edge NXT® that gives fundraisers access to AI-driven insights to support planned and major gif fundraising</w:t>
      </w:r>
    </w:p>
    <w:p>
      <w:pPr>
        <w:spacing w:after="0" w:line="157" w:lineRule="exact"/>
        <w:rPr>
          <w:rFonts w:ascii="Calibri" w:cs="Calibri" w:eastAsia="Calibri" w:hAnsi="Calibri"/>
          <w:sz w:val="18"/>
          <w:szCs w:val="18"/>
          <w:color w:val="51555C"/>
        </w:rPr>
      </w:pPr>
    </w:p>
    <w:p>
      <w:pPr>
        <w:ind w:left="660" w:hanging="328"/>
        <w:spacing w:after="0" w:line="209" w:lineRule="auto"/>
        <w:tabs>
          <w:tab w:leader="none" w:pos="653" w:val="left"/>
        </w:tabs>
        <w:numPr>
          <w:ilvl w:val="1"/>
          <w:numId w:val="18"/>
        </w:numPr>
        <w:rPr>
          <w:rFonts w:ascii="Calibri" w:cs="Calibri" w:eastAsia="Calibri" w:hAnsi="Calibri"/>
          <w:sz w:val="18"/>
          <w:szCs w:val="18"/>
          <w:color w:val="51555C"/>
        </w:rPr>
      </w:pPr>
      <w:r>
        <w:rPr>
          <w:rFonts w:ascii="Calibri" w:cs="Calibri" w:eastAsia="Calibri" w:hAnsi="Calibri"/>
          <w:sz w:val="18"/>
          <w:szCs w:val="18"/>
          <w:color w:val="51555C"/>
        </w:rPr>
        <w:t>Impact Edge</w:t>
      </w:r>
      <w:r>
        <w:rPr>
          <w:rFonts w:ascii="Calibri" w:cs="Calibri" w:eastAsia="Calibri" w:hAnsi="Calibri"/>
          <w:sz w:val="23"/>
          <w:szCs w:val="23"/>
          <w:color w:val="51555C"/>
          <w:vertAlign w:val="superscript"/>
        </w:rPr>
        <w:t>TM</w:t>
      </w:r>
      <w:r>
        <w:rPr>
          <w:rFonts w:ascii="Calibri" w:cs="Calibri" w:eastAsia="Calibri" w:hAnsi="Calibri"/>
          <w:sz w:val="18"/>
          <w:szCs w:val="18"/>
          <w:color w:val="51555C"/>
        </w:rPr>
        <w:t>: A frst-of-its-kind AI-powered, social impact reportng and storytelling soluton for corporate social responsibility (CSR) and social impact teams of all sizes. This new soluton is currently in an early adopter program with our planned full roll out in the second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-3198495</wp:posOffset>
            </wp:positionV>
            <wp:extent cx="265430" cy="197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5430" cy="19748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-2932430</wp:posOffset>
            </wp:positionV>
            <wp:extent cx="265430" cy="196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430" cy="1968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-2667000</wp:posOffset>
            </wp:positionV>
            <wp:extent cx="265430" cy="196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5430" cy="1968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-2400935</wp:posOffset>
            </wp:positionV>
            <wp:extent cx="265430" cy="1974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5430" cy="19748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221615</wp:posOffset>
            </wp:positionV>
            <wp:extent cx="7289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660" w:hanging="328"/>
        <w:spacing w:after="0" w:line="235" w:lineRule="auto"/>
        <w:tabs>
          <w:tab w:leader="none" w:pos="653" w:val="left"/>
        </w:tabs>
        <w:numPr>
          <w:ilvl w:val="1"/>
          <w:numId w:val="19"/>
        </w:numPr>
        <w:rPr>
          <w:rFonts w:ascii="Calibri" w:cs="Calibri" w:eastAsia="Calibri" w:hAnsi="Calibri"/>
          <w:sz w:val="18"/>
          <w:szCs w:val="18"/>
          <w:color w:val="51555C"/>
        </w:rPr>
      </w:pPr>
      <w:r>
        <w:rPr>
          <w:rFonts w:ascii="Calibri" w:cs="Calibri" w:eastAsia="Calibri" w:hAnsi="Calibri"/>
          <w:sz w:val="18"/>
          <w:szCs w:val="18"/>
          <w:color w:val="51555C"/>
        </w:rPr>
        <w:t>JustGiving Storywriter: With new generatve AI capabilites, fundraisers on JustGiving are able to quickly and easily create personal stories to share with their networks. Company research has shown that JustGiving pages that include a clear and personal story raise approximately 65% more than those that don’t.</w:t>
      </w:r>
    </w:p>
    <w:p>
      <w:pPr>
        <w:spacing w:after="0" w:line="158" w:lineRule="exact"/>
        <w:rPr>
          <w:rFonts w:ascii="Calibri" w:cs="Calibri" w:eastAsia="Calibri" w:hAnsi="Calibri"/>
          <w:sz w:val="18"/>
          <w:szCs w:val="18"/>
          <w:color w:val="51555C"/>
        </w:rPr>
      </w:pPr>
    </w:p>
    <w:p>
      <w:pPr>
        <w:jc w:val="both"/>
        <w:ind w:left="660" w:hanging="328"/>
        <w:spacing w:after="0" w:line="217" w:lineRule="auto"/>
        <w:tabs>
          <w:tab w:leader="none" w:pos="653" w:val="left"/>
        </w:tabs>
        <w:numPr>
          <w:ilvl w:val="1"/>
          <w:numId w:val="19"/>
        </w:numPr>
        <w:rPr>
          <w:rFonts w:ascii="Calibri" w:cs="Calibri" w:eastAsia="Calibri" w:hAnsi="Calibri"/>
          <w:sz w:val="18"/>
          <w:szCs w:val="18"/>
          <w:color w:val="51555C"/>
        </w:rPr>
      </w:pPr>
      <w:r>
        <w:rPr>
          <w:rFonts w:ascii="Calibri" w:cs="Calibri" w:eastAsia="Calibri" w:hAnsi="Calibri"/>
          <w:sz w:val="18"/>
          <w:szCs w:val="18"/>
          <w:color w:val="51555C"/>
        </w:rPr>
        <w:t>Good Move</w:t>
      </w:r>
      <w:r>
        <w:rPr>
          <w:rFonts w:ascii="Calibri" w:cs="Calibri" w:eastAsia="Calibri" w:hAnsi="Calibri"/>
          <w:sz w:val="23"/>
          <w:szCs w:val="23"/>
          <w:color w:val="51555C"/>
          <w:vertAlign w:val="superscript"/>
        </w:rPr>
        <w:t>TM</w:t>
      </w:r>
      <w:r>
        <w:rPr>
          <w:rFonts w:ascii="Calibri" w:cs="Calibri" w:eastAsia="Calibri" w:hAnsi="Calibri"/>
          <w:sz w:val="18"/>
          <w:szCs w:val="18"/>
          <w:color w:val="51555C"/>
        </w:rPr>
        <w:t>: New development transformed the Good Move actvity-tracking mobile app into a powerful mobile partcipant center for Blackbaud TeamRaiser® peer-to-peer fundraising events. The new expansive feature for Blackbaud TeamRaiser® became generally available in the U.S. and Canada in March 2023.</w:t>
      </w:r>
    </w:p>
    <w:p>
      <w:pPr>
        <w:spacing w:after="0" w:line="165" w:lineRule="exact"/>
        <w:rPr>
          <w:rFonts w:ascii="Calibri" w:cs="Calibri" w:eastAsia="Calibri" w:hAnsi="Calibri"/>
          <w:sz w:val="18"/>
          <w:szCs w:val="18"/>
          <w:color w:val="51555C"/>
        </w:rPr>
      </w:pPr>
    </w:p>
    <w:p>
      <w:pPr>
        <w:ind w:left="660" w:hanging="328"/>
        <w:spacing w:after="0" w:line="235" w:lineRule="auto"/>
        <w:tabs>
          <w:tab w:leader="none" w:pos="653" w:val="left"/>
        </w:tabs>
        <w:numPr>
          <w:ilvl w:val="1"/>
          <w:numId w:val="19"/>
        </w:numPr>
        <w:rPr>
          <w:rFonts w:ascii="Calibri" w:cs="Calibri" w:eastAsia="Calibri" w:hAnsi="Calibri"/>
          <w:sz w:val="18"/>
          <w:szCs w:val="18"/>
          <w:color w:val="51555C"/>
        </w:rPr>
      </w:pPr>
      <w:r>
        <w:rPr>
          <w:rFonts w:ascii="Calibri" w:cs="Calibri" w:eastAsia="Calibri" w:hAnsi="Calibri"/>
          <w:sz w:val="18"/>
          <w:szCs w:val="18"/>
          <w:color w:val="51555C"/>
        </w:rPr>
        <w:t>Intelligence for Good®: In summer 2023, we launched next generaton Intelligence for Good® strategy with an extensive agenda of initatves and investments targeted at making artfcial intelligence more accessible, powerful and responsible across the social impact sector</w:t>
      </w:r>
    </w:p>
    <w:p>
      <w:pPr>
        <w:spacing w:after="0" w:line="158" w:lineRule="exact"/>
        <w:rPr>
          <w:rFonts w:ascii="Calibri" w:cs="Calibri" w:eastAsia="Calibri" w:hAnsi="Calibri"/>
          <w:sz w:val="18"/>
          <w:szCs w:val="18"/>
          <w:color w:val="51555C"/>
        </w:rPr>
      </w:pPr>
    </w:p>
    <w:p>
      <w:pPr>
        <w:ind w:left="320" w:hanging="312"/>
        <w:spacing w:after="0"/>
        <w:tabs>
          <w:tab w:leader="none" w:pos="320" w:val="left"/>
        </w:tabs>
        <w:numPr>
          <w:ilvl w:val="0"/>
          <w:numId w:val="19"/>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Bookings Growth and Acceleraton</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We maintain a keen focus on acceleratng bookings growth by signing new logos as well as upselling and cross-selling our existng customer base. Our sales team is split between prospect account executves dedicated to prospectng for new clients and customer account executves who focus on selling additonal products to current customers. Given the breadth of our product portolio, this “land and expand” model has proven successful for us over tme. As previously disclosed, there can be volatlity quarter-to-quarter on bookings.</w:t>
      </w:r>
    </w:p>
    <w:p>
      <w:pPr>
        <w:spacing w:after="0" w:line="160"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19"/>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Transactonal Revenue Optmizaton and Expansion</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Transactonal revenue, which is about one-third of total revenue, is comprised of four primary components: donaton processing (~55% of total transactonal revenue); consumer giving (~20%); tuiton management (~20%); and event-based usage (~5%). The diversity of the underlying transacton volumes from these four sources has resulted in consistent transactonal recurring revenue growth in the mid-to-high single digits over the past several years. Strong momentum in consumer giving and tuiton management, rate increases on Blackbaud Merchant Services, and increased donatons ted to global events drove contnued solid transactonal recurring revenue growth in 2023. Going forward we will contnue to implement additonal payments solutons optmizaton to drive enhanced donor experience.</w:t>
      </w:r>
    </w:p>
    <w:p>
      <w:pPr>
        <w:spacing w:after="0" w:line="162"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19"/>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Modernized Approach to Pricing and Mult-Year Contracts</w:t>
      </w:r>
    </w:p>
    <w:p>
      <w:pPr>
        <w:spacing w:after="0" w:line="163"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Last summer, we put in place an updated pricing policy primarily for our social sector customers that directly refects the value we provide to them, is in-line with the broader market and refects the infatonary pressures that all businesses are facing. In November 2022, we started notfying customers with a March 2023 contract renewal that we would be making important contract changes. First, we are ofering 3-year contract renewal terms as our standard, replacing one-year renewal terms. This process was already being implemented outside of the pricing changes. Second, we are implementng a more signifcant rate increase on the 1-year renewal opton versus the 3-year renewal opton. And third, the 3-year renewal opton includes embedded annual rate increases. Our 3-year renewal optons did not historically include annual rate increases.</w:t>
      </w:r>
    </w:p>
    <w:p>
      <w:pPr>
        <w:spacing w:after="0" w:line="167" w:lineRule="exact"/>
        <w:rPr>
          <w:rFonts w:ascii="Calibri" w:cs="Calibri" w:eastAsia="Calibri" w:hAnsi="Calibri"/>
          <w:sz w:val="18"/>
          <w:szCs w:val="18"/>
          <w:i w:val="1"/>
          <w:iCs w:val="1"/>
          <w:color w:val="51555C"/>
        </w:rPr>
      </w:pPr>
    </w:p>
    <w:p>
      <w:pPr>
        <w:jc w:val="both"/>
        <w:ind w:left="340"/>
        <w:spacing w:after="0" w:line="235" w:lineRule="auto"/>
        <w:rPr>
          <w:rFonts w:ascii="Calibri" w:cs="Calibri" w:eastAsia="Calibri" w:hAnsi="Calibri"/>
          <w:sz w:val="18"/>
          <w:szCs w:val="18"/>
          <w:i w:val="1"/>
          <w:iCs w:val="1"/>
          <w:color w:val="51555C"/>
        </w:rPr>
      </w:pPr>
      <w:r>
        <w:rPr>
          <w:rFonts w:ascii="Calibri" w:cs="Calibri" w:eastAsia="Calibri" w:hAnsi="Calibri"/>
          <w:sz w:val="18"/>
          <w:szCs w:val="18"/>
          <w:color w:val="51555C"/>
        </w:rPr>
        <w:t>These eforts are well on their way and we have now completed the 2023 renewal cohort, which represented approximately 35% of the total contractual revenue eligible for this program. Approximately another 30% of the renewable base is up for renewal in 2024, another 25% in 2025, and the remaining 10% in the beginning of 2026. The close day-to-day management of renewals, the mix of 3-year and 1-year contracts, and the impact of pricing are progressing well, and we expect more impact from the compounding efect of these rate increases over tme as we layer in future year contract renewals and annual rate increases. Additonally, the adopton of 3-year renewals as a standard, with more customers optng for this opton than we originally expected, are expected to have an added beneft of higher retenton which provides greater revenue assurance and predictability. Looking even further ahead, the cycle starts fresh in 2026 as the 2023 signed contracts will begin to renew. We expect that this will be a sustainable and meaningful revenue growth stream for us.</w:t>
      </w:r>
    </w:p>
    <w:p>
      <w:pPr>
        <w:spacing w:after="0" w:line="163" w:lineRule="exact"/>
        <w:rPr>
          <w:rFonts w:ascii="Calibri" w:cs="Calibri" w:eastAsia="Calibri" w:hAnsi="Calibri"/>
          <w:sz w:val="18"/>
          <w:szCs w:val="18"/>
          <w:i w:val="1"/>
          <w:iCs w:val="1"/>
          <w:color w:val="51555C"/>
        </w:rPr>
      </w:pPr>
    </w:p>
    <w:p>
      <w:pPr>
        <w:ind w:left="320" w:hanging="312"/>
        <w:spacing w:after="0"/>
        <w:tabs>
          <w:tab w:leader="none" w:pos="320" w:val="left"/>
        </w:tabs>
        <w:numPr>
          <w:ilvl w:val="0"/>
          <w:numId w:val="19"/>
        </w:numPr>
        <w:rPr>
          <w:rFonts w:ascii="Calibri" w:cs="Calibri" w:eastAsia="Calibri" w:hAnsi="Calibri"/>
          <w:sz w:val="18"/>
          <w:szCs w:val="18"/>
          <w:i w:val="1"/>
          <w:iCs w:val="1"/>
          <w:color w:val="51555C"/>
        </w:rPr>
      </w:pPr>
      <w:r>
        <w:rPr>
          <w:rFonts w:ascii="Calibri" w:cs="Calibri" w:eastAsia="Calibri" w:hAnsi="Calibri"/>
          <w:sz w:val="18"/>
          <w:szCs w:val="18"/>
          <w:i w:val="1"/>
          <w:iCs w:val="1"/>
          <w:color w:val="51555C"/>
        </w:rPr>
        <w:t>Keen Atenton to Cost Management</w:t>
      </w:r>
    </w:p>
    <w:p>
      <w:pPr>
        <w:spacing w:after="0" w:line="158" w:lineRule="exact"/>
        <w:rPr>
          <w:rFonts w:ascii="Calibri" w:cs="Calibri" w:eastAsia="Calibri" w:hAnsi="Calibri"/>
          <w:sz w:val="18"/>
          <w:szCs w:val="18"/>
          <w:i w:val="1"/>
          <w:iCs w:val="1"/>
          <w:color w:val="51555C"/>
        </w:rPr>
      </w:pPr>
    </w:p>
    <w:p>
      <w:pPr>
        <w:ind w:left="340"/>
        <w:spacing w:after="0"/>
        <w:rPr>
          <w:rFonts w:ascii="Calibri" w:cs="Calibri" w:eastAsia="Calibri" w:hAnsi="Calibri"/>
          <w:sz w:val="18"/>
          <w:szCs w:val="18"/>
          <w:i w:val="1"/>
          <w:iCs w:val="1"/>
          <w:color w:val="51555C"/>
        </w:rPr>
      </w:pPr>
      <w:r>
        <w:rPr>
          <w:rFonts w:ascii="Calibri" w:cs="Calibri" w:eastAsia="Calibri" w:hAnsi="Calibri"/>
          <w:sz w:val="18"/>
          <w:szCs w:val="18"/>
          <w:color w:val="51555C"/>
        </w:rPr>
        <w:t>Cost management initatves already completed drove a signifcant improvement in proftability during 2023. These initatves included:</w:t>
      </w:r>
    </w:p>
    <w:p>
      <w:pPr>
        <w:spacing w:after="0" w:line="158" w:lineRule="exact"/>
        <w:rPr>
          <w:rFonts w:ascii="Calibri" w:cs="Calibri" w:eastAsia="Calibri" w:hAnsi="Calibri"/>
          <w:sz w:val="18"/>
          <w:szCs w:val="18"/>
          <w:i w:val="1"/>
          <w:iCs w:val="1"/>
          <w:color w:val="51555C"/>
        </w:rPr>
      </w:pPr>
    </w:p>
    <w:p>
      <w:pPr>
        <w:ind w:left="640" w:hanging="308"/>
        <w:spacing w:after="0"/>
        <w:tabs>
          <w:tab w:leader="none" w:pos="640" w:val="left"/>
        </w:tabs>
        <w:numPr>
          <w:ilvl w:val="1"/>
          <w:numId w:val="19"/>
        </w:numPr>
        <w:rPr>
          <w:rFonts w:ascii="Calibri" w:cs="Calibri" w:eastAsia="Calibri" w:hAnsi="Calibri"/>
          <w:sz w:val="18"/>
          <w:szCs w:val="18"/>
          <w:color w:val="51555C"/>
        </w:rPr>
      </w:pPr>
      <w:r>
        <w:rPr>
          <w:rFonts w:ascii="Calibri" w:cs="Calibri" w:eastAsia="Calibri" w:hAnsi="Calibri"/>
          <w:sz w:val="18"/>
          <w:szCs w:val="18"/>
          <w:color w:val="51555C"/>
        </w:rPr>
        <w:t>A reducton in headcount from approximately 3,600 in the third quarter of 2022 to approximately 3,000 as of December 31, 2023</w:t>
      </w:r>
    </w:p>
    <w:p>
      <w:pPr>
        <w:spacing w:after="0" w:line="310"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36</w:t>
      </w:r>
      <w:r>
        <w:rPr>
          <w:sz w:val="20"/>
          <w:szCs w:val="20"/>
          <w:color w:val="auto"/>
        </w:rPr>
        <w:tab/>
      </w:r>
      <w:r>
        <w:rPr>
          <w:sz w:val="1"/>
          <w:szCs w:val="1"/>
          <w:color w:val="auto"/>
        </w:rPr>
        <w:drawing>
          <wp:inline distT="0" distB="0" distL="0" distR="0">
            <wp:extent cx="728345" cy="1885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hanging="328"/>
        <w:spacing w:after="0" w:line="235" w:lineRule="auto"/>
        <w:tabs>
          <w:tab w:leader="none" w:pos="653" w:val="left"/>
        </w:tabs>
        <w:numPr>
          <w:ilvl w:val="0"/>
          <w:numId w:val="20"/>
        </w:numPr>
        <w:rPr>
          <w:rFonts w:ascii="Calibri" w:cs="Calibri" w:eastAsia="Calibri" w:hAnsi="Calibri"/>
          <w:sz w:val="18"/>
          <w:szCs w:val="18"/>
          <w:color w:val="51555C"/>
        </w:rPr>
      </w:pPr>
      <w:r>
        <w:rPr>
          <w:rFonts w:ascii="Calibri" w:cs="Calibri" w:eastAsia="Calibri" w:hAnsi="Calibri"/>
          <w:sz w:val="18"/>
          <w:szCs w:val="18"/>
          <w:color w:val="51555C"/>
        </w:rPr>
        <w:t>Contnued IT consolidaton as we migrate customers from legacy private data centers to leading public cloud service providers. We closed four legacy data centers during 2022 and two in 2023.</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20"/>
        </w:numPr>
        <w:rPr>
          <w:rFonts w:ascii="Calibri" w:cs="Calibri" w:eastAsia="Calibri" w:hAnsi="Calibri"/>
          <w:sz w:val="18"/>
          <w:szCs w:val="18"/>
          <w:color w:val="51555C"/>
        </w:rPr>
      </w:pPr>
      <w:r>
        <w:rPr>
          <w:rFonts w:ascii="Calibri" w:cs="Calibri" w:eastAsia="Calibri" w:hAnsi="Calibri"/>
          <w:sz w:val="18"/>
          <w:szCs w:val="18"/>
          <w:color w:val="51555C"/>
        </w:rPr>
        <w:t>Renegotated key vendor contracts including Microsof Azure and AWS</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20"/>
        </w:numPr>
        <w:rPr>
          <w:rFonts w:ascii="Calibri" w:cs="Calibri" w:eastAsia="Calibri" w:hAnsi="Calibri"/>
          <w:sz w:val="18"/>
          <w:szCs w:val="18"/>
          <w:color w:val="51555C"/>
        </w:rPr>
      </w:pPr>
      <w:r>
        <w:rPr>
          <w:rFonts w:ascii="Calibri" w:cs="Calibri" w:eastAsia="Calibri" w:hAnsi="Calibri"/>
          <w:sz w:val="18"/>
          <w:szCs w:val="18"/>
          <w:color w:val="51555C"/>
        </w:rPr>
        <w:t>Reduced our real estate footprint as part of the shif to a remote frst workforce</w:t>
      </w:r>
    </w:p>
    <w:p>
      <w:pPr>
        <w:spacing w:after="0" w:line="163" w:lineRule="exact"/>
        <w:rPr>
          <w:sz w:val="20"/>
          <w:szCs w:val="20"/>
          <w:color w:val="auto"/>
        </w:rPr>
      </w:pPr>
    </w:p>
    <w:p>
      <w:pPr>
        <w:ind w:left="340"/>
        <w:spacing w:after="0" w:line="235" w:lineRule="auto"/>
        <w:rPr>
          <w:sz w:val="20"/>
          <w:szCs w:val="20"/>
          <w:color w:val="auto"/>
        </w:rPr>
      </w:pPr>
      <w:r>
        <w:rPr>
          <w:rFonts w:ascii="Calibri" w:cs="Calibri" w:eastAsia="Calibri" w:hAnsi="Calibri"/>
          <w:sz w:val="18"/>
          <w:szCs w:val="18"/>
          <w:color w:val="51555C"/>
        </w:rPr>
        <w:t>Going forward, our goal is to run the business at about this headcount level for the foreseeable future, while contnuing to drive efciencies in other areas of the business.</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Financial Summary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gridSpan w:val="2"/>
          </w:tcPr>
          <w:p>
            <w:pPr>
              <w:jc w:val="center"/>
              <w:ind w:right="640"/>
              <w:spacing w:after="0"/>
              <w:rPr>
                <w:sz w:val="20"/>
                <w:szCs w:val="20"/>
                <w:color w:val="auto"/>
              </w:rPr>
            </w:pPr>
            <w:r>
              <w:rPr>
                <w:rFonts w:ascii="Calibri" w:cs="Calibri" w:eastAsia="Calibri" w:hAnsi="Calibri"/>
                <w:sz w:val="18"/>
                <w:szCs w:val="18"/>
                <w:i w:val="1"/>
                <w:iCs w:val="1"/>
                <w:color w:val="51555C"/>
                <w:w w:val="96"/>
              </w:rPr>
              <w:t>Total Revenue ($M)</w:t>
            </w:r>
          </w:p>
        </w:tc>
        <w:tc>
          <w:tcPr>
            <w:tcW w:w="4300" w:type="dxa"/>
            <w:vAlign w:val="bottom"/>
          </w:tcPr>
          <w:p>
            <w:pPr>
              <w:jc w:val="center"/>
              <w:spacing w:after="0"/>
              <w:rPr>
                <w:sz w:val="20"/>
                <w:szCs w:val="20"/>
                <w:color w:val="auto"/>
              </w:rPr>
            </w:pPr>
            <w:r>
              <w:rPr>
                <w:rFonts w:ascii="Calibri" w:cs="Calibri" w:eastAsia="Calibri" w:hAnsi="Calibri"/>
                <w:sz w:val="18"/>
                <w:szCs w:val="18"/>
                <w:i w:val="1"/>
                <w:iCs w:val="1"/>
                <w:color w:val="51555C"/>
                <w:w w:val="98"/>
              </w:rPr>
              <w:t>Income from Operatons ($M)</w:t>
            </w:r>
          </w:p>
        </w:tc>
      </w:tr>
      <w:tr>
        <w:trPr>
          <w:trHeight w:val="50"/>
        </w:trPr>
        <w:tc>
          <w:tcPr>
            <w:tcW w:w="4280" w:type="dxa"/>
            <w:vAlign w:val="bottom"/>
            <w:tcBorders>
              <w:bottom w:val="single" w:sz="8" w:color="51555C"/>
            </w:tcBorders>
          </w:tcPr>
          <w:p>
            <w:pPr>
              <w:spacing w:after="0"/>
              <w:rPr>
                <w:sz w:val="4"/>
                <w:szCs w:val="4"/>
                <w:color w:val="auto"/>
              </w:rPr>
            </w:pPr>
          </w:p>
        </w:tc>
        <w:tc>
          <w:tcPr>
            <w:tcW w:w="660" w:type="dxa"/>
            <w:vAlign w:val="bottom"/>
          </w:tcPr>
          <w:p>
            <w:pPr>
              <w:spacing w:after="0"/>
              <w:rPr>
                <w:sz w:val="4"/>
                <w:szCs w:val="4"/>
                <w:color w:val="auto"/>
              </w:rPr>
            </w:pPr>
          </w:p>
        </w:tc>
        <w:tc>
          <w:tcPr>
            <w:tcW w:w="4300" w:type="dxa"/>
            <w:vAlign w:val="bottom"/>
            <w:tcBorders>
              <w:bottom w:val="single" w:sz="8" w:color="51555C"/>
            </w:tcBorders>
          </w:tcPr>
          <w:p>
            <w:pPr>
              <w:spacing w:after="0"/>
              <w:rPr>
                <w:sz w:val="4"/>
                <w:szCs w:val="4"/>
                <w:color w:val="auto"/>
              </w:rPr>
            </w:pPr>
          </w:p>
        </w:tc>
      </w:tr>
      <w:tr>
        <w:trPr>
          <w:trHeight w:val="213"/>
        </w:trPr>
        <w:tc>
          <w:tcPr>
            <w:tcW w:w="4940" w:type="dxa"/>
            <w:vAlign w:val="bottom"/>
            <w:gridSpan w:val="2"/>
          </w:tcPr>
          <w:p>
            <w:pPr>
              <w:jc w:val="center"/>
              <w:ind w:right="640"/>
              <w:spacing w:after="0"/>
              <w:rPr>
                <w:sz w:val="20"/>
                <w:szCs w:val="20"/>
                <w:color w:val="auto"/>
              </w:rPr>
            </w:pPr>
            <w:r>
              <w:rPr>
                <w:rFonts w:ascii="Calibri" w:cs="Calibri" w:eastAsia="Calibri" w:hAnsi="Calibri"/>
                <w:sz w:val="13"/>
                <w:szCs w:val="13"/>
                <w:i w:val="1"/>
                <w:iCs w:val="1"/>
                <w:color w:val="51555C"/>
                <w:w w:val="95"/>
              </w:rPr>
              <w:t>YoY Growth (%)</w:t>
            </w:r>
          </w:p>
        </w:tc>
        <w:tc>
          <w:tcPr>
            <w:tcW w:w="4300" w:type="dxa"/>
            <w:vAlign w:val="bottom"/>
          </w:tcPr>
          <w:p>
            <w:pPr>
              <w:jc w:val="center"/>
              <w:spacing w:after="0"/>
              <w:rPr>
                <w:sz w:val="20"/>
                <w:szCs w:val="20"/>
                <w:color w:val="auto"/>
              </w:rPr>
            </w:pPr>
            <w:r>
              <w:rPr>
                <w:rFonts w:ascii="Calibri" w:cs="Calibri" w:eastAsia="Calibri" w:hAnsi="Calibri"/>
                <w:sz w:val="13"/>
                <w:szCs w:val="13"/>
                <w:i w:val="1"/>
                <w:iCs w:val="1"/>
                <w:color w:val="51555C"/>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186690</wp:posOffset>
            </wp:positionV>
            <wp:extent cx="5237480" cy="1423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3748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alibri" w:cs="Calibri" w:eastAsia="Calibri" w:hAnsi="Calibri"/>
          <w:sz w:val="18"/>
          <w:szCs w:val="18"/>
          <w:color w:val="51555C"/>
        </w:rPr>
        <w:t>Total revenue increased by $47.3 million during 2023, driven largely by the following:</w:t>
      </w:r>
    </w:p>
    <w:p>
      <w:pPr>
        <w:ind w:left="700" w:hanging="364"/>
        <w:spacing w:after="0" w:line="206" w:lineRule="auto"/>
        <w:tabs>
          <w:tab w:leader="none" w:pos="700" w:val="left"/>
        </w:tabs>
        <w:numPr>
          <w:ilvl w:val="0"/>
          <w:numId w:val="21"/>
        </w:numPr>
        <w:rPr>
          <w:rFonts w:ascii="Calibri" w:cs="Calibri" w:eastAsia="Calibri" w:hAnsi="Calibri"/>
          <w:sz w:val="36"/>
          <w:szCs w:val="36"/>
          <w:color w:val="51555C"/>
          <w:vertAlign w:val="superscript"/>
        </w:rPr>
      </w:pPr>
      <w:r>
        <w:rPr>
          <w:rFonts w:ascii="Calibri" w:cs="Calibri" w:eastAsia="Calibri" w:hAnsi="Calibri"/>
          <w:sz w:val="18"/>
          <w:szCs w:val="18"/>
          <w:color w:val="51555C"/>
        </w:rPr>
        <w:t>Growth in recurring revenue primarily related to:</w:t>
      </w:r>
    </w:p>
    <w:p>
      <w:pPr>
        <w:spacing w:after="0" w:line="110" w:lineRule="exact"/>
        <w:rPr>
          <w:sz w:val="20"/>
          <w:szCs w:val="20"/>
          <w:color w:val="auto"/>
        </w:rPr>
      </w:pPr>
    </w:p>
    <w:p>
      <w:pPr>
        <w:ind w:left="980" w:right="20" w:hanging="196"/>
        <w:spacing w:after="0" w:line="222" w:lineRule="auto"/>
        <w:tabs>
          <w:tab w:leader="none" w:pos="980" w:val="left"/>
        </w:tabs>
        <w:numPr>
          <w:ilvl w:val="1"/>
          <w:numId w:val="22"/>
        </w:numPr>
        <w:rPr>
          <w:rFonts w:ascii="Wingdings" w:cs="Wingdings" w:eastAsia="Wingdings" w:hAnsi="Wingdings"/>
          <w:sz w:val="22"/>
          <w:szCs w:val="22"/>
          <w:b w:val="1"/>
          <w:bCs w:val="1"/>
          <w:color w:val="51555C"/>
          <w:vertAlign w:val="superscript"/>
        </w:rPr>
      </w:pPr>
      <w:r>
        <w:rPr>
          <w:rFonts w:ascii="Calibri" w:cs="Calibri" w:eastAsia="Calibri" w:hAnsi="Calibri"/>
          <w:sz w:val="18"/>
          <w:szCs w:val="18"/>
          <w:color w:val="51555C"/>
        </w:rPr>
        <w:t>an increase in transactonal recurring revenue of $30.5 million primarily due to positve results related to pricing initatves we implemented during 2023 and increases in volume for our Blackbaud Tuiton Management, JustGiving and Blackbaud Merchant Services solutons; and</w:t>
      </w:r>
    </w:p>
    <w:p>
      <w:pPr>
        <w:spacing w:after="0" w:line="109" w:lineRule="exact"/>
        <w:rPr>
          <w:rFonts w:ascii="Wingdings" w:cs="Wingdings" w:eastAsia="Wingdings" w:hAnsi="Wingdings"/>
          <w:sz w:val="22"/>
          <w:szCs w:val="22"/>
          <w:b w:val="1"/>
          <w:bCs w:val="1"/>
          <w:color w:val="51555C"/>
          <w:vertAlign w:val="superscript"/>
        </w:rPr>
      </w:pPr>
    </w:p>
    <w:p>
      <w:pPr>
        <w:ind w:left="980" w:right="20" w:hanging="196"/>
        <w:spacing w:after="0" w:line="222" w:lineRule="auto"/>
        <w:tabs>
          <w:tab w:leader="none" w:pos="980" w:val="left"/>
        </w:tabs>
        <w:numPr>
          <w:ilvl w:val="1"/>
          <w:numId w:val="22"/>
        </w:numPr>
        <w:rPr>
          <w:rFonts w:ascii="Wingdings" w:cs="Wingdings" w:eastAsia="Wingdings" w:hAnsi="Wingdings"/>
          <w:sz w:val="22"/>
          <w:szCs w:val="22"/>
          <w:b w:val="1"/>
          <w:bCs w:val="1"/>
          <w:color w:val="51555C"/>
          <w:vertAlign w:val="superscript"/>
        </w:rPr>
      </w:pPr>
      <w:r>
        <w:rPr>
          <w:rFonts w:ascii="Calibri" w:cs="Calibri" w:eastAsia="Calibri" w:hAnsi="Calibri"/>
          <w:sz w:val="18"/>
          <w:szCs w:val="18"/>
          <w:color w:val="51555C"/>
        </w:rPr>
        <w:t>an increase in contractual revenue of $29.3 million related to the performance of our cloud solutons and, to a lesser extent, the early impact of our pricing initatves; partally ofset by a decrease in maintenance revenue as customers migrate to our cloud solutons.</w:t>
      </w:r>
    </w:p>
    <w:p>
      <w:pPr>
        <w:ind w:left="700" w:hanging="348"/>
        <w:spacing w:after="0" w:line="181" w:lineRule="auto"/>
        <w:tabs>
          <w:tab w:leader="none" w:pos="700" w:val="left"/>
        </w:tabs>
        <w:numPr>
          <w:ilvl w:val="0"/>
          <w:numId w:val="22"/>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one-tme services and other revenue primarily related to:</w:t>
      </w:r>
    </w:p>
    <w:p>
      <w:pPr>
        <w:spacing w:after="0" w:line="146" w:lineRule="exact"/>
        <w:rPr>
          <w:rFonts w:ascii="Calibri" w:cs="Calibri" w:eastAsia="Calibri" w:hAnsi="Calibri"/>
          <w:sz w:val="35"/>
          <w:szCs w:val="35"/>
          <w:color w:val="51555C"/>
          <w:vertAlign w:val="superscript"/>
        </w:rPr>
      </w:pPr>
    </w:p>
    <w:p>
      <w:pPr>
        <w:jc w:val="both"/>
        <w:ind w:left="980" w:right="20" w:hanging="196"/>
        <w:spacing w:after="0" w:line="222" w:lineRule="auto"/>
        <w:tabs>
          <w:tab w:leader="none" w:pos="980" w:val="left"/>
        </w:tabs>
        <w:numPr>
          <w:ilvl w:val="1"/>
          <w:numId w:val="22"/>
        </w:numPr>
        <w:rPr>
          <w:rFonts w:ascii="Wingdings" w:cs="Wingdings" w:eastAsia="Wingdings" w:hAnsi="Wingdings"/>
          <w:sz w:val="22"/>
          <w:szCs w:val="22"/>
          <w:b w:val="1"/>
          <w:bCs w:val="1"/>
          <w:color w:val="51555C"/>
          <w:vertAlign w:val="superscript"/>
        </w:rPr>
      </w:pPr>
      <w:r>
        <w:rPr>
          <w:rFonts w:ascii="Calibri" w:cs="Calibri" w:eastAsia="Calibri" w:hAnsi="Calibri"/>
          <w:sz w:val="18"/>
          <w:szCs w:val="18"/>
          <w:color w:val="51555C"/>
        </w:rPr>
        <w:t>decrease in one-tme consultng revenue due primarily to less sales of creatve services and implementaton and customizaton services. Also contributng is an increase in utlizaton of third-party service delivery partners. For several years, we have been strategically shifing away from a one-tme services business model towards sales of retained and managed services and also embedding services in our renewable cloud soluton contracts. Retained and managed services contracts that we expect to have a term consistent with our cloud soluton contracts, and embedded services are recorded as recurring revenue; and</w:t>
      </w:r>
    </w:p>
    <w:p>
      <w:pPr>
        <w:spacing w:after="0" w:line="80" w:lineRule="exact"/>
        <w:rPr>
          <w:rFonts w:ascii="Wingdings" w:cs="Wingdings" w:eastAsia="Wingdings" w:hAnsi="Wingdings"/>
          <w:sz w:val="22"/>
          <w:szCs w:val="22"/>
          <w:b w:val="1"/>
          <w:bCs w:val="1"/>
          <w:color w:val="51555C"/>
          <w:vertAlign w:val="superscript"/>
        </w:rPr>
      </w:pPr>
    </w:p>
    <w:p>
      <w:pPr>
        <w:ind w:left="980" w:hanging="196"/>
        <w:spacing w:after="0"/>
        <w:tabs>
          <w:tab w:leader="none" w:pos="980" w:val="left"/>
        </w:tabs>
        <w:numPr>
          <w:ilvl w:val="1"/>
          <w:numId w:val="22"/>
        </w:numPr>
        <w:rPr>
          <w:rFonts w:ascii="Wingdings" w:cs="Wingdings" w:eastAsia="Wingdings" w:hAnsi="Wingdings"/>
          <w:sz w:val="22"/>
          <w:szCs w:val="22"/>
          <w:b w:val="1"/>
          <w:bCs w:val="1"/>
          <w:color w:val="51555C"/>
          <w:vertAlign w:val="superscript"/>
        </w:rPr>
      </w:pPr>
      <w:r>
        <w:rPr>
          <w:rFonts w:ascii="Calibri" w:cs="Calibri" w:eastAsia="Calibri" w:hAnsi="Calibri"/>
          <w:sz w:val="18"/>
          <w:szCs w:val="18"/>
          <w:color w:val="51555C"/>
        </w:rPr>
        <w:t>decrease in one-tme analytcs revenue as analytcs now are generally integrated in our cloud solutons.</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color w:val="51555C"/>
        </w:rPr>
        <w:t>For informaton on the impact of foreign currency fuctuatons on our fnancial results, see Foreign Currency Exchange Rates below on page 59.</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a number of mult-year pricing initatves underway, some to bring our pricing in line with the market while others are model changes that are expected to drive greater revenue for both us and our customers. As a result, we expect to see a contnued acceleraton in revenue growth during 2024 as we begin to see the full-year efect of some of these pricing initatves.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We expect that the decline in our non-strategic one-tme services and other revenue will slow in 2024 compared to the previous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220345</wp:posOffset>
            </wp:positionV>
            <wp:extent cx="7289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color w:val="51555C"/>
        </w:rPr>
        <w:t>Income from operatons increased by $73.2 million during 2023, driven largely by the following:</w:t>
      </w:r>
    </w:p>
    <w:p>
      <w:pPr>
        <w:ind w:left="700" w:hanging="445"/>
        <w:spacing w:after="0" w:line="206" w:lineRule="auto"/>
        <w:tabs>
          <w:tab w:leader="none" w:pos="700" w:val="left"/>
        </w:tabs>
        <w:numPr>
          <w:ilvl w:val="0"/>
          <w:numId w:val="23"/>
        </w:numPr>
        <w:rPr>
          <w:rFonts w:ascii="Calibri" w:cs="Calibri" w:eastAsia="Calibri" w:hAnsi="Calibri"/>
          <w:sz w:val="36"/>
          <w:szCs w:val="36"/>
          <w:color w:val="51555C"/>
          <w:vertAlign w:val="superscript"/>
        </w:rPr>
      </w:pPr>
      <w:r>
        <w:rPr>
          <w:rFonts w:ascii="Calibri" w:cs="Calibri" w:eastAsia="Calibri" w:hAnsi="Calibri"/>
          <w:sz w:val="18"/>
          <w:szCs w:val="18"/>
          <w:color w:val="51555C"/>
        </w:rPr>
        <w:t>Increase in total revenue, as described above</w:t>
      </w:r>
    </w:p>
    <w:p>
      <w:pPr>
        <w:spacing w:after="0" w:line="91" w:lineRule="exact"/>
        <w:rPr>
          <w:rFonts w:ascii="Calibri" w:cs="Calibri" w:eastAsia="Calibri" w:hAnsi="Calibri"/>
          <w:sz w:val="36"/>
          <w:szCs w:val="36"/>
          <w:color w:val="51555C"/>
          <w:vertAlign w:val="superscript"/>
        </w:rPr>
      </w:pPr>
    </w:p>
    <w:p>
      <w:pPr>
        <w:ind w:left="700" w:hanging="445"/>
        <w:spacing w:after="0" w:line="195" w:lineRule="auto"/>
        <w:tabs>
          <w:tab w:leader="none" w:pos="700" w:val="left"/>
        </w:tabs>
        <w:numPr>
          <w:ilvl w:val="0"/>
          <w:numId w:val="23"/>
        </w:numPr>
        <w:rPr>
          <w:rFonts w:ascii="Calibri" w:cs="Calibri" w:eastAsia="Calibri" w:hAnsi="Calibri"/>
          <w:sz w:val="18"/>
          <w:szCs w:val="18"/>
          <w:color w:val="51555C"/>
        </w:rPr>
      </w:pPr>
      <w:r>
        <w:rPr>
          <w:rFonts w:ascii="Calibri" w:cs="Calibri" w:eastAsia="Calibri" w:hAnsi="Calibri"/>
          <w:sz w:val="18"/>
          <w:szCs w:val="18"/>
          <w:color w:val="51555C"/>
        </w:rPr>
        <w:t>Net decreases in the following costs primarily due to our targeted workforce reductons discussed below:</w:t>
      </w:r>
    </w:p>
    <w:p>
      <w:pPr>
        <w:ind w:left="1340" w:hanging="315"/>
        <w:spacing w:after="0" w:line="235" w:lineRule="auto"/>
        <w:tabs>
          <w:tab w:leader="none" w:pos="1340" w:val="left"/>
        </w:tabs>
        <w:numPr>
          <w:ilvl w:val="1"/>
          <w:numId w:val="23"/>
        </w:numPr>
        <w:rPr>
          <w:rFonts w:ascii="Calibri" w:cs="Calibri" w:eastAsia="Calibri" w:hAnsi="Calibri"/>
          <w:sz w:val="18"/>
          <w:szCs w:val="18"/>
          <w:color w:val="51555C"/>
        </w:rPr>
      </w:pPr>
      <w:r>
        <w:rPr>
          <w:rFonts w:ascii="Calibri" w:cs="Calibri" w:eastAsia="Calibri" w:hAnsi="Calibri"/>
          <w:sz w:val="18"/>
          <w:szCs w:val="18"/>
          <w:color w:val="51555C"/>
        </w:rPr>
        <w:t>Decrease in compensaton costs other than stock-based compensaton of $35.4 million; and</w:t>
      </w:r>
    </w:p>
    <w:p>
      <w:pPr>
        <w:ind w:left="1340" w:hanging="315"/>
        <w:spacing w:after="0" w:line="235" w:lineRule="auto"/>
        <w:tabs>
          <w:tab w:leader="none" w:pos="1340" w:val="left"/>
        </w:tabs>
        <w:numPr>
          <w:ilvl w:val="1"/>
          <w:numId w:val="23"/>
        </w:numPr>
        <w:rPr>
          <w:rFonts w:ascii="Calibri" w:cs="Calibri" w:eastAsia="Calibri" w:hAnsi="Calibri"/>
          <w:sz w:val="18"/>
          <w:szCs w:val="18"/>
          <w:color w:val="51555C"/>
        </w:rPr>
      </w:pPr>
      <w:r>
        <w:rPr>
          <w:rFonts w:ascii="Calibri" w:cs="Calibri" w:eastAsia="Calibri" w:hAnsi="Calibri"/>
          <w:sz w:val="18"/>
          <w:szCs w:val="18"/>
          <w:color w:val="51555C"/>
        </w:rPr>
        <w:t>Decrease in commission expense of $1.1 million</w:t>
      </w:r>
    </w:p>
    <w:p>
      <w:pPr>
        <w:ind w:left="700" w:hanging="445"/>
        <w:spacing w:after="0" w:line="181" w:lineRule="auto"/>
        <w:tabs>
          <w:tab w:leader="none" w:pos="700" w:val="left"/>
        </w:tabs>
        <w:numPr>
          <w:ilvl w:val="0"/>
          <w:numId w:val="23"/>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third-party contractor costs of $12.2 million primarily due to our focus on cost management</w:t>
      </w:r>
    </w:p>
    <w:p>
      <w:pPr>
        <w:spacing w:after="0" w:line="146" w:lineRule="exact"/>
        <w:rPr>
          <w:rFonts w:ascii="Calibri" w:cs="Calibri" w:eastAsia="Calibri" w:hAnsi="Calibri"/>
          <w:sz w:val="35"/>
          <w:szCs w:val="35"/>
          <w:color w:val="51555C"/>
          <w:vertAlign w:val="superscript"/>
        </w:rPr>
      </w:pPr>
    </w:p>
    <w:p>
      <w:pPr>
        <w:jc w:val="both"/>
        <w:ind w:left="700" w:right="20" w:hanging="445"/>
        <w:spacing w:after="0" w:line="187" w:lineRule="auto"/>
        <w:tabs>
          <w:tab w:leader="none" w:pos="700" w:val="left"/>
        </w:tabs>
        <w:numPr>
          <w:ilvl w:val="0"/>
          <w:numId w:val="23"/>
        </w:numPr>
        <w:rPr>
          <w:rFonts w:ascii="Calibri" w:cs="Calibri" w:eastAsia="Calibri" w:hAnsi="Calibri"/>
          <w:sz w:val="32"/>
          <w:szCs w:val="32"/>
          <w:color w:val="51555C"/>
          <w:vertAlign w:val="superscript"/>
        </w:rPr>
      </w:pPr>
      <w:r>
        <w:rPr>
          <w:rFonts w:ascii="Calibri" w:cs="Calibri" w:eastAsia="Calibri" w:hAnsi="Calibri"/>
          <w:sz w:val="16"/>
          <w:szCs w:val="16"/>
          <w:color w:val="51555C"/>
        </w:rPr>
        <w:t>Decrease in hostng and data center costs of $5.0 million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spacing w:after="0" w:line="52" w:lineRule="exact"/>
        <w:rPr>
          <w:rFonts w:ascii="Calibri" w:cs="Calibri" w:eastAsia="Calibri" w:hAnsi="Calibri"/>
          <w:sz w:val="32"/>
          <w:szCs w:val="32"/>
          <w:color w:val="51555C"/>
          <w:vertAlign w:val="superscript"/>
        </w:rPr>
      </w:pPr>
    </w:p>
    <w:p>
      <w:pPr>
        <w:ind w:left="700" w:hanging="445"/>
        <w:spacing w:after="0"/>
        <w:tabs>
          <w:tab w:leader="none" w:pos="700" w:val="left"/>
        </w:tabs>
        <w:numPr>
          <w:ilvl w:val="0"/>
          <w:numId w:val="23"/>
        </w:numPr>
        <w:rPr>
          <w:rFonts w:ascii="Calibri" w:cs="Calibri" w:eastAsia="Calibri" w:hAnsi="Calibri"/>
          <w:sz w:val="18"/>
          <w:szCs w:val="18"/>
          <w:color w:val="51555C"/>
        </w:rPr>
      </w:pPr>
      <w:r>
        <w:rPr>
          <w:rFonts w:ascii="Calibri" w:cs="Calibri" w:eastAsia="Calibri" w:hAnsi="Calibri"/>
          <w:sz w:val="18"/>
          <w:szCs w:val="18"/>
          <w:color w:val="51555C"/>
        </w:rPr>
        <w:t>Decrease in Security Incident-related expenses, net of insurance, of $2.3 million. See "Security Incident update" below on page 39.</w:t>
      </w:r>
    </w:p>
    <w:p>
      <w:pPr>
        <w:spacing w:after="0" w:line="109" w:lineRule="exact"/>
        <w:rPr>
          <w:rFonts w:ascii="Calibri" w:cs="Calibri" w:eastAsia="Calibri" w:hAnsi="Calibri"/>
          <w:sz w:val="18"/>
          <w:szCs w:val="18"/>
          <w:color w:val="51555C"/>
        </w:rPr>
      </w:pPr>
    </w:p>
    <w:p>
      <w:pPr>
        <w:jc w:val="both"/>
        <w:ind w:left="700" w:right="20" w:hanging="445"/>
        <w:spacing w:after="0" w:line="187" w:lineRule="auto"/>
        <w:tabs>
          <w:tab w:leader="none" w:pos="700" w:val="left"/>
        </w:tabs>
        <w:numPr>
          <w:ilvl w:val="0"/>
          <w:numId w:val="23"/>
        </w:numPr>
        <w:rPr>
          <w:rFonts w:ascii="Calibri" w:cs="Calibri" w:eastAsia="Calibri" w:hAnsi="Calibri"/>
          <w:sz w:val="34"/>
          <w:szCs w:val="34"/>
          <w:color w:val="51555C"/>
          <w:vertAlign w:val="superscript"/>
        </w:rPr>
      </w:pPr>
      <w:r>
        <w:rPr>
          <w:rFonts w:ascii="Calibri" w:cs="Calibri" w:eastAsia="Calibri" w:hAnsi="Calibri"/>
          <w:sz w:val="17"/>
          <w:szCs w:val="17"/>
          <w:color w:val="51555C"/>
        </w:rPr>
        <w:t>Decrease in cost of revenue from a $2.3 million impairment charge during the three months ended June 30, 2022, against previously capitalized sofware development costs that reduced the carrying value of those assets to zero. The impairment charge resulted primarily from our decision to end customer support for certain solutons</w:t>
      </w:r>
    </w:p>
    <w:p>
      <w:pPr>
        <w:spacing w:after="0" w:line="109" w:lineRule="exact"/>
        <w:rPr>
          <w:sz w:val="20"/>
          <w:szCs w:val="20"/>
          <w:color w:val="auto"/>
        </w:rPr>
      </w:pPr>
    </w:p>
    <w:p>
      <w:pPr>
        <w:jc w:val="both"/>
        <w:ind w:left="700" w:right="20" w:hanging="445"/>
        <w:spacing w:after="0" w:line="187" w:lineRule="auto"/>
        <w:tabs>
          <w:tab w:leader="none" w:pos="700" w:val="left"/>
        </w:tabs>
        <w:numPr>
          <w:ilvl w:val="0"/>
          <w:numId w:val="24"/>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stock-based compensaton expense of $17.5 million atributable to primarily due to overall Company performance against 2023 goals and 2022 performance-based equity award adjustments, partally ofset by the targeted workforce reductons during the fourth quarter of 2022 and frst quarter of 2023</w:t>
      </w:r>
    </w:p>
    <w:p>
      <w:pPr>
        <w:spacing w:after="0" w:line="109" w:lineRule="exact"/>
        <w:rPr>
          <w:rFonts w:ascii="Calibri" w:cs="Calibri" w:eastAsia="Calibri" w:hAnsi="Calibri"/>
          <w:sz w:val="34"/>
          <w:szCs w:val="34"/>
          <w:color w:val="51555C"/>
          <w:vertAlign w:val="superscript"/>
        </w:rPr>
      </w:pPr>
    </w:p>
    <w:p>
      <w:pPr>
        <w:ind w:left="700" w:right="20" w:hanging="445"/>
        <w:spacing w:after="0" w:line="180" w:lineRule="auto"/>
        <w:tabs>
          <w:tab w:leader="none" w:pos="700" w:val="left"/>
        </w:tabs>
        <w:numPr>
          <w:ilvl w:val="0"/>
          <w:numId w:val="24"/>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transacton-based costs of $9.2 million related to the increase in the volume of transactons for which we process payments and, to a lesser extent, increases in vendor rates</w:t>
      </w:r>
    </w:p>
    <w:p>
      <w:pPr>
        <w:ind w:left="700" w:hanging="445"/>
        <w:spacing w:after="0" w:line="181" w:lineRule="auto"/>
        <w:tabs>
          <w:tab w:leader="none" w:pos="700" w:val="left"/>
        </w:tabs>
        <w:numPr>
          <w:ilvl w:val="0"/>
          <w:numId w:val="24"/>
        </w:numPr>
        <w:rPr>
          <w:rFonts w:ascii="Calibri" w:cs="Calibri" w:eastAsia="Calibri" w:hAnsi="Calibri"/>
          <w:sz w:val="35"/>
          <w:szCs w:val="35"/>
          <w:color w:val="51555C"/>
          <w:vertAlign w:val="superscript"/>
        </w:rPr>
      </w:pPr>
      <w:r>
        <w:rPr>
          <w:rFonts w:ascii="Calibri" w:cs="Calibri" w:eastAsia="Calibri" w:hAnsi="Calibri"/>
          <w:sz w:val="18"/>
          <w:szCs w:val="18"/>
          <w:color w:val="51555C"/>
        </w:rPr>
        <w:t>Increase in amortzaton of intangible assets from business combinatons of $4.2 million due to our acquisiton of EVERFI</w:t>
      </w:r>
    </w:p>
    <w:p>
      <w:pPr>
        <w:spacing w:after="0" w:line="146" w:lineRule="exact"/>
        <w:rPr>
          <w:rFonts w:ascii="Calibri" w:cs="Calibri" w:eastAsia="Calibri" w:hAnsi="Calibri"/>
          <w:sz w:val="35"/>
          <w:szCs w:val="35"/>
          <w:color w:val="51555C"/>
          <w:vertAlign w:val="superscript"/>
        </w:rPr>
      </w:pPr>
    </w:p>
    <w:p>
      <w:pPr>
        <w:ind w:left="700" w:right="20" w:hanging="445"/>
        <w:spacing w:after="0" w:line="180" w:lineRule="auto"/>
        <w:tabs>
          <w:tab w:leader="none" w:pos="700" w:val="left"/>
        </w:tabs>
        <w:numPr>
          <w:ilvl w:val="0"/>
          <w:numId w:val="24"/>
        </w:numPr>
        <w:rPr>
          <w:rFonts w:ascii="Calibri" w:cs="Calibri" w:eastAsia="Calibri" w:hAnsi="Calibri"/>
          <w:sz w:val="28"/>
          <w:szCs w:val="28"/>
          <w:color w:val="51555C"/>
          <w:vertAlign w:val="superscript"/>
        </w:rPr>
      </w:pPr>
      <w:r>
        <w:rPr>
          <w:rFonts w:ascii="Calibri" w:cs="Calibri" w:eastAsia="Calibri" w:hAnsi="Calibri"/>
          <w:sz w:val="15"/>
          <w:szCs w:val="15"/>
          <w:color w:val="51555C"/>
        </w:rPr>
        <w:t>Net decrease of $4.0 million due to an increase in amortzaton of capitalized sofware and content development costs, partally ofset by an increase in sofware and content development costs that were required to be capitalized under the internal-use sofware guidance</w:t>
      </w:r>
    </w:p>
    <w:p>
      <w:pPr>
        <w:spacing w:after="0" w:line="2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contnuing to make investments in the business in areas such as innovaton, artfcial intelligence, cybersecurity, and our contnued shif of cloud infrastructure to leading public cloud service providers. Our proftability during 2023 refects some of these incremental investments. We plan to accelerate some of the cybersecurity investments during 2024, which is expected to modestly impact our proftability in the near term.</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contnuously seek opportunites to optmize our portolio of solutons to focus tme and resources on innovaton that will have the greatest impact for our customers and the markets we serve, and drive the highest return on investment. To that end, we will contnue to simplify and ratonalize our portolio through product sunsets and divesttures of non-core businesses and technologies.</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38</w:t>
      </w:r>
      <w:r>
        <w:rPr>
          <w:sz w:val="20"/>
          <w:szCs w:val="20"/>
          <w:color w:val="auto"/>
        </w:rPr>
        <w:tab/>
      </w:r>
      <w:r>
        <w:rPr>
          <w:sz w:val="1"/>
          <w:szCs w:val="1"/>
          <w:color w:val="auto"/>
        </w:rPr>
        <w:drawing>
          <wp:inline distT="0" distB="0" distL="0" distR="0">
            <wp:extent cx="728345" cy="18859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380"/>
        <w:spacing w:after="0"/>
        <w:rPr>
          <w:sz w:val="20"/>
          <w:szCs w:val="20"/>
          <w:color w:val="auto"/>
        </w:rPr>
      </w:pPr>
      <w:r>
        <w:rPr>
          <w:rFonts w:ascii="Calibri" w:cs="Calibri" w:eastAsia="Calibri" w:hAnsi="Calibri"/>
          <w:sz w:val="18"/>
          <w:szCs w:val="18"/>
          <w:i w:val="1"/>
          <w:iCs w:val="1"/>
          <w:color w:val="51555C"/>
        </w:rPr>
        <w:t>Gross dollar retenton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260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203200</wp:posOffset>
            </wp:positionV>
            <wp:extent cx="2280285" cy="131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Our recurring subscripton contracts are typically for a term of three years at contract incepton with standard three year renewals thereafer. A key factor to our overall success is the renewal and expansion of our existng subscripton agreements with our customers. Management uses gross dollar retenton in analyzing our success at delightng our customers with innovatve and cloud solutons. Gross dollar retenton is defned as contracted annual recurring revenue ("CARR") divided by beginning CARR with a measurement period of twelve months. During 2023, our gross dollar retenton was approximately 90%. This gross dollar retenton rate was slightly lower than our rate for the full year ended December 31, 2022 primarily due to the inclusion of EVERFI beginning in 2023. Excluding EVERFI, our gross dollar retenton during 2023 was slightly higher than our rate for the full year ended December 31, 2022. We are contnually investng in innovaton, which we believe will increase gross dollar retenton over the long-term. Although some customer atriton is normal, our new contract pricing and renewal model (as described above on page 36) does not appear to have had a signifcant impact on customer atriton to date.</w:t>
      </w:r>
    </w:p>
    <w:p>
      <w:pPr>
        <w:spacing w:after="0" w:line="14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Balance sheet and cash fow</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At December 31, 2023, our cash and cash equivalents were $31.3 million. Under the 2020 Credit Facility, the carrying amount of our debt was $720.6 million and our net leverage rato was 1.97 to 1.00.</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2023, we generated $199.6 million in cash fow from operatons, had a net decrease in borrowings of $81.4 million and had aggregate cash outlays of $64.1 million for purchases of property and equipment and capitalized sofware and content development costs.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resumed stock repurchases during the fourth quarter of 2023 under our then existng stock repurchase program that authorized us to purchase up to $250.0 million of our outstanding shares of common stock. On January 17, 2024, our Board of Directors reauthorized, expanded and replenished our stock repurchase program by raising the total capacity under the program from $250.0 million to $500.0 million available for repurchases. We plan to repurchase shares going forward to at least ofset the diluton from our annual stock-based compensaton and possibly beyond that amount as market conditons and our strategic plans permit. See additonal details regarding our stock repurchase program below on page 56.</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Security Incident update</w:t>
      </w:r>
    </w:p>
    <w:p>
      <w:pPr>
        <w:spacing w:after="0" w:line="163"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51555C"/>
        </w:rPr>
        <w:t>As discussed in Note 11 to our consolidated fnancial statements included in this report, total costs related to the Security Incident exceeded the limit of our insurance coverage in the frst quarter of 2022. Accordingly, the Security Incident has negatvely impacted, and we expect it to contnue for the foreseeable future to negatvely impact, our GAAP proftability and GAAP cash fow (see discussion regarding non-GAAP free cash fow and non-GAAP adjusted free cash fow on page 53). For full year 2023, we incurred net pre-tax expenses of $53.4 million related to the Security Incident, which included $22.4 million for ongoing legal fees. It also includes setlements and recorded liabilites for loss contngencies of $31.0 million. Also, for full year 2023, we had net cash outlays of $78.0 million related to the Security Incident, which included ongoing legal fees, the $3.0 million civil penalty paid during the frst quarter of 2023 related to the SEC setlement and the $49.5 million civil penalty paid during the fourth quarter of 2023 related to the mult-state Atorneys General setlement (as discussed in Note 11). In line with our policy, legal fees are expensed as incurred. For full year 2024, we currently expect net pre-tax expense of approximately $5.0 million to $10.0 million and net cash outlays of approximately $8.0 million to $13.0 million for ongoing legal fees related to the Security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227330</wp:posOffset>
            </wp:positionV>
            <wp:extent cx="7289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39</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2023, we have recorded approximately $1.5 million in aggregate liabilites for loss contngencies based primarily on recent negotatons with certain customers related to the Security Incident that we believe we can reasonably estmate in accordance with our loss contngency procedures described in Note 11. It is reasonably possible that our estmated or actual losses may change in the near term for those maters and be materially in excess of the amounts accrued, but we are unable at this tme to reasonably estmate the possible additonal loss.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other Security Incident-related maters, including customer claims, customer consttuent class actons and governmental investgatons, for which we have not recorded a liability for a loss contngency as of December 31, 2023 because we are unable at this tme to reasonably estmate the possible loss or range of loss. Each of these maters could, separately or in the aggregate, result in an adverse judgement, setlement, fne, penalty or other resoluton, the amount, scope and tming of which we are currently unable to predict, but could have a material adverse impact on our results of operatons, cash fows or fnancial conditon.</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Reportable segment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report our operatng results and fnancial informaton in one operatng and reportable segment. See Note 16 of our consolidated fnancial statements in this report for additonal informaton.</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Comparison of 2023 vs. 2022</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informaton regarding the comparison of 2022 to 2021, please refer to Part II Item 7 of our Annual Report on Form 10-K for the year ended December 31, 2022 fled with the SEC on February 24, 2023.</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Acquisitons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2022 and 2021, we acquired companies that provided us with strategic opportunites to expand our TAM and share of the philanthropic giving market through the integraton of complementary solutons and services to serve the changing needs of our customers. The following are the companies we acquired and their respectve acquisiton dates:</w:t>
      </w:r>
    </w:p>
    <w:p>
      <w:pPr>
        <w:spacing w:after="0" w:line="160" w:lineRule="exact"/>
        <w:rPr>
          <w:sz w:val="20"/>
          <w:szCs w:val="20"/>
          <w:color w:val="auto"/>
        </w:rPr>
      </w:pPr>
    </w:p>
    <w:p>
      <w:pPr>
        <w:ind w:left="480" w:hanging="148"/>
        <w:spacing w:after="0"/>
        <w:tabs>
          <w:tab w:leader="none" w:pos="480" w:val="left"/>
        </w:tabs>
        <w:numPr>
          <w:ilvl w:val="0"/>
          <w:numId w:val="25"/>
        </w:numPr>
        <w:rPr>
          <w:rFonts w:ascii="Calibri" w:cs="Calibri" w:eastAsia="Calibri" w:hAnsi="Calibri"/>
          <w:sz w:val="18"/>
          <w:szCs w:val="18"/>
          <w:color w:val="51555C"/>
        </w:rPr>
      </w:pPr>
      <w:r>
        <w:rPr>
          <w:rFonts w:ascii="Calibri" w:cs="Calibri" w:eastAsia="Calibri" w:hAnsi="Calibri"/>
          <w:sz w:val="18"/>
          <w:szCs w:val="18"/>
          <w:color w:val="51555C"/>
        </w:rPr>
        <w:t>Kilter, Inc. ("Kilter") on August 19, 2022</w:t>
      </w:r>
    </w:p>
    <w:p>
      <w:pPr>
        <w:spacing w:after="0" w:line="158" w:lineRule="exact"/>
        <w:rPr>
          <w:rFonts w:ascii="Calibri" w:cs="Calibri" w:eastAsia="Calibri" w:hAnsi="Calibri"/>
          <w:sz w:val="18"/>
          <w:szCs w:val="18"/>
          <w:color w:val="51555C"/>
        </w:rPr>
      </w:pPr>
    </w:p>
    <w:p>
      <w:pPr>
        <w:ind w:left="480" w:hanging="148"/>
        <w:spacing w:after="0"/>
        <w:tabs>
          <w:tab w:leader="none" w:pos="480" w:val="left"/>
        </w:tabs>
        <w:numPr>
          <w:ilvl w:val="0"/>
          <w:numId w:val="25"/>
        </w:numPr>
        <w:rPr>
          <w:rFonts w:ascii="Calibri" w:cs="Calibri" w:eastAsia="Calibri" w:hAnsi="Calibri"/>
          <w:sz w:val="18"/>
          <w:szCs w:val="18"/>
          <w:color w:val="51555C"/>
        </w:rPr>
      </w:pPr>
      <w:r>
        <w:rPr>
          <w:rFonts w:ascii="Calibri" w:cs="Calibri" w:eastAsia="Calibri" w:hAnsi="Calibri"/>
          <w:sz w:val="18"/>
          <w:szCs w:val="18"/>
          <w:color w:val="51555C"/>
        </w:rPr>
        <w:t>EVERFI, Inc. on December 31, 2021</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included the results of operatons of acquired companies in our consolidated results of operatons from the date of their respectve acquisitons. In accordance with applicable accountng rules, we determined that the Kilter and EVERFI acquisitons were not material to our consolidated fnancial statements; therefore, revenue and earnings since the acquisiton date and pro forma informaton are not required or presented. See Note 3 to our consolidated fnancial statements in this report for a summary of these acquisitons.</w:t>
      </w:r>
    </w:p>
    <w:p>
      <w:pPr>
        <w:spacing w:after="0" w:line="31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40</w:t>
      </w:r>
      <w:r>
        <w:rPr>
          <w:sz w:val="20"/>
          <w:szCs w:val="20"/>
          <w:color w:val="auto"/>
        </w:rPr>
        <w:tab/>
      </w:r>
      <w:r>
        <w:rPr>
          <w:sz w:val="1"/>
          <w:szCs w:val="1"/>
          <w:color w:val="auto"/>
        </w:rPr>
        <w:drawing>
          <wp:inline distT="0" distB="0" distL="0" distR="0">
            <wp:extent cx="728345" cy="18859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Revenue and Cost of Revenue</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18"/>
          <w:szCs w:val="18"/>
          <w:i w:val="1"/>
          <w:iCs w:val="1"/>
          <w:color w:val="51555C"/>
        </w:rPr>
        <w:t>Recurring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Calibri" w:cs="Calibri" w:eastAsia="Calibri" w:hAnsi="Calibri"/>
                <w:sz w:val="18"/>
                <w:szCs w:val="18"/>
                <w:i w:val="1"/>
                <w:iCs w:val="1"/>
                <w:color w:val="51555C"/>
              </w:rPr>
              <w:t>Gross proft ($M)</w:t>
            </w:r>
          </w:p>
        </w:tc>
      </w:tr>
      <w:tr>
        <w:trPr>
          <w:trHeight w:val="216"/>
        </w:trPr>
        <w:tc>
          <w:tcPr>
            <w:tcW w:w="320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i w:val="1"/>
                <w:iCs w:val="1"/>
                <w:color w:val="51555C"/>
                <w:w w:val="96"/>
              </w:rPr>
              <w:t>Revenue ($M)</w:t>
            </w:r>
          </w:p>
        </w:tc>
        <w:tc>
          <w:tcPr>
            <w:tcW w:w="320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i w:val="1"/>
                <w:iCs w:val="1"/>
                <w:color w:val="51555C"/>
                <w:w w:val="98"/>
              </w:rPr>
              <w:t>Cost of revenue ($M)</w:t>
            </w:r>
          </w:p>
        </w:tc>
        <w:tc>
          <w:tcPr>
            <w:tcW w:w="2840" w:type="dxa"/>
            <w:vAlign w:val="bottom"/>
          </w:tcPr>
          <w:p>
            <w:pPr>
              <w:jc w:val="center"/>
              <w:spacing w:after="0" w:line="216" w:lineRule="exact"/>
              <w:rPr>
                <w:sz w:val="20"/>
                <w:szCs w:val="20"/>
                <w:color w:val="auto"/>
              </w:rPr>
            </w:pPr>
            <w:r>
              <w:rPr>
                <w:rFonts w:ascii="Calibri" w:cs="Calibri" w:eastAsia="Calibri" w:hAnsi="Calibri"/>
                <w:sz w:val="18"/>
                <w:szCs w:val="18"/>
                <w:i w:val="1"/>
                <w:iCs w:val="1"/>
                <w:color w:val="51555C"/>
                <w:w w:val="96"/>
              </w:rPr>
              <w:t>and gross margin (%)</w:t>
            </w:r>
          </w:p>
        </w:tc>
      </w:tr>
      <w:tr>
        <w:trPr>
          <w:trHeight w:val="51"/>
        </w:trPr>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840" w:type="dxa"/>
            <w:vAlign w:val="bottom"/>
            <w:tcBorders>
              <w:bottom w:val="single" w:sz="8" w:color="51555C"/>
            </w:tcBorders>
          </w:tcPr>
          <w:p>
            <w:pPr>
              <w:spacing w:after="0"/>
              <w:rPr>
                <w:sz w:val="4"/>
                <w:szCs w:val="4"/>
                <w:color w:val="auto"/>
              </w:rPr>
            </w:pPr>
          </w:p>
        </w:tc>
      </w:tr>
      <w:tr>
        <w:trPr>
          <w:trHeight w:val="213"/>
        </w:trPr>
        <w:tc>
          <w:tcPr>
            <w:tcW w:w="3200" w:type="dxa"/>
            <w:vAlign w:val="bottom"/>
            <w:gridSpan w:val="2"/>
          </w:tcPr>
          <w:p>
            <w:pPr>
              <w:jc w:val="center"/>
              <w:ind w:right="500"/>
              <w:spacing w:after="0"/>
              <w:rPr>
                <w:sz w:val="20"/>
                <w:szCs w:val="20"/>
                <w:color w:val="auto"/>
              </w:rPr>
            </w:pPr>
            <w:r>
              <w:rPr>
                <w:rFonts w:ascii="Calibri" w:cs="Calibri" w:eastAsia="Calibri" w:hAnsi="Calibri"/>
                <w:sz w:val="13"/>
                <w:szCs w:val="13"/>
                <w:i w:val="1"/>
                <w:iCs w:val="1"/>
                <w:color w:val="51555C"/>
                <w:w w:val="95"/>
              </w:rPr>
              <w:t>YoY Growth (%)</w:t>
            </w:r>
          </w:p>
        </w:tc>
        <w:tc>
          <w:tcPr>
            <w:tcW w:w="3200" w:type="dxa"/>
            <w:vAlign w:val="bottom"/>
            <w:gridSpan w:val="2"/>
          </w:tcPr>
          <w:p>
            <w:pPr>
              <w:jc w:val="center"/>
              <w:ind w:right="500"/>
              <w:spacing w:after="0"/>
              <w:rPr>
                <w:sz w:val="20"/>
                <w:szCs w:val="20"/>
                <w:color w:val="auto"/>
              </w:rPr>
            </w:pPr>
            <w:r>
              <w:rPr>
                <w:rFonts w:ascii="Calibri" w:cs="Calibri" w:eastAsia="Calibri" w:hAnsi="Calibri"/>
                <w:sz w:val="13"/>
                <w:szCs w:val="13"/>
                <w:i w:val="1"/>
                <w:iCs w:val="1"/>
                <w:color w:val="51555C"/>
                <w:w w:val="95"/>
              </w:rPr>
              <w:t>YoY Growth (%)</w:t>
            </w:r>
          </w:p>
        </w:tc>
        <w:tc>
          <w:tcPr>
            <w:tcW w:w="2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5812155" cy="1423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alibri" w:cs="Calibri" w:eastAsia="Calibri" w:hAnsi="Calibri"/>
          <w:sz w:val="18"/>
          <w:szCs w:val="18"/>
          <w:color w:val="51555C"/>
        </w:rPr>
        <w:t>Recurring revenue includes two components: contractual recurring and transactonal recurring.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Contractual recurring revenue is primarily comprised of fees for the use of our subscripton-based sofware solutons, which includes providing access to cloud solutons, Impact-as-a-Service™ digital educatonal content, online training programs and subscripton-based analytc services. Contractual recurring revenue also includes fees from maintenance services for our on-premises solutons.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Transactonal recurring revenue is comprised of transacton fees associated with the use of our solutons, including donaton processing, tuiton management, consumer giving and event-based usage.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Cost of recurring revenue is primarily comprised of compensaton costs for customer support and producton IT personnel, hostng and data center costs, third-party contractor expenses, third-party royalty and data expenses, allocated depreciaton, facilites and IT support costs, amortzaton of intangible assets from business combinatons, amortzaton of sofware development costs, transacton-based costs related to payments services including remitances of amounts due to third-partes and other costs incurred in providing support and recurring services to our customers.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customers contnue to prefer cloud subscripton oferings with integrated analytcs, training and payment services. We intend to contnue focusing on innovaton, quality and integraton of our cloud solutons, which we believe will drive future revenue growth.</w:t>
      </w:r>
    </w:p>
    <w:p>
      <w:pPr>
        <w:spacing w:after="0" w:line="26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color w:val="51555C"/>
        </w:rPr>
        <w:t>Recurring revenue increased by $59.8 million, or 5.9%, driven primarily by the following:</w:t>
      </w:r>
    </w:p>
    <w:p>
      <w:pPr>
        <w:spacing w:after="0" w:line="163" w:lineRule="exact"/>
        <w:rPr>
          <w:sz w:val="20"/>
          <w:szCs w:val="20"/>
          <w:color w:val="auto"/>
        </w:rPr>
      </w:pPr>
    </w:p>
    <w:p>
      <w:pPr>
        <w:ind w:left="700" w:right="20" w:hanging="364"/>
        <w:spacing w:after="0" w:line="180" w:lineRule="auto"/>
        <w:tabs>
          <w:tab w:leader="none" w:pos="700" w:val="left"/>
        </w:tabs>
        <w:numPr>
          <w:ilvl w:val="0"/>
          <w:numId w:val="26"/>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transactonal recurring revenue of $30.5 million primarily due to positve results related to pricing initatves we implemented during 2023 and increases in volume for our Blackbaud Tuiton Management, JustGiving and Blackbaud Merchant Services solutons; and</w:t>
      </w:r>
    </w:p>
    <w:p>
      <w:pPr>
        <w:spacing w:after="0" w:line="109" w:lineRule="exact"/>
        <w:rPr>
          <w:rFonts w:ascii="Calibri" w:cs="Calibri" w:eastAsia="Calibri" w:hAnsi="Calibri"/>
          <w:sz w:val="31"/>
          <w:szCs w:val="31"/>
          <w:color w:val="51555C"/>
          <w:vertAlign w:val="superscript"/>
        </w:rPr>
      </w:pPr>
    </w:p>
    <w:p>
      <w:pPr>
        <w:ind w:left="700" w:right="20" w:hanging="364"/>
        <w:spacing w:after="0" w:line="180" w:lineRule="auto"/>
        <w:tabs>
          <w:tab w:leader="none" w:pos="700" w:val="left"/>
        </w:tabs>
        <w:numPr>
          <w:ilvl w:val="0"/>
          <w:numId w:val="26"/>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contractual recurring revenue of $29.3 million related to the performance of our cloud solutons and, to a lesser extent, the early impact of our pricing initatves; partally ofset by a decrease in maintenance revenue as customers migrate to our cloud solutons.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298450</wp:posOffset>
            </wp:positionV>
            <wp:extent cx="7289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color w:val="51555C"/>
        </w:rPr>
        <w:t>For additonal informaton on the impact of foreign currency fuctuatons on our fnancial results, see Foreign Currency Exchange Rates below on page 59.</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Cost of recurring revenue increased by $7.0 million, or 1.5%, driven primarily by the following:</w:t>
      </w:r>
    </w:p>
    <w:p>
      <w:pPr>
        <w:spacing w:after="0" w:line="163" w:lineRule="exact"/>
        <w:rPr>
          <w:sz w:val="20"/>
          <w:szCs w:val="20"/>
          <w:color w:val="auto"/>
        </w:rPr>
      </w:pPr>
    </w:p>
    <w:p>
      <w:pPr>
        <w:ind w:left="700" w:right="60" w:hanging="364"/>
        <w:spacing w:after="0" w:line="180" w:lineRule="auto"/>
        <w:tabs>
          <w:tab w:leader="none" w:pos="700" w:val="left"/>
        </w:tabs>
        <w:numPr>
          <w:ilvl w:val="0"/>
          <w:numId w:val="27"/>
        </w:numPr>
        <w:rPr>
          <w:rFonts w:ascii="Calibri" w:cs="Calibri" w:eastAsia="Calibri" w:hAnsi="Calibri"/>
          <w:sz w:val="31"/>
          <w:szCs w:val="31"/>
          <w:color w:val="51555C"/>
          <w:vertAlign w:val="superscript"/>
        </w:rPr>
      </w:pPr>
      <w:r>
        <w:rPr>
          <w:rFonts w:ascii="Calibri" w:cs="Calibri" w:eastAsia="Calibri" w:hAnsi="Calibri"/>
          <w:sz w:val="16"/>
          <w:szCs w:val="16"/>
          <w:color w:val="51555C"/>
        </w:rPr>
        <w:t>Increase in transacton-based costs of $9.2 million related to the increase in the volume of transactons for which we process payments and, to a lesser extent, increases in vendor rates</w:t>
      </w:r>
    </w:p>
    <w:p>
      <w:pPr>
        <w:spacing w:after="0" w:line="109" w:lineRule="exact"/>
        <w:rPr>
          <w:rFonts w:ascii="Calibri" w:cs="Calibri" w:eastAsia="Calibri" w:hAnsi="Calibri"/>
          <w:sz w:val="31"/>
          <w:szCs w:val="31"/>
          <w:color w:val="51555C"/>
          <w:vertAlign w:val="superscript"/>
        </w:rPr>
      </w:pPr>
    </w:p>
    <w:p>
      <w:pPr>
        <w:ind w:left="700" w:right="60" w:hanging="364"/>
        <w:spacing w:after="0"/>
        <w:tabs>
          <w:tab w:leader="none" w:pos="700" w:val="left"/>
        </w:tabs>
        <w:numPr>
          <w:ilvl w:val="0"/>
          <w:numId w:val="27"/>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amortzaton of sofware development costs of $5.6 million due to our contnued investments in the innovaton and security of our solutons</w:t>
      </w:r>
    </w:p>
    <w:p>
      <w:pPr>
        <w:spacing w:after="0" w:line="124" w:lineRule="exact"/>
        <w:rPr>
          <w:rFonts w:ascii="Calibri" w:cs="Calibri" w:eastAsia="Calibri" w:hAnsi="Calibri"/>
          <w:sz w:val="34"/>
          <w:szCs w:val="34"/>
          <w:color w:val="51555C"/>
          <w:vertAlign w:val="superscript"/>
        </w:rPr>
      </w:pPr>
    </w:p>
    <w:p>
      <w:pPr>
        <w:ind w:left="700" w:right="60" w:hanging="364"/>
        <w:spacing w:after="0"/>
        <w:tabs>
          <w:tab w:leader="none" w:pos="700" w:val="left"/>
        </w:tabs>
        <w:numPr>
          <w:ilvl w:val="0"/>
          <w:numId w:val="27"/>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amortzaton of intangible assets from business combinatons of $4.0 million primarily due to our acquisiton of EVERFI in December 2021</w:t>
      </w:r>
    </w:p>
    <w:p>
      <w:pPr>
        <w:spacing w:after="0" w:line="124" w:lineRule="exact"/>
        <w:rPr>
          <w:rFonts w:ascii="Calibri" w:cs="Calibri" w:eastAsia="Calibri" w:hAnsi="Calibri"/>
          <w:sz w:val="34"/>
          <w:szCs w:val="34"/>
          <w:color w:val="51555C"/>
          <w:vertAlign w:val="superscript"/>
        </w:rPr>
      </w:pPr>
    </w:p>
    <w:p>
      <w:pPr>
        <w:jc w:val="both"/>
        <w:ind w:left="700" w:right="60" w:hanging="364"/>
        <w:spacing w:after="0"/>
        <w:tabs>
          <w:tab w:leader="none" w:pos="700" w:val="left"/>
        </w:tabs>
        <w:numPr>
          <w:ilvl w:val="0"/>
          <w:numId w:val="27"/>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stock-based compensaton costs of $2.8 million primarily due to overall Company performance against 2023 goals and 2022 performance-based equity award adjustments, partally ofset by the targeted workforce reductons during the fourth quarter of 2022 and frst quarter of 2023</w:t>
      </w:r>
    </w:p>
    <w:p>
      <w:pPr>
        <w:spacing w:after="0" w:line="133" w:lineRule="exact"/>
        <w:rPr>
          <w:sz w:val="20"/>
          <w:szCs w:val="20"/>
          <w:color w:val="auto"/>
        </w:rPr>
      </w:pPr>
    </w:p>
    <w:p>
      <w:pPr>
        <w:ind w:left="700" w:right="60" w:hanging="348"/>
        <w:spacing w:after="0"/>
        <w:tabs>
          <w:tab w:leader="none" w:pos="700" w:val="left"/>
        </w:tabs>
        <w:numPr>
          <w:ilvl w:val="0"/>
          <w:numId w:val="28"/>
        </w:numPr>
        <w:rPr>
          <w:rFonts w:ascii="Calibri" w:cs="Calibri" w:eastAsia="Calibri" w:hAnsi="Calibri"/>
          <w:sz w:val="32"/>
          <w:szCs w:val="32"/>
          <w:color w:val="51555C"/>
          <w:vertAlign w:val="superscript"/>
        </w:rPr>
      </w:pPr>
      <w:r>
        <w:rPr>
          <w:rFonts w:ascii="Calibri" w:cs="Calibri" w:eastAsia="Calibri" w:hAnsi="Calibri"/>
          <w:sz w:val="16"/>
          <w:szCs w:val="16"/>
          <w:color w:val="51555C"/>
        </w:rPr>
        <w:t>Decrease in compensaton costs other than stock-based compensaton of $8.7 million primarily due to our targeted workforce reductons discussed above</w:t>
      </w:r>
    </w:p>
    <w:p>
      <w:pPr>
        <w:spacing w:after="0" w:line="149" w:lineRule="exact"/>
        <w:rPr>
          <w:rFonts w:ascii="Calibri" w:cs="Calibri" w:eastAsia="Calibri" w:hAnsi="Calibri"/>
          <w:sz w:val="32"/>
          <w:szCs w:val="32"/>
          <w:color w:val="51555C"/>
          <w:vertAlign w:val="superscript"/>
        </w:rPr>
      </w:pPr>
    </w:p>
    <w:p>
      <w:pPr>
        <w:jc w:val="both"/>
        <w:ind w:left="700" w:right="60" w:hanging="348"/>
        <w:spacing w:after="0" w:line="187" w:lineRule="auto"/>
        <w:tabs>
          <w:tab w:leader="none" w:pos="700" w:val="left"/>
        </w:tabs>
        <w:numPr>
          <w:ilvl w:val="0"/>
          <w:numId w:val="28"/>
        </w:numPr>
        <w:rPr>
          <w:rFonts w:ascii="Calibri" w:cs="Calibri" w:eastAsia="Calibri" w:hAnsi="Calibri"/>
          <w:sz w:val="34"/>
          <w:szCs w:val="34"/>
          <w:color w:val="51555C"/>
          <w:vertAlign w:val="superscript"/>
        </w:rPr>
      </w:pPr>
      <w:r>
        <w:rPr>
          <w:rFonts w:ascii="Calibri" w:cs="Calibri" w:eastAsia="Calibri" w:hAnsi="Calibri"/>
          <w:sz w:val="17"/>
          <w:szCs w:val="17"/>
          <w:color w:val="51555C"/>
        </w:rPr>
        <w:t>Decrease in hostng and data center costs of $5.1 million as we contnue to migrate our cloud infrastructure to leading public cloud service providers and make investments in security; currently, we expect our cloud infrastructure migraton eforts and increased level of cybersecurity investments to contnue for the foreseeable future</w:t>
      </w:r>
    </w:p>
    <w:p>
      <w:pPr>
        <w:ind w:left="700" w:hanging="348"/>
        <w:spacing w:after="0" w:line="181" w:lineRule="auto"/>
        <w:tabs>
          <w:tab w:leader="none" w:pos="700" w:val="left"/>
        </w:tabs>
        <w:numPr>
          <w:ilvl w:val="0"/>
          <w:numId w:val="28"/>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third-party contractor costs of $1.1 million primarily due to our focus on cost management</w:t>
      </w:r>
    </w:p>
    <w:p>
      <w:pPr>
        <w:spacing w:after="0" w:line="286" w:lineRule="exact"/>
        <w:rPr>
          <w:sz w:val="20"/>
          <w:szCs w:val="20"/>
          <w:color w:val="auto"/>
        </w:rPr>
      </w:pPr>
    </w:p>
    <w:p>
      <w:pPr>
        <w:spacing w:after="0"/>
        <w:rPr>
          <w:sz w:val="20"/>
          <w:szCs w:val="20"/>
          <w:color w:val="auto"/>
        </w:rPr>
      </w:pPr>
      <w:r>
        <w:rPr>
          <w:rFonts w:ascii="Calibri" w:cs="Calibri" w:eastAsia="Calibri" w:hAnsi="Calibri"/>
          <w:sz w:val="17"/>
          <w:szCs w:val="17"/>
          <w:color w:val="51555C"/>
        </w:rPr>
        <w:t>Recurring gross margin increased by 190 basis points primarily due to the increase in recurring revenue outpacing the increase in cost of recurring revenue.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gridSpan w:val="2"/>
          </w:tcPr>
          <w:p>
            <w:pPr>
              <w:ind w:left="20"/>
              <w:spacing w:after="0"/>
              <w:rPr>
                <w:sz w:val="20"/>
                <w:szCs w:val="20"/>
                <w:color w:val="auto"/>
              </w:rPr>
            </w:pPr>
            <w:r>
              <w:rPr>
                <w:rFonts w:ascii="Calibri" w:cs="Calibri" w:eastAsia="Calibri" w:hAnsi="Calibri"/>
                <w:sz w:val="18"/>
                <w:szCs w:val="18"/>
                <w:i w:val="1"/>
                <w:iCs w:val="1"/>
                <w:color w:val="51555C"/>
              </w:rPr>
              <w:t>One-tme services and other</w:t>
            </w: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51"/>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Calibri" w:cs="Calibri" w:eastAsia="Calibri" w:hAnsi="Calibri"/>
                <w:sz w:val="18"/>
                <w:szCs w:val="18"/>
                <w:i w:val="1"/>
                <w:iCs w:val="1"/>
                <w:color w:val="51555C"/>
              </w:rPr>
              <w:t>Gross proft ($M)</w:t>
            </w:r>
          </w:p>
        </w:tc>
      </w:tr>
      <w:tr>
        <w:trPr>
          <w:trHeight w:val="216"/>
        </w:trPr>
        <w:tc>
          <w:tcPr>
            <w:tcW w:w="320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i w:val="1"/>
                <w:iCs w:val="1"/>
                <w:color w:val="51555C"/>
                <w:w w:val="96"/>
              </w:rPr>
              <w:t>Revenue ($M)</w:t>
            </w:r>
          </w:p>
        </w:tc>
        <w:tc>
          <w:tcPr>
            <w:tcW w:w="3200" w:type="dxa"/>
            <w:vAlign w:val="bottom"/>
            <w:gridSpan w:val="2"/>
          </w:tcPr>
          <w:p>
            <w:pPr>
              <w:jc w:val="center"/>
              <w:ind w:right="500"/>
              <w:spacing w:after="0" w:line="216" w:lineRule="exact"/>
              <w:rPr>
                <w:sz w:val="20"/>
                <w:szCs w:val="20"/>
                <w:color w:val="auto"/>
              </w:rPr>
            </w:pPr>
            <w:r>
              <w:rPr>
                <w:rFonts w:ascii="Calibri" w:cs="Calibri" w:eastAsia="Calibri" w:hAnsi="Calibri"/>
                <w:sz w:val="18"/>
                <w:szCs w:val="18"/>
                <w:i w:val="1"/>
                <w:iCs w:val="1"/>
                <w:color w:val="51555C"/>
                <w:w w:val="98"/>
              </w:rPr>
              <w:t>Cost of revenue ($M)</w:t>
            </w:r>
          </w:p>
        </w:tc>
        <w:tc>
          <w:tcPr>
            <w:tcW w:w="2840" w:type="dxa"/>
            <w:vAlign w:val="bottom"/>
          </w:tcPr>
          <w:p>
            <w:pPr>
              <w:jc w:val="center"/>
              <w:spacing w:after="0" w:line="216" w:lineRule="exact"/>
              <w:rPr>
                <w:sz w:val="20"/>
                <w:szCs w:val="20"/>
                <w:color w:val="auto"/>
              </w:rPr>
            </w:pPr>
            <w:r>
              <w:rPr>
                <w:rFonts w:ascii="Calibri" w:cs="Calibri" w:eastAsia="Calibri" w:hAnsi="Calibri"/>
                <w:sz w:val="18"/>
                <w:szCs w:val="18"/>
                <w:i w:val="1"/>
                <w:iCs w:val="1"/>
                <w:color w:val="51555C"/>
                <w:w w:val="96"/>
              </w:rPr>
              <w:t>and gross margin (%)</w:t>
            </w:r>
          </w:p>
        </w:tc>
      </w:tr>
      <w:tr>
        <w:trPr>
          <w:trHeight w:val="50"/>
        </w:trPr>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700" w:type="dxa"/>
            <w:vAlign w:val="bottom"/>
            <w:tcBorders>
              <w:bottom w:val="single" w:sz="8" w:color="51555C"/>
            </w:tcBorders>
          </w:tcPr>
          <w:p>
            <w:pPr>
              <w:spacing w:after="0"/>
              <w:rPr>
                <w:sz w:val="4"/>
                <w:szCs w:val="4"/>
                <w:color w:val="auto"/>
              </w:rPr>
            </w:pPr>
          </w:p>
        </w:tc>
        <w:tc>
          <w:tcPr>
            <w:tcW w:w="500" w:type="dxa"/>
            <w:vAlign w:val="bottom"/>
          </w:tcPr>
          <w:p>
            <w:pPr>
              <w:spacing w:after="0"/>
              <w:rPr>
                <w:sz w:val="4"/>
                <w:szCs w:val="4"/>
                <w:color w:val="auto"/>
              </w:rPr>
            </w:pPr>
          </w:p>
        </w:tc>
        <w:tc>
          <w:tcPr>
            <w:tcW w:w="2840" w:type="dxa"/>
            <w:vAlign w:val="bottom"/>
            <w:tcBorders>
              <w:bottom w:val="single" w:sz="8" w:color="51555C"/>
            </w:tcBorders>
          </w:tcPr>
          <w:p>
            <w:pPr>
              <w:spacing w:after="0"/>
              <w:rPr>
                <w:sz w:val="4"/>
                <w:szCs w:val="4"/>
                <w:color w:val="auto"/>
              </w:rPr>
            </w:pPr>
          </w:p>
        </w:tc>
      </w:tr>
      <w:tr>
        <w:trPr>
          <w:trHeight w:val="213"/>
        </w:trPr>
        <w:tc>
          <w:tcPr>
            <w:tcW w:w="3200" w:type="dxa"/>
            <w:vAlign w:val="bottom"/>
            <w:gridSpan w:val="2"/>
          </w:tcPr>
          <w:p>
            <w:pPr>
              <w:jc w:val="center"/>
              <w:ind w:right="500"/>
              <w:spacing w:after="0"/>
              <w:rPr>
                <w:sz w:val="20"/>
                <w:szCs w:val="20"/>
                <w:color w:val="auto"/>
              </w:rPr>
            </w:pPr>
            <w:r>
              <w:rPr>
                <w:rFonts w:ascii="Calibri" w:cs="Calibri" w:eastAsia="Calibri" w:hAnsi="Calibri"/>
                <w:sz w:val="13"/>
                <w:szCs w:val="13"/>
                <w:i w:val="1"/>
                <w:iCs w:val="1"/>
                <w:color w:val="51555C"/>
                <w:w w:val="95"/>
              </w:rPr>
              <w:t>YoY Growth (%)</w:t>
            </w:r>
          </w:p>
        </w:tc>
        <w:tc>
          <w:tcPr>
            <w:tcW w:w="3200" w:type="dxa"/>
            <w:vAlign w:val="bottom"/>
            <w:gridSpan w:val="2"/>
          </w:tcPr>
          <w:p>
            <w:pPr>
              <w:jc w:val="center"/>
              <w:ind w:right="500"/>
              <w:spacing w:after="0"/>
              <w:rPr>
                <w:sz w:val="20"/>
                <w:szCs w:val="20"/>
                <w:color w:val="auto"/>
              </w:rPr>
            </w:pPr>
            <w:r>
              <w:rPr>
                <w:rFonts w:ascii="Calibri" w:cs="Calibri" w:eastAsia="Calibri" w:hAnsi="Calibri"/>
                <w:sz w:val="13"/>
                <w:szCs w:val="13"/>
                <w:i w:val="1"/>
                <w:iCs w:val="1"/>
                <w:color w:val="51555C"/>
                <w:w w:val="95"/>
              </w:rPr>
              <w:t>YoY Growth (%)</w:t>
            </w:r>
          </w:p>
        </w:tc>
        <w:tc>
          <w:tcPr>
            <w:tcW w:w="2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5812155" cy="1423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One-tme services and other revenue is comprised of fees for one-tme consultng (including creatve services), analytc and onsite training services, and fees for retained and managed services contracts that we do not expect to have a term consistent with our cloud soluton contracts.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Cost of one-tme services and other is primarily comprised of compensaton costs for professional services and onsite training personnel, other costs incurred in providing onsite customer training, third-party contractor expenses, data expense incurred to perform one-tme analytc services, third-party sofware royaltes, allocated depreciaton, facilites and IT support costs and amortzaton of intangible assets from business combinatons.</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42</w:t>
      </w:r>
      <w:r>
        <w:rPr>
          <w:sz w:val="20"/>
          <w:szCs w:val="20"/>
          <w:color w:val="auto"/>
        </w:rPr>
        <w:tab/>
      </w:r>
      <w:r>
        <w:rPr>
          <w:sz w:val="1"/>
          <w:szCs w:val="1"/>
          <w:color w:val="auto"/>
        </w:rPr>
        <w:drawing>
          <wp:inline distT="0" distB="0" distL="0" distR="0">
            <wp:extent cx="728345" cy="18859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color w:val="51555C"/>
        </w:rPr>
        <w:t>One-tme services and other revenue decreased by $12.5 million, or 26.9%, driven primarily by the following:</w:t>
      </w:r>
    </w:p>
    <w:p>
      <w:pPr>
        <w:spacing w:after="0" w:line="163" w:lineRule="exact"/>
        <w:rPr>
          <w:sz w:val="20"/>
          <w:szCs w:val="20"/>
          <w:color w:val="auto"/>
        </w:rPr>
      </w:pPr>
    </w:p>
    <w:p>
      <w:pPr>
        <w:jc w:val="both"/>
        <w:ind w:left="700" w:right="60" w:hanging="348"/>
        <w:spacing w:after="0" w:line="196" w:lineRule="auto"/>
        <w:tabs>
          <w:tab w:leader="none" w:pos="700" w:val="left"/>
        </w:tabs>
        <w:numPr>
          <w:ilvl w:val="0"/>
          <w:numId w:val="29"/>
        </w:numPr>
        <w:rPr>
          <w:rFonts w:ascii="Calibri" w:cs="Calibri" w:eastAsia="Calibri" w:hAnsi="Calibri"/>
          <w:sz w:val="36"/>
          <w:szCs w:val="36"/>
          <w:color w:val="51555C"/>
          <w:vertAlign w:val="superscript"/>
        </w:rPr>
      </w:pPr>
      <w:r>
        <w:rPr>
          <w:rFonts w:ascii="Calibri" w:cs="Calibri" w:eastAsia="Calibri" w:hAnsi="Calibri"/>
          <w:sz w:val="18"/>
          <w:szCs w:val="18"/>
          <w:color w:val="51555C"/>
        </w:rPr>
        <w:t>Decrease in one-tme consultng revenue of $9.2 million primarily due to less sales of creatve services and implementaton and customizaton services. Also contributng is an increase in utlizaton of third-party service delivery partners. For several years, we have been strategically shifing away from a one-tme services business model towards sales of retained and managed services and also embedding services in our renewable cloud soluton contracts. Retained and managed services contracts that we expect to have a term consistent with our cloud soluton contracts, and embedded services are recorded as recurring revenue.</w:t>
      </w:r>
    </w:p>
    <w:p>
      <w:pPr>
        <w:spacing w:after="0" w:line="2" w:lineRule="exact"/>
        <w:rPr>
          <w:rFonts w:ascii="Calibri" w:cs="Calibri" w:eastAsia="Calibri" w:hAnsi="Calibri"/>
          <w:sz w:val="36"/>
          <w:szCs w:val="36"/>
          <w:color w:val="51555C"/>
          <w:vertAlign w:val="superscript"/>
        </w:rPr>
      </w:pPr>
    </w:p>
    <w:p>
      <w:pPr>
        <w:ind w:left="700" w:hanging="348"/>
        <w:spacing w:after="0" w:line="181" w:lineRule="auto"/>
        <w:tabs>
          <w:tab w:leader="none" w:pos="700" w:val="left"/>
        </w:tabs>
        <w:numPr>
          <w:ilvl w:val="0"/>
          <w:numId w:val="29"/>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one-tme analytcs revenue of $3.0 million as analytcs are generally integrated in our cloud solutons</w:t>
      </w:r>
    </w:p>
    <w:p>
      <w:pPr>
        <w:spacing w:after="0" w:line="268" w:lineRule="exact"/>
        <w:rPr>
          <w:sz w:val="20"/>
          <w:szCs w:val="20"/>
          <w:color w:val="auto"/>
        </w:rPr>
      </w:pPr>
    </w:p>
    <w:p>
      <w:pPr>
        <w:spacing w:after="0"/>
        <w:rPr>
          <w:sz w:val="20"/>
          <w:szCs w:val="20"/>
          <w:color w:val="auto"/>
        </w:rPr>
      </w:pPr>
      <w:r>
        <w:rPr>
          <w:rFonts w:ascii="Calibri" w:cs="Calibri" w:eastAsia="Calibri" w:hAnsi="Calibri"/>
          <w:sz w:val="18"/>
          <w:szCs w:val="18"/>
          <w:color w:val="51555C"/>
        </w:rPr>
        <w:t>Cost of one-tme services and other decreased $10.2 million or 24.3%, primarily driven by the following:</w:t>
      </w:r>
    </w:p>
    <w:p>
      <w:pPr>
        <w:spacing w:after="0" w:line="163" w:lineRule="exact"/>
        <w:rPr>
          <w:sz w:val="20"/>
          <w:szCs w:val="20"/>
          <w:color w:val="auto"/>
        </w:rPr>
      </w:pPr>
    </w:p>
    <w:p>
      <w:pPr>
        <w:ind w:left="700" w:right="20" w:hanging="348"/>
        <w:spacing w:after="0" w:line="180" w:lineRule="auto"/>
        <w:tabs>
          <w:tab w:leader="none" w:pos="700" w:val="left"/>
        </w:tabs>
        <w:numPr>
          <w:ilvl w:val="0"/>
          <w:numId w:val="30"/>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compensaton costs of $7.9 million primarily related to our targeted workforce reductons during the fourth quarter of 2022 and frst quarter of 2023 and a contnued shif in resources historically supportng one-tme services and other towards recurring revenue</w:t>
      </w:r>
    </w:p>
    <w:p>
      <w:pPr>
        <w:spacing w:after="0" w:line="109" w:lineRule="exact"/>
        <w:rPr>
          <w:rFonts w:ascii="Calibri" w:cs="Calibri" w:eastAsia="Calibri" w:hAnsi="Calibri"/>
          <w:sz w:val="31"/>
          <w:szCs w:val="31"/>
          <w:color w:val="51555C"/>
          <w:vertAlign w:val="superscript"/>
        </w:rPr>
      </w:pPr>
    </w:p>
    <w:p>
      <w:pPr>
        <w:ind w:left="700" w:right="20" w:hanging="348"/>
        <w:spacing w:after="0" w:line="180" w:lineRule="auto"/>
        <w:tabs>
          <w:tab w:leader="none" w:pos="700" w:val="left"/>
        </w:tabs>
        <w:numPr>
          <w:ilvl w:val="0"/>
          <w:numId w:val="30"/>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employee severance of $1.2 million primarily due to our targeted workforce reductons discussed above, the majority of which were recorded in cost of one-tme services and other in the fourth quarter of 2022</w:t>
      </w:r>
    </w:p>
    <w:p>
      <w:pPr>
        <w:ind w:left="700" w:hanging="348"/>
        <w:spacing w:after="0" w:line="181" w:lineRule="auto"/>
        <w:tabs>
          <w:tab w:leader="none" w:pos="700" w:val="left"/>
        </w:tabs>
        <w:numPr>
          <w:ilvl w:val="0"/>
          <w:numId w:val="30"/>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direct costs of revenue of $1.2 million primarily related to our decrease in sales of creatve services</w:t>
      </w:r>
    </w:p>
    <w:p>
      <w:pPr>
        <w:ind w:left="700" w:hanging="364"/>
        <w:spacing w:after="0" w:line="182" w:lineRule="auto"/>
        <w:tabs>
          <w:tab w:leader="none" w:pos="700" w:val="left"/>
        </w:tabs>
        <w:numPr>
          <w:ilvl w:val="0"/>
          <w:numId w:val="31"/>
        </w:numPr>
        <w:rPr>
          <w:rFonts w:ascii="Calibri" w:cs="Calibri" w:eastAsia="Calibri" w:hAnsi="Calibri"/>
          <w:sz w:val="35"/>
          <w:szCs w:val="35"/>
          <w:color w:val="51555C"/>
          <w:vertAlign w:val="superscript"/>
        </w:rPr>
      </w:pPr>
      <w:r>
        <w:rPr>
          <w:rFonts w:ascii="Calibri" w:cs="Calibri" w:eastAsia="Calibri" w:hAnsi="Calibri"/>
          <w:sz w:val="18"/>
          <w:szCs w:val="18"/>
          <w:color w:val="51555C"/>
        </w:rPr>
        <w:t>Increase in third-party contractor costs of $1.2 million primarily due to an increase in partners delivering services</w:t>
      </w:r>
    </w:p>
    <w:p>
      <w:pPr>
        <w:spacing w:after="0" w:line="2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One-tme services and other gross margin decreased by 320 basis points primarily due to the decrease in one-tme services and other revenue outpacing the decrease in cost of one-tme services and other revenue.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80" w:type="dxa"/>
            <w:vAlign w:val="bottom"/>
          </w:tcPr>
          <w:p>
            <w:pPr>
              <w:spacing w:after="0"/>
              <w:rPr>
                <w:sz w:val="20"/>
                <w:szCs w:val="20"/>
                <w:color w:val="auto"/>
              </w:rPr>
            </w:pPr>
            <w:r>
              <w:rPr>
                <w:rFonts w:ascii="Calibri" w:cs="Calibri" w:eastAsia="Calibri" w:hAnsi="Calibri"/>
                <w:sz w:val="18"/>
                <w:szCs w:val="18"/>
                <w:b w:val="1"/>
                <w:bCs w:val="1"/>
                <w:color w:val="51555C"/>
              </w:rPr>
              <w:t>Operatng Expenses</w:t>
            </w:r>
          </w:p>
        </w:tc>
        <w:tc>
          <w:tcPr>
            <w:tcW w:w="41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540"/>
        </w:trPr>
        <w:tc>
          <w:tcPr>
            <w:tcW w:w="2580" w:type="dxa"/>
            <w:vAlign w:val="bottom"/>
          </w:tcPr>
          <w:p>
            <w:pPr>
              <w:jc w:val="center"/>
              <w:ind w:left="10"/>
              <w:spacing w:after="0"/>
              <w:rPr>
                <w:sz w:val="20"/>
                <w:szCs w:val="20"/>
                <w:color w:val="auto"/>
              </w:rPr>
            </w:pPr>
            <w:r>
              <w:rPr>
                <w:rFonts w:ascii="Calibri" w:cs="Calibri" w:eastAsia="Calibri" w:hAnsi="Calibri"/>
                <w:sz w:val="18"/>
                <w:szCs w:val="18"/>
                <w:i w:val="1"/>
                <w:iCs w:val="1"/>
                <w:color w:val="51555C"/>
                <w:w w:val="99"/>
              </w:rPr>
              <w:t>Sales, marketng and</w:t>
            </w:r>
          </w:p>
        </w:tc>
        <w:tc>
          <w:tcPr>
            <w:tcW w:w="4100" w:type="dxa"/>
            <w:vAlign w:val="bottom"/>
          </w:tcPr>
          <w:p>
            <w:pPr>
              <w:jc w:val="center"/>
              <w:ind w:right="99"/>
              <w:spacing w:after="0"/>
              <w:rPr>
                <w:sz w:val="20"/>
                <w:szCs w:val="20"/>
                <w:color w:val="auto"/>
              </w:rPr>
            </w:pPr>
            <w:r>
              <w:rPr>
                <w:rFonts w:ascii="Calibri" w:cs="Calibri" w:eastAsia="Calibri" w:hAnsi="Calibri"/>
                <w:sz w:val="18"/>
                <w:szCs w:val="18"/>
                <w:i w:val="1"/>
                <w:iCs w:val="1"/>
                <w:color w:val="51555C"/>
                <w:w w:val="97"/>
              </w:rPr>
              <w:t>Research and</w:t>
            </w:r>
          </w:p>
        </w:tc>
        <w:tc>
          <w:tcPr>
            <w:tcW w:w="2560" w:type="dxa"/>
            <w:vAlign w:val="bottom"/>
          </w:tcPr>
          <w:p>
            <w:pPr>
              <w:jc w:val="center"/>
              <w:ind w:right="190"/>
              <w:spacing w:after="0"/>
              <w:rPr>
                <w:sz w:val="20"/>
                <w:szCs w:val="20"/>
                <w:color w:val="auto"/>
              </w:rPr>
            </w:pPr>
            <w:r>
              <w:rPr>
                <w:rFonts w:ascii="Calibri" w:cs="Calibri" w:eastAsia="Calibri" w:hAnsi="Calibri"/>
                <w:sz w:val="18"/>
                <w:szCs w:val="18"/>
                <w:i w:val="1"/>
                <w:iCs w:val="1"/>
                <w:color w:val="51555C"/>
                <w:w w:val="98"/>
              </w:rPr>
              <w:t>General and</w:t>
            </w:r>
          </w:p>
        </w:tc>
      </w:tr>
      <w:tr>
        <w:trPr>
          <w:trHeight w:val="216"/>
        </w:trPr>
        <w:tc>
          <w:tcPr>
            <w:tcW w:w="2580" w:type="dxa"/>
            <w:vAlign w:val="bottom"/>
          </w:tcPr>
          <w:p>
            <w:pPr>
              <w:jc w:val="center"/>
              <w:ind w:left="10"/>
              <w:spacing w:after="0" w:line="216" w:lineRule="exact"/>
              <w:rPr>
                <w:sz w:val="20"/>
                <w:szCs w:val="20"/>
                <w:color w:val="auto"/>
              </w:rPr>
            </w:pPr>
            <w:r>
              <w:rPr>
                <w:rFonts w:ascii="Calibri" w:cs="Calibri" w:eastAsia="Calibri" w:hAnsi="Calibri"/>
                <w:sz w:val="18"/>
                <w:szCs w:val="18"/>
                <w:i w:val="1"/>
                <w:iCs w:val="1"/>
                <w:color w:val="51555C"/>
                <w:w w:val="96"/>
              </w:rPr>
              <w:t>customer success ($M)</w:t>
            </w:r>
          </w:p>
        </w:tc>
        <w:tc>
          <w:tcPr>
            <w:tcW w:w="4100" w:type="dxa"/>
            <w:vAlign w:val="bottom"/>
          </w:tcPr>
          <w:p>
            <w:pPr>
              <w:jc w:val="center"/>
              <w:ind w:right="99"/>
              <w:spacing w:after="0" w:line="216" w:lineRule="exact"/>
              <w:rPr>
                <w:sz w:val="20"/>
                <w:szCs w:val="20"/>
                <w:color w:val="auto"/>
              </w:rPr>
            </w:pPr>
            <w:r>
              <w:rPr>
                <w:rFonts w:ascii="Calibri" w:cs="Calibri" w:eastAsia="Calibri" w:hAnsi="Calibri"/>
                <w:sz w:val="18"/>
                <w:szCs w:val="18"/>
                <w:i w:val="1"/>
                <w:iCs w:val="1"/>
                <w:color w:val="51555C"/>
                <w:w w:val="97"/>
              </w:rPr>
              <w:t>development ($M)</w:t>
            </w:r>
          </w:p>
        </w:tc>
        <w:tc>
          <w:tcPr>
            <w:tcW w:w="2560" w:type="dxa"/>
            <w:vAlign w:val="bottom"/>
          </w:tcPr>
          <w:p>
            <w:pPr>
              <w:jc w:val="center"/>
              <w:ind w:right="170"/>
              <w:spacing w:after="0" w:line="216" w:lineRule="exact"/>
              <w:rPr>
                <w:sz w:val="20"/>
                <w:szCs w:val="20"/>
                <w:color w:val="auto"/>
              </w:rPr>
            </w:pPr>
            <w:r>
              <w:rPr>
                <w:rFonts w:ascii="Calibri" w:cs="Calibri" w:eastAsia="Calibri" w:hAnsi="Calibri"/>
                <w:sz w:val="18"/>
                <w:szCs w:val="18"/>
                <w:i w:val="1"/>
                <w:iCs w:val="1"/>
                <w:color w:val="51555C"/>
              </w:rPr>
              <w:t>administratve ($M)</w:t>
            </w:r>
          </w:p>
        </w:tc>
      </w:tr>
      <w:tr>
        <w:trPr>
          <w:trHeight w:val="50"/>
        </w:trPr>
        <w:tc>
          <w:tcPr>
            <w:tcW w:w="2580" w:type="dxa"/>
            <w:vAlign w:val="bottom"/>
            <w:tcBorders>
              <w:bottom w:val="single" w:sz="8" w:color="51555C"/>
            </w:tcBorders>
          </w:tcPr>
          <w:p>
            <w:pPr>
              <w:spacing w:after="0"/>
              <w:rPr>
                <w:sz w:val="4"/>
                <w:szCs w:val="4"/>
                <w:color w:val="auto"/>
              </w:rPr>
            </w:pPr>
          </w:p>
        </w:tc>
        <w:tc>
          <w:tcPr>
            <w:tcW w:w="4100" w:type="dxa"/>
            <w:vAlign w:val="bottom"/>
            <w:tcBorders>
              <w:bottom w:val="single" w:sz="8" w:color="51555C"/>
            </w:tcBorders>
          </w:tcPr>
          <w:p>
            <w:pPr>
              <w:spacing w:after="0"/>
              <w:rPr>
                <w:sz w:val="4"/>
                <w:szCs w:val="4"/>
                <w:color w:val="auto"/>
              </w:rPr>
            </w:pPr>
          </w:p>
        </w:tc>
        <w:tc>
          <w:tcPr>
            <w:tcW w:w="2560" w:type="dxa"/>
            <w:vAlign w:val="bottom"/>
            <w:tcBorders>
              <w:bottom w:val="single" w:sz="8" w:color="51555C"/>
            </w:tcBorders>
          </w:tcPr>
          <w:p>
            <w:pPr>
              <w:spacing w:after="0"/>
              <w:rPr>
                <w:sz w:val="4"/>
                <w:szCs w:val="4"/>
                <w:color w:val="auto"/>
              </w:rPr>
            </w:pPr>
          </w:p>
        </w:tc>
      </w:tr>
      <w:tr>
        <w:trPr>
          <w:trHeight w:val="213"/>
        </w:trPr>
        <w:tc>
          <w:tcPr>
            <w:tcW w:w="2580" w:type="dxa"/>
            <w:vAlign w:val="bottom"/>
          </w:tcPr>
          <w:p>
            <w:pPr>
              <w:spacing w:after="0"/>
              <w:rPr>
                <w:sz w:val="18"/>
                <w:szCs w:val="18"/>
                <w:color w:val="auto"/>
              </w:rPr>
            </w:pPr>
          </w:p>
        </w:tc>
        <w:tc>
          <w:tcPr>
            <w:tcW w:w="4100" w:type="dxa"/>
            <w:vAlign w:val="bottom"/>
          </w:tcPr>
          <w:p>
            <w:pPr>
              <w:ind w:left="440"/>
              <w:spacing w:after="0"/>
              <w:rPr>
                <w:sz w:val="20"/>
                <w:szCs w:val="20"/>
                <w:color w:val="auto"/>
              </w:rPr>
            </w:pPr>
            <w:r>
              <w:rPr>
                <w:rFonts w:ascii="Calibri" w:cs="Calibri" w:eastAsia="Calibri" w:hAnsi="Calibri"/>
                <w:sz w:val="13"/>
                <w:szCs w:val="13"/>
                <w:i w:val="1"/>
                <w:iCs w:val="1"/>
                <w:color w:val="51555C"/>
              </w:rPr>
              <w:t>Percentages indicate expenses as a percentage of total revenue</w:t>
            </w:r>
          </w:p>
        </w:tc>
        <w:tc>
          <w:tcPr>
            <w:tcW w:w="2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5812155" cy="1423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Sales, marketng and customer success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Sales, marketng and customer success expense includes compensaton costs, variable sales commissions, travel-related expenses, advertsing and marketng materials, public relatons costs, variable reseller commissions and allocated depreciaton, facilites and IT support costs.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see a large market opportunity in the long-term and will contnue to make investments to drive sales efectveness. We have also implemented sofware tools to enhance our digital footprint and drive lead generaton. The enhancements we are making in our go-to-market approach are expected to reduce our average customer acquisiton cost per customer as well as the related payback period while increasing sales velocity.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229870</wp:posOffset>
            </wp:positionV>
            <wp:extent cx="7289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43</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Sales, marketng and customer success expenses decreased by $9.3 million, or 4.2%. The decreases in dollars and as a percentage of total revenue were primarily driven by the following:</w:t>
      </w:r>
    </w:p>
    <w:p>
      <w:pPr>
        <w:spacing w:after="0" w:line="105" w:lineRule="exact"/>
        <w:rPr>
          <w:sz w:val="20"/>
          <w:szCs w:val="20"/>
          <w:color w:val="auto"/>
        </w:rPr>
      </w:pPr>
    </w:p>
    <w:p>
      <w:pPr>
        <w:ind w:left="700" w:hanging="348"/>
        <w:spacing w:after="0"/>
        <w:tabs>
          <w:tab w:leader="none" w:pos="700" w:val="left"/>
        </w:tabs>
        <w:numPr>
          <w:ilvl w:val="0"/>
          <w:numId w:val="32"/>
        </w:numPr>
        <w:rPr>
          <w:rFonts w:ascii="Calibri" w:cs="Calibri" w:eastAsia="Calibri" w:hAnsi="Calibri"/>
          <w:sz w:val="18"/>
          <w:szCs w:val="18"/>
          <w:color w:val="51555C"/>
        </w:rPr>
      </w:pPr>
      <w:r>
        <w:rPr>
          <w:rFonts w:ascii="Calibri" w:cs="Calibri" w:eastAsia="Calibri" w:hAnsi="Calibri"/>
          <w:sz w:val="18"/>
          <w:szCs w:val="18"/>
          <w:color w:val="51555C"/>
        </w:rPr>
        <w:t>Net decreases in the following costs primarily due to our targeted workforce reductons discussed above:</w:t>
      </w:r>
    </w:p>
    <w:p>
      <w:pPr>
        <w:ind w:left="1340" w:hanging="315"/>
        <w:spacing w:after="0" w:line="235" w:lineRule="auto"/>
        <w:tabs>
          <w:tab w:leader="none" w:pos="1340" w:val="left"/>
        </w:tabs>
        <w:numPr>
          <w:ilvl w:val="1"/>
          <w:numId w:val="32"/>
        </w:numPr>
        <w:rPr>
          <w:rFonts w:ascii="Calibri" w:cs="Calibri" w:eastAsia="Calibri" w:hAnsi="Calibri"/>
          <w:sz w:val="18"/>
          <w:szCs w:val="18"/>
          <w:color w:val="51555C"/>
        </w:rPr>
      </w:pPr>
      <w:r>
        <w:rPr>
          <w:rFonts w:ascii="Calibri" w:cs="Calibri" w:eastAsia="Calibri" w:hAnsi="Calibri"/>
          <w:sz w:val="18"/>
          <w:szCs w:val="18"/>
          <w:color w:val="51555C"/>
        </w:rPr>
        <w:t>Decrease in compensaton costs other than stock-based compensaton of $10.5 million; and</w:t>
      </w:r>
    </w:p>
    <w:p>
      <w:pPr>
        <w:ind w:left="1340" w:hanging="315"/>
        <w:spacing w:after="0" w:line="235" w:lineRule="auto"/>
        <w:tabs>
          <w:tab w:leader="none" w:pos="1340" w:val="left"/>
        </w:tabs>
        <w:numPr>
          <w:ilvl w:val="1"/>
          <w:numId w:val="32"/>
        </w:numPr>
        <w:rPr>
          <w:rFonts w:ascii="Calibri" w:cs="Calibri" w:eastAsia="Calibri" w:hAnsi="Calibri"/>
          <w:sz w:val="18"/>
          <w:szCs w:val="18"/>
          <w:color w:val="51555C"/>
        </w:rPr>
      </w:pPr>
      <w:r>
        <w:rPr>
          <w:rFonts w:ascii="Calibri" w:cs="Calibri" w:eastAsia="Calibri" w:hAnsi="Calibri"/>
          <w:sz w:val="18"/>
          <w:szCs w:val="18"/>
          <w:color w:val="51555C"/>
        </w:rPr>
        <w:t>Decrease in commissions expense of $1.3 million; partally ofset by</w:t>
      </w:r>
    </w:p>
    <w:p>
      <w:pPr>
        <w:ind w:left="1340" w:hanging="315"/>
        <w:spacing w:after="0" w:line="235" w:lineRule="auto"/>
        <w:tabs>
          <w:tab w:leader="none" w:pos="1340" w:val="left"/>
        </w:tabs>
        <w:numPr>
          <w:ilvl w:val="1"/>
          <w:numId w:val="32"/>
        </w:numPr>
        <w:rPr>
          <w:rFonts w:ascii="Calibri" w:cs="Calibri" w:eastAsia="Calibri" w:hAnsi="Calibri"/>
          <w:sz w:val="18"/>
          <w:szCs w:val="18"/>
          <w:color w:val="51555C"/>
        </w:rPr>
      </w:pPr>
      <w:r>
        <w:rPr>
          <w:rFonts w:ascii="Calibri" w:cs="Calibri" w:eastAsia="Calibri" w:hAnsi="Calibri"/>
          <w:sz w:val="18"/>
          <w:szCs w:val="18"/>
          <w:color w:val="51555C"/>
        </w:rPr>
        <w:t>Increase in severance costs of $1.5 million</w:t>
      </w:r>
    </w:p>
    <w:p>
      <w:pPr>
        <w:ind w:left="700" w:hanging="348"/>
        <w:spacing w:after="0" w:line="181" w:lineRule="auto"/>
        <w:tabs>
          <w:tab w:leader="none" w:pos="700" w:val="left"/>
        </w:tabs>
        <w:numPr>
          <w:ilvl w:val="0"/>
          <w:numId w:val="32"/>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third-party contractor costs of $3.1 million primarily related to strategic consultng costs incurred during 2022</w:t>
      </w:r>
    </w:p>
    <w:p>
      <w:pPr>
        <w:spacing w:after="0" w:line="111" w:lineRule="exact"/>
        <w:rPr>
          <w:sz w:val="20"/>
          <w:szCs w:val="20"/>
          <w:color w:val="auto"/>
        </w:rPr>
      </w:pPr>
    </w:p>
    <w:p>
      <w:pPr>
        <w:jc w:val="both"/>
        <w:ind w:left="700" w:right="60" w:hanging="364"/>
        <w:spacing w:after="0"/>
        <w:tabs>
          <w:tab w:leader="none" w:pos="700" w:val="left"/>
        </w:tabs>
        <w:numPr>
          <w:ilvl w:val="0"/>
          <w:numId w:val="33"/>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stock-based compensaton costs of $3.5 million primarily due to overall Company performance against 2023 goals and 2022 performance-based equity award adjustments, partally ofset by the targeted workforce reductons during the fourth quarter of 2022 and frst quarter of 2023</w:t>
      </w:r>
    </w:p>
    <w:p>
      <w:pPr>
        <w:spacing w:after="0" w:line="133" w:lineRule="exact"/>
        <w:rPr>
          <w:rFonts w:ascii="Calibri" w:cs="Calibri" w:eastAsia="Calibri" w:hAnsi="Calibri"/>
          <w:sz w:val="34"/>
          <w:szCs w:val="34"/>
          <w:color w:val="51555C"/>
          <w:vertAlign w:val="superscript"/>
        </w:rPr>
      </w:pPr>
    </w:p>
    <w:p>
      <w:pPr>
        <w:ind w:left="700" w:right="60" w:hanging="364"/>
        <w:spacing w:after="0" w:line="180" w:lineRule="auto"/>
        <w:tabs>
          <w:tab w:leader="none" w:pos="700" w:val="left"/>
        </w:tabs>
        <w:numPr>
          <w:ilvl w:val="0"/>
          <w:numId w:val="33"/>
        </w:numPr>
        <w:rPr>
          <w:rFonts w:ascii="Calibri" w:cs="Calibri" w:eastAsia="Calibri" w:hAnsi="Calibri"/>
          <w:sz w:val="31"/>
          <w:szCs w:val="31"/>
          <w:color w:val="51555C"/>
          <w:vertAlign w:val="superscript"/>
        </w:rPr>
      </w:pPr>
      <w:r>
        <w:rPr>
          <w:rFonts w:ascii="Calibri" w:cs="Calibri" w:eastAsia="Calibri" w:hAnsi="Calibri"/>
          <w:sz w:val="16"/>
          <w:szCs w:val="16"/>
          <w:color w:val="51555C"/>
        </w:rPr>
        <w:t xml:space="preserve">Increase in conference and travel costs of $1.0 million primarily due to our annual user conference, </w:t>
      </w:r>
      <w:r>
        <w:rPr>
          <w:rFonts w:ascii="Calibri" w:cs="Calibri" w:eastAsia="Calibri" w:hAnsi="Calibri"/>
          <w:sz w:val="16"/>
          <w:szCs w:val="16"/>
          <w:b w:val="1"/>
          <w:bCs w:val="1"/>
          <w:i w:val="1"/>
          <w:iCs w:val="1"/>
          <w:color w:val="51555C"/>
        </w:rPr>
        <w:t>bbcon</w:t>
      </w:r>
      <w:r>
        <w:rPr>
          <w:rFonts w:ascii="Calibri" w:cs="Calibri" w:eastAsia="Calibri" w:hAnsi="Calibri"/>
          <w:sz w:val="16"/>
          <w:szCs w:val="16"/>
          <w:color w:val="51555C"/>
        </w:rPr>
        <w:t>®, which was held in-person in November 2023 for the frst tme since the pandemic</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Research and development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Research and development expense includes compensaton costs for engineering and product management personnel, third-party contractor expenses, sofware development tools and other expenses related to developing new solutons or upgrading and enhancing existng solutons that do not qualify for capitalizaton, and allocated depreciaton, facilites and IT support costs.</w:t>
      </w:r>
    </w:p>
    <w:p>
      <w:pPr>
        <w:spacing w:after="0" w:line="268"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contnue to make investments to delight our customers with innovatve cloud solutons. We also contnue to invest heavily in the security of our solutons. Research and development expense decreased by $3.6 million, or 2.3%. The decreases in dollars and as a percentage of total revenue were primarily driven by the following:</w:t>
      </w:r>
    </w:p>
    <w:p>
      <w:pPr>
        <w:ind w:left="720" w:hanging="347"/>
        <w:spacing w:after="0" w:line="207" w:lineRule="auto"/>
        <w:tabs>
          <w:tab w:leader="none" w:pos="720" w:val="left"/>
        </w:tabs>
        <w:numPr>
          <w:ilvl w:val="0"/>
          <w:numId w:val="34"/>
        </w:numPr>
        <w:rPr>
          <w:rFonts w:ascii="Calibri" w:cs="Calibri" w:eastAsia="Calibri" w:hAnsi="Calibri"/>
          <w:sz w:val="36"/>
          <w:szCs w:val="36"/>
          <w:color w:val="51555C"/>
          <w:vertAlign w:val="superscript"/>
        </w:rPr>
      </w:pPr>
      <w:r>
        <w:rPr>
          <w:rFonts w:ascii="Calibri" w:cs="Calibri" w:eastAsia="Calibri" w:hAnsi="Calibri"/>
          <w:sz w:val="18"/>
          <w:szCs w:val="18"/>
          <w:color w:val="51555C"/>
        </w:rPr>
        <w:t>Decrease in third-party contractor costs of $6.5 million primarily due to a decrease in our use of third-party sofware developers</w:t>
      </w:r>
    </w:p>
    <w:p>
      <w:pPr>
        <w:spacing w:after="0" w:line="145" w:lineRule="exact"/>
        <w:rPr>
          <w:rFonts w:ascii="Calibri" w:cs="Calibri" w:eastAsia="Calibri" w:hAnsi="Calibri"/>
          <w:sz w:val="36"/>
          <w:szCs w:val="36"/>
          <w:color w:val="51555C"/>
          <w:vertAlign w:val="superscript"/>
        </w:rPr>
      </w:pPr>
    </w:p>
    <w:p>
      <w:pPr>
        <w:ind w:left="720" w:right="40" w:hanging="347"/>
        <w:spacing w:after="0"/>
        <w:tabs>
          <w:tab w:leader="none" w:pos="720" w:val="left"/>
        </w:tabs>
        <w:numPr>
          <w:ilvl w:val="0"/>
          <w:numId w:val="34"/>
        </w:numPr>
        <w:rPr>
          <w:rFonts w:ascii="Calibri" w:cs="Calibri" w:eastAsia="Calibri" w:hAnsi="Calibri"/>
          <w:sz w:val="32"/>
          <w:szCs w:val="32"/>
          <w:color w:val="51555C"/>
          <w:vertAlign w:val="superscript"/>
        </w:rPr>
      </w:pPr>
      <w:r>
        <w:rPr>
          <w:rFonts w:ascii="Calibri" w:cs="Calibri" w:eastAsia="Calibri" w:hAnsi="Calibri"/>
          <w:sz w:val="16"/>
          <w:szCs w:val="16"/>
          <w:color w:val="51555C"/>
        </w:rPr>
        <w:t>Decrease in compensaton costs other than stock-based compensaton of $3.9 million primarily due to our targeted workforce reductons discussed above</w:t>
      </w:r>
    </w:p>
    <w:p>
      <w:pPr>
        <w:spacing w:after="0" w:line="59" w:lineRule="exact"/>
        <w:rPr>
          <w:sz w:val="20"/>
          <w:szCs w:val="20"/>
          <w:color w:val="auto"/>
        </w:rPr>
      </w:pPr>
    </w:p>
    <w:p>
      <w:pPr>
        <w:ind w:left="720" w:right="40" w:hanging="364"/>
        <w:spacing w:after="0" w:line="235" w:lineRule="auto"/>
        <w:tabs>
          <w:tab w:leader="none" w:pos="720" w:val="left"/>
        </w:tabs>
        <w:numPr>
          <w:ilvl w:val="0"/>
          <w:numId w:val="35"/>
        </w:numPr>
        <w:rPr>
          <w:rFonts w:ascii="Calibri" w:cs="Calibri" w:eastAsia="Calibri" w:hAnsi="Calibri"/>
          <w:sz w:val="18"/>
          <w:szCs w:val="18"/>
          <w:color w:val="51555C"/>
        </w:rPr>
      </w:pPr>
      <w:r>
        <w:rPr>
          <w:rFonts w:ascii="Calibri" w:cs="Calibri" w:eastAsia="Calibri" w:hAnsi="Calibri"/>
          <w:sz w:val="18"/>
          <w:szCs w:val="18"/>
          <w:color w:val="51555C"/>
        </w:rPr>
        <w:t>Increase in stock-based compensaton of $6.6 million primarily due to overall Company performance against 2023 goals and 2022 performance-based equity award adjustments, partally ofset by the targeted workforce reductons during the fourth quarter of 2022 and frst quarter of 2023</w:t>
      </w:r>
    </w:p>
    <w:p>
      <w:pPr>
        <w:spacing w:after="0" w:line="28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Not included in research and development expense for 2023 and 2022 were $60.7 million and $58.5 million, respectvely, of qualifying costs associated with sofware and content development actvites that are required to be capitalized under GAAP, such as those for our cloud solutons, as well as development costs associated with acquired companies. Qualifying capitalized sofware and content development costs associated with our cloud solutons and online educatonal courses are subsequently amortzed to cost of recurring revenue over the related asset's estmated useful life, which generally range from three to seven years. We expect that the amount of sofware and content development costs capitalized will be relatvely consistent in the near-term as we contnue making investments in innovaton, quality, security and the integraton of our solutons, which we believe will drive long-term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44</w:t>
      </w:r>
      <w:r>
        <w:rPr>
          <w:sz w:val="20"/>
          <w:szCs w:val="20"/>
          <w:color w:val="auto"/>
        </w:rPr>
        <w:tab/>
      </w:r>
      <w:r>
        <w:rPr>
          <w:sz w:val="1"/>
          <w:szCs w:val="1"/>
          <w:color w:val="auto"/>
        </w:rPr>
        <w:drawing>
          <wp:inline distT="0" distB="0" distL="0" distR="0">
            <wp:extent cx="728345" cy="18859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General and administratve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General and administratve expense consists primarily of compensaton costs for general corporate functons, including senior management, fnance, accountng, legal, human resources and corporate development, Security Incident-related expenses (including legal fees, setlements and loss contngency accruals), third-party professional fees, insurance, allocated depreciaton, facilites and IT support costs, acquisiton-related expenses and other administratve expenses.</w:t>
      </w:r>
    </w:p>
    <w:p>
      <w:pPr>
        <w:spacing w:after="0" w:line="269"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General and administratve expenses decreased by $10.0 million, or 5.0%. The decreases in dollars and as a percentage of total revenue were primarily driven by the following:</w:t>
      </w:r>
    </w:p>
    <w:p>
      <w:pPr>
        <w:spacing w:after="0" w:line="164" w:lineRule="exact"/>
        <w:rPr>
          <w:sz w:val="20"/>
          <w:szCs w:val="20"/>
          <w:color w:val="auto"/>
        </w:rPr>
      </w:pPr>
    </w:p>
    <w:p>
      <w:pPr>
        <w:ind w:left="700" w:right="20" w:hanging="348"/>
        <w:spacing w:after="0"/>
        <w:tabs>
          <w:tab w:leader="none" w:pos="700" w:val="left"/>
        </w:tabs>
        <w:numPr>
          <w:ilvl w:val="0"/>
          <w:numId w:val="36"/>
        </w:numPr>
        <w:rPr>
          <w:rFonts w:ascii="Calibri" w:cs="Calibri" w:eastAsia="Calibri" w:hAnsi="Calibri"/>
          <w:sz w:val="34"/>
          <w:szCs w:val="34"/>
          <w:color w:val="51555C"/>
          <w:vertAlign w:val="superscript"/>
        </w:rPr>
      </w:pPr>
      <w:r>
        <w:rPr>
          <w:rFonts w:ascii="Calibri" w:cs="Calibri" w:eastAsia="Calibri" w:hAnsi="Calibri"/>
          <w:sz w:val="17"/>
          <w:szCs w:val="17"/>
          <w:color w:val="51555C"/>
        </w:rPr>
        <w:t>Decrease in compensaton costs other than stock-based compensaton of $5.0 million primarily due to our targeted workforce reductons discussed above</w:t>
      </w:r>
    </w:p>
    <w:p>
      <w:pPr>
        <w:spacing w:after="0" w:line="15" w:lineRule="exact"/>
        <w:rPr>
          <w:rFonts w:ascii="Calibri" w:cs="Calibri" w:eastAsia="Calibri" w:hAnsi="Calibri"/>
          <w:sz w:val="34"/>
          <w:szCs w:val="34"/>
          <w:color w:val="51555C"/>
          <w:vertAlign w:val="superscript"/>
        </w:rPr>
      </w:pPr>
    </w:p>
    <w:p>
      <w:pPr>
        <w:ind w:left="700" w:hanging="348"/>
        <w:spacing w:after="0" w:line="181" w:lineRule="auto"/>
        <w:tabs>
          <w:tab w:leader="none" w:pos="700" w:val="left"/>
        </w:tabs>
        <w:numPr>
          <w:ilvl w:val="0"/>
          <w:numId w:val="36"/>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third-party contractor costs of $2.7 million primarily due to our focus on cost management</w:t>
      </w:r>
    </w:p>
    <w:p>
      <w:pPr>
        <w:spacing w:after="0" w:line="92" w:lineRule="exact"/>
        <w:rPr>
          <w:rFonts w:ascii="Calibri" w:cs="Calibri" w:eastAsia="Calibri" w:hAnsi="Calibri"/>
          <w:sz w:val="35"/>
          <w:szCs w:val="35"/>
          <w:color w:val="51555C"/>
          <w:vertAlign w:val="superscript"/>
        </w:rPr>
      </w:pPr>
    </w:p>
    <w:p>
      <w:pPr>
        <w:ind w:left="700" w:hanging="348"/>
        <w:spacing w:after="0" w:line="195" w:lineRule="auto"/>
        <w:tabs>
          <w:tab w:leader="none" w:pos="700" w:val="left"/>
        </w:tabs>
        <w:numPr>
          <w:ilvl w:val="0"/>
          <w:numId w:val="36"/>
        </w:numPr>
        <w:rPr>
          <w:rFonts w:ascii="Calibri" w:cs="Calibri" w:eastAsia="Calibri" w:hAnsi="Calibri"/>
          <w:sz w:val="18"/>
          <w:szCs w:val="18"/>
          <w:color w:val="51555C"/>
        </w:rPr>
      </w:pPr>
      <w:r>
        <w:rPr>
          <w:rFonts w:ascii="Calibri" w:cs="Calibri" w:eastAsia="Calibri" w:hAnsi="Calibri"/>
          <w:sz w:val="18"/>
          <w:szCs w:val="18"/>
          <w:color w:val="51555C"/>
        </w:rPr>
        <w:t>Decrease in Security Incident-related expenses of $2.3 million. See "Security Incident update" above on page 39</w:t>
      </w:r>
    </w:p>
    <w:p>
      <w:pPr>
        <w:spacing w:after="0" w:line="109" w:lineRule="exact"/>
        <w:rPr>
          <w:rFonts w:ascii="Calibri" w:cs="Calibri" w:eastAsia="Calibri" w:hAnsi="Calibri"/>
          <w:sz w:val="18"/>
          <w:szCs w:val="18"/>
          <w:color w:val="51555C"/>
        </w:rPr>
      </w:pPr>
    </w:p>
    <w:p>
      <w:pPr>
        <w:jc w:val="both"/>
        <w:ind w:left="700" w:right="20" w:hanging="348"/>
        <w:spacing w:after="0" w:line="187" w:lineRule="auto"/>
        <w:tabs>
          <w:tab w:leader="none" w:pos="700" w:val="left"/>
        </w:tabs>
        <w:numPr>
          <w:ilvl w:val="0"/>
          <w:numId w:val="36"/>
        </w:numPr>
        <w:rPr>
          <w:rFonts w:ascii="Calibri" w:cs="Calibri" w:eastAsia="Calibri" w:hAnsi="Calibri"/>
          <w:sz w:val="34"/>
          <w:szCs w:val="34"/>
          <w:color w:val="51555C"/>
          <w:vertAlign w:val="superscript"/>
        </w:rPr>
      </w:pPr>
      <w:r>
        <w:rPr>
          <w:rFonts w:ascii="Calibri" w:cs="Calibri" w:eastAsia="Calibri" w:hAnsi="Calibri"/>
          <w:sz w:val="17"/>
          <w:szCs w:val="17"/>
          <w:color w:val="51555C"/>
        </w:rPr>
        <w:t>A $2.3 million noncash impairment charge during the second quarter of 2022 against previously capitalized sofware development costs that reduced the carrying value of those assets to zero. The impairment charge resulted primarily from our decision to end customer support for certain solutons and did not reoccur in 2023</w:t>
      </w:r>
    </w:p>
    <w:p>
      <w:pPr>
        <w:spacing w:after="0" w:line="109" w:lineRule="exact"/>
        <w:rPr>
          <w:rFonts w:ascii="Calibri" w:cs="Calibri" w:eastAsia="Calibri" w:hAnsi="Calibri"/>
          <w:sz w:val="34"/>
          <w:szCs w:val="34"/>
          <w:color w:val="51555C"/>
          <w:vertAlign w:val="superscript"/>
        </w:rPr>
      </w:pPr>
    </w:p>
    <w:p>
      <w:pPr>
        <w:ind w:left="700" w:right="20" w:hanging="348"/>
        <w:spacing w:after="0" w:line="180" w:lineRule="auto"/>
        <w:tabs>
          <w:tab w:leader="none" w:pos="700" w:val="left"/>
        </w:tabs>
        <w:numPr>
          <w:ilvl w:val="0"/>
          <w:numId w:val="36"/>
        </w:numPr>
        <w:rPr>
          <w:rFonts w:ascii="Calibri" w:cs="Calibri" w:eastAsia="Calibri" w:hAnsi="Calibri"/>
          <w:sz w:val="31"/>
          <w:szCs w:val="31"/>
          <w:color w:val="51555C"/>
          <w:vertAlign w:val="superscript"/>
        </w:rPr>
      </w:pPr>
      <w:r>
        <w:rPr>
          <w:rFonts w:ascii="Calibri" w:cs="Calibri" w:eastAsia="Calibri" w:hAnsi="Calibri"/>
          <w:sz w:val="16"/>
          <w:szCs w:val="16"/>
          <w:color w:val="51555C"/>
        </w:rPr>
        <w:t>Decrease in corporate costs of $1.3 million primarily related to the release of certain accrued tax liabilites due to favorable sales tax rulings, partally ofset by an increase in bad debt expense</w:t>
      </w:r>
    </w:p>
    <w:p>
      <w:pPr>
        <w:ind w:left="700" w:hanging="348"/>
        <w:spacing w:after="0" w:line="181" w:lineRule="auto"/>
        <w:tabs>
          <w:tab w:leader="none" w:pos="700" w:val="left"/>
        </w:tabs>
        <w:numPr>
          <w:ilvl w:val="0"/>
          <w:numId w:val="36"/>
        </w:numPr>
        <w:rPr>
          <w:rFonts w:ascii="Calibri" w:cs="Calibri" w:eastAsia="Calibri" w:hAnsi="Calibri"/>
          <w:sz w:val="35"/>
          <w:szCs w:val="35"/>
          <w:color w:val="51555C"/>
          <w:vertAlign w:val="superscript"/>
        </w:rPr>
      </w:pPr>
      <w:r>
        <w:rPr>
          <w:rFonts w:ascii="Calibri" w:cs="Calibri" w:eastAsia="Calibri" w:hAnsi="Calibri"/>
          <w:sz w:val="18"/>
          <w:szCs w:val="18"/>
          <w:color w:val="51555C"/>
        </w:rPr>
        <w:t>Decrease in rent expense of $1.1 million</w:t>
      </w:r>
    </w:p>
    <w:p>
      <w:pPr>
        <w:spacing w:after="0" w:line="111" w:lineRule="exact"/>
        <w:rPr>
          <w:sz w:val="20"/>
          <w:szCs w:val="20"/>
          <w:color w:val="auto"/>
        </w:rPr>
      </w:pPr>
    </w:p>
    <w:p>
      <w:pPr>
        <w:jc w:val="both"/>
        <w:ind w:left="700" w:right="20" w:hanging="364"/>
        <w:spacing w:after="0"/>
        <w:tabs>
          <w:tab w:leader="none" w:pos="700" w:val="left"/>
        </w:tabs>
        <w:numPr>
          <w:ilvl w:val="0"/>
          <w:numId w:val="37"/>
        </w:numPr>
        <w:rPr>
          <w:rFonts w:ascii="Calibri" w:cs="Calibri" w:eastAsia="Calibri" w:hAnsi="Calibri"/>
          <w:sz w:val="34"/>
          <w:szCs w:val="34"/>
          <w:color w:val="51555C"/>
          <w:vertAlign w:val="superscript"/>
        </w:rPr>
      </w:pPr>
      <w:r>
        <w:rPr>
          <w:rFonts w:ascii="Calibri" w:cs="Calibri" w:eastAsia="Calibri" w:hAnsi="Calibri"/>
          <w:sz w:val="17"/>
          <w:szCs w:val="17"/>
          <w:color w:val="51555C"/>
        </w:rPr>
        <w:t>Increase in stock-based compensaton costs of $5.2 million primarily due to overall Company performance against 2023 goals and 2022 performance-based equity award adjustments, partally ofset by the targeted workforce reductons during the fourth quarter of 2022 and frst quarter of 2023</w:t>
      </w:r>
    </w:p>
    <w:p>
      <w:pPr>
        <w:spacing w:after="0" w:line="133" w:lineRule="exact"/>
        <w:rPr>
          <w:rFonts w:ascii="Calibri" w:cs="Calibri" w:eastAsia="Calibri" w:hAnsi="Calibri"/>
          <w:sz w:val="34"/>
          <w:szCs w:val="34"/>
          <w:color w:val="51555C"/>
          <w:vertAlign w:val="superscript"/>
        </w:rPr>
      </w:pPr>
    </w:p>
    <w:p>
      <w:pPr>
        <w:jc w:val="both"/>
        <w:ind w:left="700" w:right="20" w:hanging="364"/>
        <w:spacing w:after="0" w:line="196" w:lineRule="auto"/>
        <w:tabs>
          <w:tab w:leader="none" w:pos="700" w:val="left"/>
        </w:tabs>
        <w:numPr>
          <w:ilvl w:val="0"/>
          <w:numId w:val="37"/>
        </w:numPr>
        <w:rPr>
          <w:rFonts w:ascii="Calibri" w:cs="Calibri" w:eastAsia="Calibri" w:hAnsi="Calibri"/>
          <w:sz w:val="36"/>
          <w:szCs w:val="36"/>
          <w:color w:val="51555C"/>
          <w:vertAlign w:val="superscript"/>
        </w:rPr>
      </w:pPr>
      <w:r>
        <w:rPr>
          <w:rFonts w:ascii="Calibri" w:cs="Calibri" w:eastAsia="Calibri" w:hAnsi="Calibri"/>
          <w:sz w:val="18"/>
          <w:szCs w:val="18"/>
          <w:color w:val="51555C"/>
        </w:rPr>
        <w:t>Increase in acquisiton and dispositon-related costs of $1.3 million primarily related to the noncash impairment charges against certain operatng lease right-of-use assets and property and equipment assets resultng from the sublease of our Washington, DC ofce locaton; partally ofset by the release of $1.4 million in accrued contngent consideraton related to our Kilter acquisiton during the second quarter of 2023 and a $2.0 million noncash impairment of certain insignifcant intangible assets that were held for sale during the second quarter of 2022 which did not reoccur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299085</wp:posOffset>
            </wp:positionV>
            <wp:extent cx="72898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45</w:t>
            </w:r>
          </w:p>
        </w:tc>
      </w:tr>
      <w:tr>
        <w:trPr>
          <w:trHeight w:val="337"/>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Interest Expense</w:t>
      </w:r>
    </w:p>
    <w:p>
      <w:pPr>
        <w:spacing w:after="0" w:line="200" w:lineRule="exact"/>
        <w:rPr>
          <w:sz w:val="20"/>
          <w:szCs w:val="20"/>
          <w:color w:val="auto"/>
        </w:rPr>
      </w:pPr>
    </w:p>
    <w:p>
      <w:pPr>
        <w:spacing w:after="0" w:line="282" w:lineRule="exact"/>
        <w:rPr>
          <w:sz w:val="20"/>
          <w:szCs w:val="20"/>
          <w:color w:val="auto"/>
        </w:rPr>
      </w:pPr>
    </w:p>
    <w:p>
      <w:pPr>
        <w:ind w:left="1300"/>
        <w:spacing w:after="0"/>
        <w:rPr>
          <w:sz w:val="20"/>
          <w:szCs w:val="20"/>
          <w:color w:val="auto"/>
        </w:rPr>
      </w:pPr>
      <w:r>
        <w:rPr>
          <w:rFonts w:ascii="Calibri" w:cs="Calibri" w:eastAsia="Calibri" w:hAnsi="Calibri"/>
          <w:sz w:val="18"/>
          <w:szCs w:val="18"/>
          <w:i w:val="1"/>
          <w:iCs w:val="1"/>
          <w:color w:val="51555C"/>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6231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04" w:lineRule="exact"/>
        <w:rPr>
          <w:sz w:val="20"/>
          <w:szCs w:val="20"/>
          <w:color w:val="auto"/>
        </w:rPr>
      </w:pPr>
    </w:p>
    <w:p>
      <w:pPr>
        <w:ind w:left="460"/>
        <w:spacing w:after="0"/>
        <w:rPr>
          <w:sz w:val="20"/>
          <w:szCs w:val="20"/>
          <w:color w:val="auto"/>
        </w:rPr>
      </w:pPr>
      <w:r>
        <w:rPr>
          <w:rFonts w:ascii="Calibri" w:cs="Calibri" w:eastAsia="Calibri" w:hAnsi="Calibri"/>
          <w:sz w:val="13"/>
          <w:szCs w:val="13"/>
          <w:i w:val="1"/>
          <w:iCs w:val="1"/>
          <w:color w:val="51555C"/>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186690</wp:posOffset>
            </wp:positionV>
            <wp:extent cx="1937385" cy="1423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Interest expense increased in dollars and as a percentage of total revenue during 2023 when compared to 2022, primarily due to an increase in our weighted average efectve interest rates. We currently expect interest expense for the full year 2024 to be approximately $34 million to $38 million although our interest expense in connecton with the variable rate porton of our outstanding debt could increase in a rising interest rate environment. See Note 10 to our consolidated fnancial statements in this report for more informaton regarding our derivatve instruments, which we use to manage our variable interest rate risk, and Item 7A. Quanttatve and Qualitatve Disclosures about Market Risk: Interest Rate Risk on page 64 for more informaton about our variable interest rate exposure and related risk.</w:t>
      </w:r>
    </w:p>
    <w:p>
      <w:pPr>
        <w:spacing w:after="0" w:line="27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 Income</w:t>
      </w:r>
    </w:p>
    <w:p>
      <w:pPr>
        <w:spacing w:after="0" w:line="200" w:lineRule="exact"/>
        <w:rPr>
          <w:sz w:val="20"/>
          <w:szCs w:val="20"/>
          <w:color w:val="auto"/>
        </w:rPr>
      </w:pPr>
    </w:p>
    <w:p>
      <w:pPr>
        <w:spacing w:after="0" w:line="282" w:lineRule="exact"/>
        <w:rPr>
          <w:sz w:val="20"/>
          <w:szCs w:val="20"/>
          <w:color w:val="auto"/>
        </w:rPr>
      </w:pPr>
    </w:p>
    <w:p>
      <w:pPr>
        <w:ind w:left="1400"/>
        <w:spacing w:after="0"/>
        <w:rPr>
          <w:sz w:val="20"/>
          <w:szCs w:val="20"/>
          <w:color w:val="auto"/>
        </w:rPr>
      </w:pPr>
      <w:r>
        <w:rPr>
          <w:rFonts w:ascii="Calibri" w:cs="Calibri" w:eastAsia="Calibri" w:hAnsi="Calibri"/>
          <w:sz w:val="18"/>
          <w:szCs w:val="18"/>
          <w:i w:val="1"/>
          <w:iCs w:val="1"/>
          <w:color w:val="51555C"/>
        </w:rPr>
        <w:t>Other income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31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04" w:lineRule="exact"/>
        <w:rPr>
          <w:sz w:val="20"/>
          <w:szCs w:val="20"/>
          <w:color w:val="auto"/>
        </w:rPr>
      </w:pPr>
    </w:p>
    <w:p>
      <w:pPr>
        <w:ind w:left="460"/>
        <w:spacing w:after="0"/>
        <w:rPr>
          <w:sz w:val="20"/>
          <w:szCs w:val="20"/>
          <w:color w:val="auto"/>
        </w:rPr>
      </w:pPr>
      <w:r>
        <w:rPr>
          <w:rFonts w:ascii="Calibri" w:cs="Calibri" w:eastAsia="Calibri" w:hAnsi="Calibri"/>
          <w:sz w:val="13"/>
          <w:szCs w:val="13"/>
          <w:i w:val="1"/>
          <w:iCs w:val="1"/>
          <w:color w:val="51555C"/>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186690</wp:posOffset>
            </wp:positionV>
            <wp:extent cx="1937385" cy="1423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Other income increased in dollars and as a percentage of total revenue during 2023 when compared to 2022, primarily due to an increase in interest income. Interest income increased primarily due to higher interest earned on restricted cash held and payable by us to customers for our payment processing solutons. See Note 8 to our consolidated fnancial statements in this report for more informaton regarding our other income.</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46</w:t>
      </w:r>
      <w:r>
        <w:rPr>
          <w:sz w:val="20"/>
          <w:szCs w:val="20"/>
          <w:color w:val="auto"/>
        </w:rPr>
        <w:tab/>
      </w:r>
      <w:r>
        <w:rPr>
          <w:sz w:val="1"/>
          <w:szCs w:val="1"/>
          <w:color w:val="auto"/>
        </w:rPr>
        <w:drawing>
          <wp:inline distT="0" distB="0" distL="0" distR="0">
            <wp:extent cx="728345" cy="18859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Deferred Revenue</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table below compares the components of deferred revenue from our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00" w:type="dxa"/>
            <w:vAlign w:val="bottom"/>
            <w:shd w:val="clear" w:color="auto" w:fill="004054"/>
          </w:tcPr>
          <w:p>
            <w:pPr>
              <w:spacing w:after="0"/>
              <w:rPr>
                <w:sz w:val="16"/>
                <w:szCs w:val="16"/>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64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170"/>
        </w:trPr>
        <w:tc>
          <w:tcPr>
            <w:tcW w:w="65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380" w:type="dxa"/>
            <w:vAlign w:val="bottom"/>
            <w:shd w:val="clear" w:color="auto" w:fill="004054"/>
          </w:tcPr>
          <w:p>
            <w:pPr>
              <w:spacing w:after="0"/>
              <w:rPr>
                <w:sz w:val="14"/>
                <w:szCs w:val="14"/>
                <w:color w:val="auto"/>
              </w:rPr>
            </w:pPr>
          </w:p>
        </w:tc>
        <w:tc>
          <w:tcPr>
            <w:tcW w:w="11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0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Change</w:t>
            </w:r>
          </w:p>
        </w:tc>
        <w:tc>
          <w:tcPr>
            <w:tcW w:w="20" w:type="dxa"/>
            <w:vAlign w:val="bottom"/>
            <w:shd w:val="clear" w:color="auto" w:fill="004054"/>
          </w:tcPr>
          <w:p>
            <w:pPr>
              <w:spacing w:after="0"/>
              <w:rPr>
                <w:sz w:val="14"/>
                <w:szCs w:val="14"/>
                <w:color w:val="auto"/>
              </w:rPr>
            </w:pPr>
          </w:p>
        </w:tc>
      </w:tr>
      <w:tr>
        <w:trPr>
          <w:trHeight w:val="74"/>
        </w:trPr>
        <w:tc>
          <w:tcPr>
            <w:tcW w:w="656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114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16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324"/>
        </w:trPr>
        <w:tc>
          <w:tcPr>
            <w:tcW w:w="656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Total deferred revenue</w:t>
            </w:r>
            <w:r>
              <w:rPr>
                <w:rFonts w:ascii="Calibri" w:cs="Calibri" w:eastAsia="Calibri" w:hAnsi="Calibri"/>
                <w:sz w:val="23"/>
                <w:szCs w:val="23"/>
                <w:color w:val="51555C"/>
                <w:vertAlign w:val="superscript"/>
              </w:rPr>
              <w:t>(1)</w:t>
            </w:r>
          </w:p>
        </w:tc>
        <w:tc>
          <w:tcPr>
            <w:tcW w:w="380" w:type="dxa"/>
            <w:vAlign w:val="bottom"/>
            <w:shd w:val="clear" w:color="auto" w:fill="EBFBFF"/>
          </w:tcPr>
          <w:p>
            <w:pPr>
              <w:spacing w:after="0"/>
              <w:rPr>
                <w:sz w:val="24"/>
                <w:szCs w:val="24"/>
                <w:color w:val="auto"/>
              </w:rPr>
            </w:pPr>
          </w:p>
        </w:tc>
        <w:tc>
          <w:tcPr>
            <w:tcW w:w="114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394.9</w:t>
            </w:r>
          </w:p>
        </w:tc>
        <w:tc>
          <w:tcPr>
            <w:tcW w:w="400" w:type="dxa"/>
            <w:vAlign w:val="bottom"/>
            <w:shd w:val="clear" w:color="auto" w:fill="EBFBFF"/>
          </w:tcPr>
          <w:p>
            <w:pPr>
              <w:spacing w:after="0"/>
              <w:rPr>
                <w:sz w:val="24"/>
                <w:szCs w:val="24"/>
                <w:color w:val="auto"/>
              </w:rPr>
            </w:pPr>
          </w:p>
        </w:tc>
        <w:tc>
          <w:tcPr>
            <w:tcW w:w="112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385.2</w:t>
            </w:r>
          </w:p>
        </w:tc>
        <w:tc>
          <w:tcPr>
            <w:tcW w:w="164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2.5 %</w:t>
            </w:r>
          </w:p>
        </w:tc>
        <w:tc>
          <w:tcPr>
            <w:tcW w:w="20" w:type="dxa"/>
            <w:vAlign w:val="bottom"/>
          </w:tcPr>
          <w:p>
            <w:pPr>
              <w:spacing w:after="0"/>
              <w:rPr>
                <w:sz w:val="24"/>
                <w:szCs w:val="24"/>
                <w:color w:val="auto"/>
              </w:rPr>
            </w:pPr>
          </w:p>
        </w:tc>
      </w:tr>
      <w:tr>
        <w:trPr>
          <w:trHeight w:val="220"/>
        </w:trPr>
        <w:tc>
          <w:tcPr>
            <w:tcW w:w="6560" w:type="dxa"/>
            <w:vAlign w:val="bottom"/>
          </w:tcPr>
          <w:p>
            <w:pPr>
              <w:ind w:left="140"/>
              <w:spacing w:after="0"/>
              <w:rPr>
                <w:sz w:val="20"/>
                <w:szCs w:val="20"/>
                <w:color w:val="auto"/>
              </w:rPr>
            </w:pPr>
            <w:r>
              <w:rPr>
                <w:rFonts w:ascii="Calibri" w:cs="Calibri" w:eastAsia="Calibri" w:hAnsi="Calibri"/>
                <w:sz w:val="18"/>
                <w:szCs w:val="18"/>
                <w:color w:val="51555C"/>
              </w:rPr>
              <w:t>Less: Long-term porton</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51555C"/>
              </w:rPr>
              <w:t>2.4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2.8</w:t>
            </w:r>
          </w:p>
        </w:tc>
        <w:tc>
          <w:tcPr>
            <w:tcW w:w="1640" w:type="dxa"/>
            <w:vAlign w:val="bottom"/>
          </w:tcPr>
          <w:p>
            <w:pPr>
              <w:jc w:val="right"/>
              <w:spacing w:after="0"/>
              <w:rPr>
                <w:sz w:val="20"/>
                <w:szCs w:val="20"/>
                <w:color w:val="auto"/>
              </w:rPr>
            </w:pPr>
            <w:r>
              <w:rPr>
                <w:rFonts w:ascii="Calibri" w:cs="Calibri" w:eastAsia="Calibri" w:hAnsi="Calibri"/>
                <w:sz w:val="18"/>
                <w:szCs w:val="18"/>
                <w:color w:val="51555C"/>
              </w:rPr>
              <w:t>(14.9)%</w:t>
            </w:r>
          </w:p>
        </w:tc>
        <w:tc>
          <w:tcPr>
            <w:tcW w:w="20" w:type="dxa"/>
            <w:vAlign w:val="bottom"/>
          </w:tcPr>
          <w:p>
            <w:pPr>
              <w:spacing w:after="0"/>
              <w:rPr>
                <w:sz w:val="19"/>
                <w:szCs w:val="19"/>
                <w:color w:val="auto"/>
              </w:rPr>
            </w:pPr>
          </w:p>
        </w:tc>
      </w:tr>
      <w:tr>
        <w:trPr>
          <w:trHeight w:val="50"/>
        </w:trPr>
        <w:tc>
          <w:tcPr>
            <w:tcW w:w="6560" w:type="dxa"/>
            <w:vAlign w:val="bottom"/>
            <w:tcBorders>
              <w:bottom w:val="single" w:sz="8" w:color="EBFBFF"/>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1140" w:type="dxa"/>
            <w:vAlign w:val="bottom"/>
            <w:tcBorders>
              <w:bottom w:val="single" w:sz="8" w:color="51555C"/>
            </w:tcBorders>
          </w:tcPr>
          <w:p>
            <w:pPr>
              <w:spacing w:after="0"/>
              <w:rPr>
                <w:sz w:val="4"/>
                <w:szCs w:val="4"/>
                <w:color w:val="auto"/>
              </w:rPr>
            </w:pPr>
          </w:p>
        </w:tc>
        <w:tc>
          <w:tcPr>
            <w:tcW w:w="400" w:type="dxa"/>
            <w:vAlign w:val="bottom"/>
            <w:tcBorders>
              <w:bottom w:val="single" w:sz="8" w:color="51555C"/>
            </w:tcBorders>
          </w:tcPr>
          <w:p>
            <w:pPr>
              <w:spacing w:after="0"/>
              <w:rPr>
                <w:sz w:val="4"/>
                <w:szCs w:val="4"/>
                <w:color w:val="auto"/>
              </w:rPr>
            </w:pPr>
          </w:p>
        </w:tc>
        <w:tc>
          <w:tcPr>
            <w:tcW w:w="1120" w:type="dxa"/>
            <w:vAlign w:val="bottom"/>
            <w:tcBorders>
              <w:bottom w:val="single" w:sz="8" w:color="51555C"/>
            </w:tcBorders>
          </w:tcPr>
          <w:p>
            <w:pPr>
              <w:spacing w:after="0"/>
              <w:rPr>
                <w:sz w:val="4"/>
                <w:szCs w:val="4"/>
                <w:color w:val="auto"/>
              </w:rPr>
            </w:pPr>
          </w:p>
        </w:tc>
        <w:tc>
          <w:tcPr>
            <w:tcW w:w="1640" w:type="dxa"/>
            <w:vAlign w:val="bottom"/>
            <w:tcBorders>
              <w:bottom w:val="single" w:sz="8" w:color="EBFBFF"/>
            </w:tcBorders>
          </w:tcPr>
          <w:p>
            <w:pPr>
              <w:spacing w:after="0"/>
              <w:rPr>
                <w:sz w:val="4"/>
                <w:szCs w:val="4"/>
                <w:color w:val="auto"/>
              </w:rPr>
            </w:pPr>
          </w:p>
        </w:tc>
        <w:tc>
          <w:tcPr>
            <w:tcW w:w="20" w:type="dxa"/>
            <w:vAlign w:val="bottom"/>
          </w:tcPr>
          <w:p>
            <w:pPr>
              <w:spacing w:after="0"/>
              <w:rPr>
                <w:sz w:val="4"/>
                <w:szCs w:val="4"/>
                <w:color w:val="auto"/>
              </w:rPr>
            </w:pPr>
          </w:p>
        </w:tc>
      </w:tr>
      <w:tr>
        <w:trPr>
          <w:trHeight w:val="303"/>
        </w:trPr>
        <w:tc>
          <w:tcPr>
            <w:tcW w:w="6560" w:type="dxa"/>
            <w:vAlign w:val="bottom"/>
            <w:tcBorders>
              <w:bottom w:val="single" w:sz="8" w:color="0CD973"/>
            </w:tcBorders>
            <w:shd w:val="clear" w:color="auto" w:fill="EBFBFF"/>
          </w:tcPr>
          <w:p>
            <w:pPr>
              <w:ind w:left="140"/>
              <w:spacing w:after="0"/>
              <w:rPr>
                <w:sz w:val="20"/>
                <w:szCs w:val="20"/>
                <w:color w:val="auto"/>
              </w:rPr>
            </w:pPr>
            <w:r>
              <w:rPr>
                <w:rFonts w:ascii="Calibri" w:cs="Calibri" w:eastAsia="Calibri" w:hAnsi="Calibri"/>
                <w:sz w:val="18"/>
                <w:szCs w:val="18"/>
                <w:color w:val="51555C"/>
              </w:rPr>
              <w:t>Current porton</w:t>
            </w:r>
            <w:r>
              <w:rPr>
                <w:rFonts w:ascii="Calibri" w:cs="Calibri" w:eastAsia="Calibri" w:hAnsi="Calibri"/>
                <w:sz w:val="23"/>
                <w:szCs w:val="23"/>
                <w:color w:val="51555C"/>
                <w:vertAlign w:val="superscript"/>
              </w:rPr>
              <w:t>(1)</w:t>
            </w:r>
          </w:p>
        </w:tc>
        <w:tc>
          <w:tcPr>
            <w:tcW w:w="380" w:type="dxa"/>
            <w:vAlign w:val="bottom"/>
            <w:tcBorders>
              <w:bottom w:val="single" w:sz="8" w:color="0CD973"/>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w w:val="87"/>
              </w:rPr>
              <w:t>$</w:t>
            </w:r>
          </w:p>
        </w:tc>
        <w:tc>
          <w:tcPr>
            <w:tcW w:w="114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392.5</w:t>
            </w:r>
          </w:p>
        </w:tc>
        <w:tc>
          <w:tcPr>
            <w:tcW w:w="400" w:type="dxa"/>
            <w:vAlign w:val="bottom"/>
            <w:tcBorders>
              <w:bottom w:val="single" w:sz="8" w:color="0CD973"/>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rPr>
              <w:t>$</w:t>
            </w:r>
          </w:p>
        </w:tc>
        <w:tc>
          <w:tcPr>
            <w:tcW w:w="112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382.4</w:t>
            </w:r>
          </w:p>
        </w:tc>
        <w:tc>
          <w:tcPr>
            <w:tcW w:w="164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2.6 %</w:t>
            </w:r>
          </w:p>
        </w:tc>
        <w:tc>
          <w:tcPr>
            <w:tcW w:w="20" w:type="dxa"/>
            <w:vAlign w:val="bottom"/>
          </w:tcPr>
          <w:p>
            <w:pPr>
              <w:spacing w:after="0"/>
              <w:rPr>
                <w:sz w:val="24"/>
                <w:szCs w:val="24"/>
                <w:color w:val="auto"/>
              </w:rPr>
            </w:pPr>
          </w:p>
        </w:tc>
      </w:tr>
    </w:tbl>
    <w:p>
      <w:pPr>
        <w:spacing w:after="0" w:line="66" w:lineRule="exact"/>
        <w:rPr>
          <w:sz w:val="20"/>
          <w:szCs w:val="20"/>
          <w:color w:val="auto"/>
        </w:rPr>
      </w:pPr>
    </w:p>
    <w:p>
      <w:pPr>
        <w:ind w:left="340" w:hanging="332"/>
        <w:spacing w:after="0"/>
        <w:tabs>
          <w:tab w:leader="none" w:pos="340" w:val="left"/>
        </w:tabs>
        <w:numPr>
          <w:ilvl w:val="0"/>
          <w:numId w:val="38"/>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total deferred revenue or current porton of deferred revenue due to rounding.</w:t>
      </w:r>
    </w:p>
    <w:p>
      <w:pPr>
        <w:spacing w:after="0" w:line="16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To the extent that our customers are billed for our solutons and services in advance of delivery, we record such amounts in deferred revenue. Our recurring revenue contracts are generally for a term of three years at contract incepton with three-year renewals thereafer, billed annually in advance and non-cancelable. We generally invoice our customers with recurring revenue contracts in annual cycles 30 days prior to the end each one-year period.</w:t>
      </w:r>
    </w:p>
    <w:p>
      <w:pPr>
        <w:spacing w:after="0" w:line="165" w:lineRule="exact"/>
        <w:rPr>
          <w:sz w:val="20"/>
          <w:szCs w:val="20"/>
          <w:color w:val="auto"/>
        </w:rPr>
      </w:pPr>
    </w:p>
    <w:p>
      <w:pPr>
        <w:jc w:val="both"/>
        <w:ind w:right="20"/>
        <w:spacing w:after="0" w:line="254" w:lineRule="auto"/>
        <w:rPr>
          <w:sz w:val="20"/>
          <w:szCs w:val="20"/>
          <w:color w:val="auto"/>
        </w:rPr>
      </w:pPr>
      <w:r>
        <w:rPr>
          <w:rFonts w:ascii="Calibri" w:cs="Calibri" w:eastAsia="Calibri" w:hAnsi="Calibri"/>
          <w:sz w:val="17"/>
          <w:szCs w:val="17"/>
          <w:color w:val="51555C"/>
        </w:rPr>
        <w:t>The increase in deferred revenue during the year ended December 31, 2023 was primarily due to new subscripton sales of our cloud solutons and progress in initatves to bring our pricing in line with the market. Historically, due to the tming of customer budget cycles, we have an increase in customer contract renewals at or near the beginning of our third quarter. Generally, our lowest balance of deferred revenue during the year is at the end of our frst quarter.</w:t>
      </w:r>
    </w:p>
    <w:p>
      <w:pPr>
        <w:spacing w:after="0" w:line="25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Income Taxes</w:t>
      </w:r>
    </w:p>
    <w:p>
      <w:pPr>
        <w:spacing w:after="0" w:line="200" w:lineRule="exact"/>
        <w:rPr>
          <w:sz w:val="20"/>
          <w:szCs w:val="20"/>
          <w:color w:val="auto"/>
        </w:rPr>
      </w:pPr>
    </w:p>
    <w:p>
      <w:pPr>
        <w:spacing w:after="0" w:line="282" w:lineRule="exact"/>
        <w:rPr>
          <w:sz w:val="20"/>
          <w:szCs w:val="20"/>
          <w:color w:val="auto"/>
        </w:rPr>
      </w:pPr>
    </w:p>
    <w:p>
      <w:pPr>
        <w:ind w:left="820"/>
        <w:spacing w:after="0"/>
        <w:rPr>
          <w:sz w:val="20"/>
          <w:szCs w:val="20"/>
          <w:color w:val="auto"/>
        </w:rPr>
      </w:pPr>
      <w:r>
        <w:rPr>
          <w:rFonts w:ascii="Calibri" w:cs="Calibri" w:eastAsia="Calibri" w:hAnsi="Calibri"/>
          <w:sz w:val="18"/>
          <w:szCs w:val="18"/>
          <w:i w:val="1"/>
          <w:iCs w:val="1"/>
          <w:color w:val="51555C"/>
        </w:rPr>
        <w:t>Income tax provision (beneft)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6231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04" w:lineRule="exact"/>
        <w:rPr>
          <w:sz w:val="20"/>
          <w:szCs w:val="20"/>
          <w:color w:val="auto"/>
        </w:rPr>
      </w:pPr>
    </w:p>
    <w:p>
      <w:pPr>
        <w:ind w:left="880"/>
        <w:spacing w:after="0"/>
        <w:rPr>
          <w:sz w:val="20"/>
          <w:szCs w:val="20"/>
          <w:color w:val="auto"/>
        </w:rPr>
      </w:pPr>
      <w:r>
        <w:rPr>
          <w:rFonts w:ascii="Calibri" w:cs="Calibri" w:eastAsia="Calibri" w:hAnsi="Calibri"/>
          <w:sz w:val="13"/>
          <w:szCs w:val="13"/>
          <w:i w:val="1"/>
          <w:iCs w:val="1"/>
          <w:color w:val="51555C"/>
        </w:rPr>
        <w:t>Percentages indicate efectve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186690</wp:posOffset>
            </wp:positionV>
            <wp:extent cx="1937385" cy="1423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efectve income tax rate may fuctuate quarterly and annually as a result of factors, including changes in tax law in jurisdictons where we conduct business, transactons entered into, changes in the geographic distributon of our earnings or losses, and our assessment of certain tax contngencies and valuaton allowances.</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deferred tax assets for federal, state, and internatonal net operatng loss carryforwards and tax credits. The federal and state net operatng loss carryforwards are subject to various Internal Revenue Code limitatons and applicable state tax laws. A porton of the foreign and state net operatng loss carryforwards and a porton of state tax credits have a valuaton reserve due to the uncertainty of realizing such carryforwards and credits in the future.</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fle income tax returns in the U.S. for federal and various state jurisdictons as well as in foreign jurisdictons including Canada, the U.K., Australia, Ireland and Costa Rica. We are generally subject to U.S. federal income tax examinaton for calendar tax years ending 2020 through 2023, as well as state and foreign income tax examinatons for various years depending on statute of limitatons of those jurisdictons.</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taken federal and state tax positons for which it is reasonably possible that the total amount of unrecognized tax benefts may decrease within the next twelve months. The possible decrease could result from the expiraton of statutes of limitatons. The reasonably possible decrease at December 31, 2023 was insignifcant.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221615</wp:posOffset>
            </wp:positionV>
            <wp:extent cx="7289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47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color w:val="51555C"/>
        </w:rPr>
        <w:t>We recognize accrued interest and penaltes, if any, related to unrecognized tax benefts as a component of income tax expense.</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increase in our efectve income tax rate for year ended December 31, 2023, when compared to the same period in 2022, was primarily atributable to higher 2023 non-deductble accruals for loss contngencies related to the Security Incident and other non-deductble expenses and tax rate changes, partally ofset by increased tax credits. Furthermore, our 2023 efectve tax rate was negatvely impacted by higher tax rates in foreign jurisdictons in which we operate which were predominantly due to UK tax rate increases.</w:t>
      </w:r>
    </w:p>
    <w:p>
      <w:pPr>
        <w:spacing w:after="0" w:line="31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48</w:t>
      </w:r>
      <w:r>
        <w:rPr>
          <w:sz w:val="20"/>
          <w:szCs w:val="20"/>
          <w:color w:val="auto"/>
        </w:rPr>
        <w:tab/>
      </w:r>
      <w:r>
        <w:rPr>
          <w:sz w:val="1"/>
          <w:szCs w:val="1"/>
          <w:color w:val="auto"/>
        </w:rPr>
        <w:drawing>
          <wp:inline distT="0" distB="0" distL="0" distR="0">
            <wp:extent cx="728345" cy="18859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Non-GAAP Financial Measures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operatng results analyzed below are presented on a non-GAAP basis. We use non-GAAP fnancial measures internally in analyzing our operatonal performance. Accordingly, we believe these non-GAAP measures are useful to investors, as a supplement to GAAP measures, in evaluatng our ongoing operatonal performance. While we believe these non-GAAP measures provide useful supplemental informaton, non-GAAP fnancial measures should not be considered in isolaton from, or as a substtute for, fnancial informaton prepared in accordance with GAAP. In additon, these non-GAAP fnancial measures may not be completely comparable to similarly ttled measures of other companies due to potental diferences in the exact method of calculaton between companies.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non-GAAP fnancial measures discussed below exclude the impact of certain transactons because we believe they are not directly related to our operatng performance in any partcular period, but are for our long-term beneft over multple periods. We believe that these non-GAAP fnancial measures refect our ongoing business in a manner that allows for meaningful period-to-period comparisons and analysis of trends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40575" cy="4629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361" w:lineRule="exact"/>
        <w:rPr>
          <w:sz w:val="20"/>
          <w:szCs w:val="20"/>
          <w:color w:val="auto"/>
        </w:rPr>
      </w:pPr>
    </w:p>
    <w:p>
      <w:pPr>
        <w:ind w:left="40"/>
        <w:spacing w:after="0"/>
        <w:rPr>
          <w:sz w:val="20"/>
          <w:szCs w:val="20"/>
          <w:color w:val="auto"/>
        </w:rPr>
      </w:pPr>
      <w:r>
        <w:rPr>
          <w:rFonts w:ascii="Calibri" w:cs="Calibri" w:eastAsia="Calibri" w:hAnsi="Calibri"/>
          <w:sz w:val="14"/>
          <w:szCs w:val="14"/>
          <w:b w:val="1"/>
          <w:bCs w:val="1"/>
          <w:color w:val="FFFFFF"/>
        </w:rPr>
        <w:t>(dollars in millions, except per share amounts)</w:t>
      </w:r>
    </w:p>
    <w:p>
      <w:pPr>
        <w:spacing w:after="0" w:line="72"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GAAP Revenue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right"/>
        <w:ind w:right="20"/>
        <w:spacing w:after="0"/>
        <w:rPr>
          <w:sz w:val="20"/>
          <w:szCs w:val="20"/>
          <w:color w:val="auto"/>
        </w:rPr>
      </w:pPr>
      <w:r>
        <w:rPr>
          <w:rFonts w:ascii="Calibri" w:cs="Calibri" w:eastAsia="Calibri" w:hAnsi="Calibri"/>
          <w:sz w:val="14"/>
          <w:szCs w:val="14"/>
          <w:b w:val="1"/>
          <w:bCs w:val="1"/>
          <w:color w:val="FFFFFF"/>
        </w:rPr>
        <w:t>Years ended December 31,</w:t>
      </w:r>
    </w:p>
    <w:p>
      <w:pPr>
        <w:spacing w:after="0" w:line="72" w:lineRule="exact"/>
        <w:rPr>
          <w:sz w:val="20"/>
          <w:szCs w:val="20"/>
          <w:color w:val="auto"/>
        </w:rPr>
      </w:pPr>
    </w:p>
    <w:p>
      <w:pPr>
        <w:jc w:val="both"/>
        <w:ind w:left="1020"/>
        <w:spacing w:after="0"/>
        <w:tabs>
          <w:tab w:leader="none" w:pos="2380" w:val="left"/>
        </w:tabs>
        <w:rPr>
          <w:sz w:val="20"/>
          <w:szCs w:val="20"/>
          <w:color w:val="auto"/>
        </w:rPr>
      </w:pPr>
      <w:r>
        <w:rPr>
          <w:rFonts w:ascii="Calibri" w:cs="Calibri" w:eastAsia="Calibri" w:hAnsi="Calibri"/>
          <w:sz w:val="14"/>
          <w:szCs w:val="14"/>
          <w:b w:val="1"/>
          <w:bCs w:val="1"/>
          <w:color w:val="FFFFFF"/>
        </w:rPr>
        <w:t>2023</w:t>
      </w:r>
      <w:r>
        <w:rPr>
          <w:sz w:val="20"/>
          <w:szCs w:val="20"/>
          <w:color w:val="auto"/>
        </w:rPr>
        <w:tab/>
      </w:r>
      <w:r>
        <w:rPr>
          <w:rFonts w:ascii="Calibri" w:cs="Calibri" w:eastAsia="Calibri" w:hAnsi="Calibri"/>
          <w:sz w:val="14"/>
          <w:szCs w:val="14"/>
          <w:b w:val="1"/>
          <w:bCs w:val="1"/>
          <w:color w:val="FFFFFF"/>
        </w:rPr>
        <w:t>2022</w:t>
      </w:r>
    </w:p>
    <w:p>
      <w:pPr>
        <w:spacing w:after="0" w:line="72" w:lineRule="exact"/>
        <w:rPr>
          <w:sz w:val="20"/>
          <w:szCs w:val="20"/>
          <w:color w:val="auto"/>
        </w:rPr>
      </w:pPr>
    </w:p>
    <w:p>
      <w:pPr>
        <w:spacing w:after="0"/>
        <w:tabs>
          <w:tab w:leader="none" w:pos="720" w:val="left"/>
          <w:tab w:leader="none" w:pos="1340" w:val="left"/>
          <w:tab w:leader="none" w:pos="2080" w:val="left"/>
        </w:tabs>
        <w:rPr>
          <w:sz w:val="20"/>
          <w:szCs w:val="20"/>
          <w:color w:val="auto"/>
        </w:rPr>
      </w:pPr>
      <w:r>
        <w:rPr>
          <w:rFonts w:ascii="Calibri" w:cs="Calibri" w:eastAsia="Calibri" w:hAnsi="Calibri"/>
          <w:sz w:val="14"/>
          <w:szCs w:val="14"/>
          <w:color w:val="51555C"/>
        </w:rPr>
        <w:t>$</w:t>
      </w:r>
      <w:r>
        <w:rPr>
          <w:sz w:val="20"/>
          <w:szCs w:val="20"/>
          <w:color w:val="auto"/>
        </w:rPr>
        <w:tab/>
      </w:r>
      <w:r>
        <w:rPr>
          <w:rFonts w:ascii="Calibri" w:cs="Calibri" w:eastAsia="Calibri" w:hAnsi="Calibri"/>
          <w:sz w:val="14"/>
          <w:szCs w:val="14"/>
          <w:color w:val="51555C"/>
        </w:rPr>
        <w:t>1,105.4</w:t>
        <w:tab/>
        <w:t>$</w:t>
      </w:r>
      <w:r>
        <w:rPr>
          <w:sz w:val="20"/>
          <w:szCs w:val="20"/>
          <w:color w:val="auto"/>
        </w:rPr>
        <w:tab/>
      </w:r>
      <w:r>
        <w:rPr>
          <w:rFonts w:ascii="Calibri" w:cs="Calibri" w:eastAsia="Calibri" w:hAnsi="Calibri"/>
          <w:sz w:val="14"/>
          <w:szCs w:val="14"/>
          <w:color w:val="51555C"/>
        </w:rPr>
        <w:t>1,058.1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38100</wp:posOffset>
            </wp:positionV>
            <wp:extent cx="17316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0" w:space="720"/>
            <w:col w:w="2700"/>
          </w:cols>
          <w:pgMar w:left="320" w:top="111" w:right="3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gross proft</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603.2</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552.7</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b w:val="1"/>
                <w:bCs w:val="1"/>
                <w:color w:val="51555C"/>
              </w:rPr>
              <w:t>GAAP gross margin</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54.6 %</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52.2 %</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0"/>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Stock-based compensaton expense</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16.7</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14.4</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0"/>
        </w:trPr>
        <w:tc>
          <w:tcPr>
            <w:tcW w:w="85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Amortzaton of intangibles from business combinatons</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52.5</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48.5</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Employee severance</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0.8</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2.1</w:t>
            </w:r>
          </w:p>
        </w:tc>
      </w:tr>
      <w:tr>
        <w:trPr>
          <w:trHeight w:val="60"/>
        </w:trPr>
        <w:tc>
          <w:tcPr>
            <w:tcW w:w="8520" w:type="dxa"/>
            <w:vAlign w:val="bottom"/>
            <w:tcBorders>
              <w:bottom w:val="single" w:sz="8" w:color="EBFBFF"/>
            </w:tcBorders>
          </w:tcPr>
          <w:p>
            <w:pPr>
              <w:spacing w:after="0"/>
              <w:rPr>
                <w:sz w:val="5"/>
                <w:szCs w:val="5"/>
                <w:color w:val="auto"/>
              </w:rPr>
            </w:pPr>
          </w:p>
        </w:tc>
        <w:tc>
          <w:tcPr>
            <w:tcW w:w="320" w:type="dxa"/>
            <w:vAlign w:val="bottom"/>
            <w:tcBorders>
              <w:bottom w:val="single" w:sz="8" w:color="51555C"/>
            </w:tcBorders>
          </w:tcPr>
          <w:p>
            <w:pPr>
              <w:spacing w:after="0"/>
              <w:rPr>
                <w:sz w:val="5"/>
                <w:szCs w:val="5"/>
                <w:color w:val="auto"/>
              </w:rPr>
            </w:pPr>
          </w:p>
        </w:tc>
        <w:tc>
          <w:tcPr>
            <w:tcW w:w="1040" w:type="dxa"/>
            <w:vAlign w:val="bottom"/>
            <w:tcBorders>
              <w:bottom w:val="single" w:sz="8" w:color="51555C"/>
            </w:tcBorders>
          </w:tcPr>
          <w:p>
            <w:pPr>
              <w:spacing w:after="0"/>
              <w:rPr>
                <w:sz w:val="5"/>
                <w:szCs w:val="5"/>
                <w:color w:val="auto"/>
              </w:rPr>
            </w:pPr>
          </w:p>
        </w:tc>
        <w:tc>
          <w:tcPr>
            <w:tcW w:w="320" w:type="dxa"/>
            <w:vAlign w:val="bottom"/>
            <w:tcBorders>
              <w:bottom w:val="single" w:sz="8" w:color="51555C"/>
            </w:tcBorders>
          </w:tcPr>
          <w:p>
            <w:pPr>
              <w:spacing w:after="0"/>
              <w:rPr>
                <w:sz w:val="5"/>
                <w:szCs w:val="5"/>
                <w:color w:val="auto"/>
              </w:rPr>
            </w:pPr>
          </w:p>
        </w:tc>
        <w:tc>
          <w:tcPr>
            <w:tcW w:w="1040" w:type="dxa"/>
            <w:vAlign w:val="bottom"/>
            <w:tcBorders>
              <w:bottom w:val="single" w:sz="8" w:color="51555C"/>
            </w:tcBorders>
          </w:tcPr>
          <w:p>
            <w:pPr>
              <w:spacing w:after="0"/>
              <w:rPr>
                <w:sz w:val="5"/>
                <w:szCs w:val="5"/>
                <w:color w:val="auto"/>
              </w:rPr>
            </w:pPr>
          </w:p>
        </w:tc>
      </w:tr>
      <w:tr>
        <w:trPr>
          <w:trHeight w:val="223"/>
        </w:trPr>
        <w:tc>
          <w:tcPr>
            <w:tcW w:w="8520" w:type="dxa"/>
            <w:vAlign w:val="bottom"/>
            <w:tcBorders>
              <w:bottom w:val="single" w:sz="8" w:color="EBFBFF"/>
            </w:tcBorders>
            <w:shd w:val="clear" w:color="auto" w:fill="EBFBFF"/>
          </w:tcPr>
          <w:p>
            <w:pPr>
              <w:ind w:left="240"/>
              <w:spacing w:after="0" w:line="202" w:lineRule="exact"/>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(1)</w:t>
            </w:r>
          </w:p>
        </w:tc>
        <w:tc>
          <w:tcPr>
            <w:tcW w:w="320" w:type="dxa"/>
            <w:vAlign w:val="bottom"/>
            <w:tcBorders>
              <w:bottom w:val="single" w:sz="8" w:color="EBFBFF"/>
            </w:tcBorders>
            <w:shd w:val="clear" w:color="auto" w:fill="EBFBFF"/>
          </w:tcPr>
          <w:p>
            <w:pPr>
              <w:spacing w:after="0"/>
              <w:rPr>
                <w:sz w:val="19"/>
                <w:szCs w:val="19"/>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69.9</w:t>
            </w:r>
          </w:p>
        </w:tc>
        <w:tc>
          <w:tcPr>
            <w:tcW w:w="320" w:type="dxa"/>
            <w:vAlign w:val="bottom"/>
            <w:tcBorders>
              <w:bottom w:val="single" w:sz="8" w:color="EBFBFF"/>
            </w:tcBorders>
            <w:shd w:val="clear" w:color="auto" w:fill="EBFBFF"/>
          </w:tcPr>
          <w:p>
            <w:pPr>
              <w:spacing w:after="0"/>
              <w:rPr>
                <w:sz w:val="19"/>
                <w:szCs w:val="19"/>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65.1</w:t>
            </w:r>
          </w:p>
        </w:tc>
      </w:tr>
      <w:tr>
        <w:trPr>
          <w:trHeight w:val="202"/>
        </w:trPr>
        <w:tc>
          <w:tcPr>
            <w:tcW w:w="852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gross proft</w:t>
            </w:r>
            <w:r>
              <w:rPr>
                <w:rFonts w:ascii="Calibri" w:cs="Calibri" w:eastAsia="Calibri" w:hAnsi="Calibri"/>
                <w:sz w:val="18"/>
                <w:szCs w:val="18"/>
                <w:b w:val="1"/>
                <w:bCs w:val="1"/>
                <w:color w:val="51555C"/>
                <w:vertAlign w:val="superscript"/>
              </w:rPr>
              <w:t>(1)</w:t>
            </w:r>
          </w:p>
        </w:tc>
        <w:tc>
          <w:tcPr>
            <w:tcW w:w="320" w:type="dxa"/>
            <w:vAlign w:val="bottom"/>
            <w:tcBorders>
              <w:top w:val="single" w:sz="8" w:color="51555C"/>
            </w:tcBorders>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673.2</w:t>
            </w:r>
          </w:p>
        </w:tc>
        <w:tc>
          <w:tcPr>
            <w:tcW w:w="320" w:type="dxa"/>
            <w:vAlign w:val="bottom"/>
            <w:tcBorders>
              <w:top w:val="single" w:sz="8" w:color="51555C"/>
            </w:tcBorders>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617.8</w:t>
            </w:r>
          </w:p>
        </w:tc>
      </w:tr>
      <w:tr>
        <w:trPr>
          <w:trHeight w:val="21"/>
        </w:trPr>
        <w:tc>
          <w:tcPr>
            <w:tcW w:w="8520" w:type="dxa"/>
            <w:vAlign w:val="bottom"/>
            <w:tcBorders>
              <w:bottom w:val="single" w:sz="8" w:color="EBFBFF"/>
            </w:tcBorders>
          </w:tcPr>
          <w:p>
            <w:pPr>
              <w:spacing w:after="0" w:line="20" w:lineRule="exact"/>
              <w:rPr>
                <w:sz w:val="1"/>
                <w:szCs w:val="1"/>
                <w:color w:val="auto"/>
              </w:rPr>
            </w:pPr>
          </w:p>
        </w:tc>
        <w:tc>
          <w:tcPr>
            <w:tcW w:w="32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c>
          <w:tcPr>
            <w:tcW w:w="32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r>
      <w:tr>
        <w:trPr>
          <w:trHeight w:val="203"/>
        </w:trPr>
        <w:tc>
          <w:tcPr>
            <w:tcW w:w="852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gross margin</w:t>
            </w:r>
          </w:p>
        </w:tc>
        <w:tc>
          <w:tcPr>
            <w:tcW w:w="32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60.9 %</w:t>
            </w:r>
          </w:p>
        </w:tc>
        <w:tc>
          <w:tcPr>
            <w:tcW w:w="32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58.4 %</w:t>
            </w:r>
          </w:p>
        </w:tc>
      </w:tr>
      <w:tr>
        <w:trPr>
          <w:trHeight w:val="149"/>
        </w:trPr>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9"/>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income (loss) from operatons</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44.7</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(28.5)</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b w:val="1"/>
                <w:bCs w:val="1"/>
                <w:color w:val="51555C"/>
              </w:rPr>
              <w:t>GAAP operatng margin</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4.0 %</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4"/>
                <w:szCs w:val="14"/>
                <w:color w:val="51555C"/>
              </w:rPr>
              <w:t>(2.7)%</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0"/>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Stock-based compensaton expense</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127.8</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110.3</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09"/>
        </w:trPr>
        <w:tc>
          <w:tcPr>
            <w:tcW w:w="85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Amortzaton of intangibles from business combinatons</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55.6</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51.4</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Employee severance</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5.1</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5.2</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30"/>
        </w:trPr>
        <w:tc>
          <w:tcPr>
            <w:tcW w:w="8520" w:type="dxa"/>
            <w:vAlign w:val="bottom"/>
            <w:shd w:val="clear" w:color="auto" w:fill="EBFBFF"/>
          </w:tcPr>
          <w:p>
            <w:pPr>
              <w:ind w:left="140"/>
              <w:spacing w:after="0" w:line="216" w:lineRule="exact"/>
              <w:rPr>
                <w:sz w:val="20"/>
                <w:szCs w:val="20"/>
                <w:color w:val="auto"/>
              </w:rPr>
            </w:pPr>
            <w:r>
              <w:rPr>
                <w:rFonts w:ascii="Calibri" w:cs="Calibri" w:eastAsia="Calibri" w:hAnsi="Calibri"/>
                <w:sz w:val="14"/>
                <w:szCs w:val="14"/>
                <w:color w:val="51555C"/>
              </w:rPr>
              <w:t>Add: Acquisiton and dispositon-related costs</w:t>
            </w:r>
            <w:r>
              <w:rPr>
                <w:rFonts w:ascii="Calibri" w:cs="Calibri" w:eastAsia="Calibri" w:hAnsi="Calibri"/>
                <w:sz w:val="18"/>
                <w:szCs w:val="18"/>
                <w:color w:val="51555C"/>
                <w:vertAlign w:val="superscript"/>
              </w:rPr>
              <w:t>(2)(3)</w:t>
            </w:r>
          </w:p>
        </w:tc>
        <w:tc>
          <w:tcPr>
            <w:tcW w:w="320" w:type="dxa"/>
            <w:vAlign w:val="bottom"/>
            <w:shd w:val="clear" w:color="auto" w:fill="EBFBFF"/>
          </w:tcPr>
          <w:p>
            <w:pPr>
              <w:spacing w:after="0"/>
              <w:rPr>
                <w:sz w:val="19"/>
                <w:szCs w:val="19"/>
                <w:color w:val="auto"/>
              </w:rPr>
            </w:pPr>
          </w:p>
        </w:tc>
        <w:tc>
          <w:tcPr>
            <w:tcW w:w="1040" w:type="dxa"/>
            <w:vAlign w:val="bottom"/>
            <w:shd w:val="clear" w:color="auto" w:fill="EBFBFF"/>
          </w:tcPr>
          <w:p>
            <w:pPr>
              <w:jc w:val="right"/>
              <w:ind w:right="88"/>
              <w:spacing w:after="0"/>
              <w:rPr>
                <w:sz w:val="20"/>
                <w:szCs w:val="20"/>
                <w:color w:val="auto"/>
              </w:rPr>
            </w:pPr>
            <w:r>
              <w:rPr>
                <w:rFonts w:ascii="Calibri" w:cs="Calibri" w:eastAsia="Calibri" w:hAnsi="Calibri"/>
                <w:sz w:val="14"/>
                <w:szCs w:val="14"/>
                <w:color w:val="51555C"/>
              </w:rPr>
              <w:t>7.5</w:t>
            </w:r>
          </w:p>
        </w:tc>
        <w:tc>
          <w:tcPr>
            <w:tcW w:w="320" w:type="dxa"/>
            <w:vAlign w:val="bottom"/>
            <w:shd w:val="clear" w:color="auto" w:fill="EBFBFF"/>
          </w:tcPr>
          <w:p>
            <w:pPr>
              <w:spacing w:after="0"/>
              <w:rPr>
                <w:sz w:val="19"/>
                <w:szCs w:val="19"/>
                <w:color w:val="auto"/>
              </w:rPr>
            </w:pPr>
          </w:p>
        </w:tc>
        <w:tc>
          <w:tcPr>
            <w:tcW w:w="1040" w:type="dxa"/>
            <w:vAlign w:val="bottom"/>
            <w:shd w:val="clear" w:color="auto" w:fill="EBFBFF"/>
          </w:tcPr>
          <w:p>
            <w:pPr>
              <w:jc w:val="right"/>
              <w:ind w:right="88"/>
              <w:spacing w:after="0"/>
              <w:rPr>
                <w:sz w:val="20"/>
                <w:szCs w:val="20"/>
                <w:color w:val="auto"/>
              </w:rPr>
            </w:pPr>
            <w:r>
              <w:rPr>
                <w:rFonts w:ascii="Calibri" w:cs="Calibri" w:eastAsia="Calibri" w:hAnsi="Calibri"/>
                <w:sz w:val="14"/>
                <w:szCs w:val="14"/>
                <w:color w:val="51555C"/>
              </w:rPr>
              <w:t>6.1</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Restructuring and other real estate actvites</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0.1</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30"/>
        </w:trPr>
        <w:tc>
          <w:tcPr>
            <w:tcW w:w="8520" w:type="dxa"/>
            <w:vAlign w:val="bottom"/>
            <w:shd w:val="clear" w:color="auto" w:fill="EBFBFF"/>
          </w:tcPr>
          <w:p>
            <w:pPr>
              <w:ind w:left="140"/>
              <w:spacing w:after="0" w:line="216" w:lineRule="exact"/>
              <w:rPr>
                <w:sz w:val="20"/>
                <w:szCs w:val="20"/>
                <w:color w:val="auto"/>
              </w:rPr>
            </w:pPr>
            <w:r>
              <w:rPr>
                <w:rFonts w:ascii="Calibri" w:cs="Calibri" w:eastAsia="Calibri" w:hAnsi="Calibri"/>
                <w:sz w:val="14"/>
                <w:szCs w:val="14"/>
                <w:color w:val="51555C"/>
              </w:rPr>
              <w:t>Add: Security Incident-related costs, net of insurance</w:t>
            </w:r>
            <w:r>
              <w:rPr>
                <w:rFonts w:ascii="Calibri" w:cs="Calibri" w:eastAsia="Calibri" w:hAnsi="Calibri"/>
                <w:sz w:val="18"/>
                <w:szCs w:val="18"/>
                <w:color w:val="51555C"/>
                <w:vertAlign w:val="superscript"/>
              </w:rPr>
              <w:t>(4)</w:t>
            </w:r>
          </w:p>
        </w:tc>
        <w:tc>
          <w:tcPr>
            <w:tcW w:w="320" w:type="dxa"/>
            <w:vAlign w:val="bottom"/>
            <w:shd w:val="clear" w:color="auto" w:fill="EBFBFF"/>
          </w:tcPr>
          <w:p>
            <w:pPr>
              <w:spacing w:after="0"/>
              <w:rPr>
                <w:sz w:val="19"/>
                <w:szCs w:val="19"/>
                <w:color w:val="auto"/>
              </w:rPr>
            </w:pPr>
          </w:p>
        </w:tc>
        <w:tc>
          <w:tcPr>
            <w:tcW w:w="1040" w:type="dxa"/>
            <w:vAlign w:val="bottom"/>
            <w:shd w:val="clear" w:color="auto" w:fill="EBFBFF"/>
          </w:tcPr>
          <w:p>
            <w:pPr>
              <w:jc w:val="right"/>
              <w:ind w:right="88"/>
              <w:spacing w:after="0"/>
              <w:rPr>
                <w:sz w:val="20"/>
                <w:szCs w:val="20"/>
                <w:color w:val="auto"/>
              </w:rPr>
            </w:pPr>
            <w:r>
              <w:rPr>
                <w:rFonts w:ascii="Calibri" w:cs="Calibri" w:eastAsia="Calibri" w:hAnsi="Calibri"/>
                <w:sz w:val="14"/>
                <w:szCs w:val="14"/>
                <w:color w:val="51555C"/>
              </w:rPr>
              <w:t>53.4</w:t>
            </w:r>
          </w:p>
        </w:tc>
        <w:tc>
          <w:tcPr>
            <w:tcW w:w="320" w:type="dxa"/>
            <w:vAlign w:val="bottom"/>
            <w:shd w:val="clear" w:color="auto" w:fill="EBFBFF"/>
          </w:tcPr>
          <w:p>
            <w:pPr>
              <w:spacing w:after="0"/>
              <w:rPr>
                <w:sz w:val="19"/>
                <w:szCs w:val="19"/>
                <w:color w:val="auto"/>
              </w:rPr>
            </w:pPr>
          </w:p>
        </w:tc>
        <w:tc>
          <w:tcPr>
            <w:tcW w:w="1040" w:type="dxa"/>
            <w:vAlign w:val="bottom"/>
            <w:shd w:val="clear" w:color="auto" w:fill="EBFBFF"/>
          </w:tcPr>
          <w:p>
            <w:pPr>
              <w:jc w:val="right"/>
              <w:ind w:right="88"/>
              <w:spacing w:after="0"/>
              <w:rPr>
                <w:sz w:val="20"/>
                <w:szCs w:val="20"/>
                <w:color w:val="auto"/>
              </w:rPr>
            </w:pPr>
            <w:r>
              <w:rPr>
                <w:rFonts w:ascii="Calibri" w:cs="Calibri" w:eastAsia="Calibri" w:hAnsi="Calibri"/>
                <w:sz w:val="14"/>
                <w:szCs w:val="14"/>
                <w:color w:val="51555C"/>
              </w:rPr>
              <w:t>55.7</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Impairment of capitalized sofware development costs</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2.3</w:t>
            </w:r>
          </w:p>
        </w:tc>
      </w:tr>
      <w:tr>
        <w:trPr>
          <w:trHeight w:val="60"/>
        </w:trPr>
        <w:tc>
          <w:tcPr>
            <w:tcW w:w="8520" w:type="dxa"/>
            <w:vAlign w:val="bottom"/>
            <w:tcBorders>
              <w:bottom w:val="single" w:sz="8" w:color="EBFBFF"/>
            </w:tcBorders>
          </w:tcPr>
          <w:p>
            <w:pPr>
              <w:spacing w:after="0"/>
              <w:rPr>
                <w:sz w:val="5"/>
                <w:szCs w:val="5"/>
                <w:color w:val="auto"/>
              </w:rPr>
            </w:pPr>
          </w:p>
        </w:tc>
        <w:tc>
          <w:tcPr>
            <w:tcW w:w="320" w:type="dxa"/>
            <w:vAlign w:val="bottom"/>
            <w:tcBorders>
              <w:bottom w:val="single" w:sz="8" w:color="51555C"/>
            </w:tcBorders>
          </w:tcPr>
          <w:p>
            <w:pPr>
              <w:spacing w:after="0"/>
              <w:rPr>
                <w:sz w:val="5"/>
                <w:szCs w:val="5"/>
                <w:color w:val="auto"/>
              </w:rPr>
            </w:pPr>
          </w:p>
        </w:tc>
        <w:tc>
          <w:tcPr>
            <w:tcW w:w="1040" w:type="dxa"/>
            <w:vAlign w:val="bottom"/>
            <w:tcBorders>
              <w:bottom w:val="single" w:sz="8" w:color="51555C"/>
            </w:tcBorders>
          </w:tcPr>
          <w:p>
            <w:pPr>
              <w:spacing w:after="0"/>
              <w:rPr>
                <w:sz w:val="5"/>
                <w:szCs w:val="5"/>
                <w:color w:val="auto"/>
              </w:rPr>
            </w:pPr>
          </w:p>
        </w:tc>
        <w:tc>
          <w:tcPr>
            <w:tcW w:w="320" w:type="dxa"/>
            <w:vAlign w:val="bottom"/>
            <w:tcBorders>
              <w:bottom w:val="single" w:sz="8" w:color="51555C"/>
            </w:tcBorders>
          </w:tcPr>
          <w:p>
            <w:pPr>
              <w:spacing w:after="0"/>
              <w:rPr>
                <w:sz w:val="5"/>
                <w:szCs w:val="5"/>
                <w:color w:val="auto"/>
              </w:rPr>
            </w:pPr>
          </w:p>
        </w:tc>
        <w:tc>
          <w:tcPr>
            <w:tcW w:w="1040" w:type="dxa"/>
            <w:vAlign w:val="bottom"/>
            <w:tcBorders>
              <w:bottom w:val="single" w:sz="8" w:color="51555C"/>
            </w:tcBorders>
          </w:tcPr>
          <w:p>
            <w:pPr>
              <w:spacing w:after="0"/>
              <w:rPr>
                <w:sz w:val="5"/>
                <w:szCs w:val="5"/>
                <w:color w:val="auto"/>
              </w:rPr>
            </w:pPr>
          </w:p>
        </w:tc>
      </w:tr>
      <w:tr>
        <w:trPr>
          <w:trHeight w:val="223"/>
        </w:trPr>
        <w:tc>
          <w:tcPr>
            <w:tcW w:w="8520" w:type="dxa"/>
            <w:vAlign w:val="bottom"/>
            <w:tcBorders>
              <w:bottom w:val="single" w:sz="8" w:color="EBFBFF"/>
            </w:tcBorders>
            <w:shd w:val="clear" w:color="auto" w:fill="EBFBFF"/>
          </w:tcPr>
          <w:p>
            <w:pPr>
              <w:ind w:left="240"/>
              <w:spacing w:after="0" w:line="202" w:lineRule="exact"/>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(1)</w:t>
            </w:r>
          </w:p>
        </w:tc>
        <w:tc>
          <w:tcPr>
            <w:tcW w:w="320" w:type="dxa"/>
            <w:vAlign w:val="bottom"/>
            <w:tcBorders>
              <w:bottom w:val="single" w:sz="8" w:color="EBFBFF"/>
            </w:tcBorders>
            <w:shd w:val="clear" w:color="auto" w:fill="EBFBFF"/>
          </w:tcPr>
          <w:p>
            <w:pPr>
              <w:spacing w:after="0"/>
              <w:rPr>
                <w:sz w:val="19"/>
                <w:szCs w:val="19"/>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249.4</w:t>
            </w:r>
          </w:p>
        </w:tc>
        <w:tc>
          <w:tcPr>
            <w:tcW w:w="320" w:type="dxa"/>
            <w:vAlign w:val="bottom"/>
            <w:tcBorders>
              <w:bottom w:val="single" w:sz="8" w:color="EBFBFF"/>
            </w:tcBorders>
            <w:shd w:val="clear" w:color="auto" w:fill="EBFBFF"/>
          </w:tcPr>
          <w:p>
            <w:pPr>
              <w:spacing w:after="0"/>
              <w:rPr>
                <w:sz w:val="19"/>
                <w:szCs w:val="19"/>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231.1</w:t>
            </w:r>
          </w:p>
        </w:tc>
      </w:tr>
      <w:tr>
        <w:trPr>
          <w:trHeight w:val="202"/>
        </w:trPr>
        <w:tc>
          <w:tcPr>
            <w:tcW w:w="852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income from operatons</w:t>
            </w:r>
            <w:r>
              <w:rPr>
                <w:rFonts w:ascii="Calibri" w:cs="Calibri" w:eastAsia="Calibri" w:hAnsi="Calibri"/>
                <w:sz w:val="18"/>
                <w:szCs w:val="18"/>
                <w:b w:val="1"/>
                <w:bCs w:val="1"/>
                <w:color w:val="51555C"/>
                <w:vertAlign w:val="superscript"/>
              </w:rPr>
              <w:t>(1)</w:t>
            </w:r>
          </w:p>
        </w:tc>
        <w:tc>
          <w:tcPr>
            <w:tcW w:w="320" w:type="dxa"/>
            <w:vAlign w:val="bottom"/>
            <w:tcBorders>
              <w:top w:val="single" w:sz="8" w:color="51555C"/>
            </w:tcBorders>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294.1</w:t>
            </w:r>
          </w:p>
        </w:tc>
        <w:tc>
          <w:tcPr>
            <w:tcW w:w="320" w:type="dxa"/>
            <w:vAlign w:val="bottom"/>
            <w:tcBorders>
              <w:top w:val="single" w:sz="8" w:color="51555C"/>
            </w:tcBorders>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202.6</w:t>
            </w:r>
          </w:p>
        </w:tc>
      </w:tr>
      <w:tr>
        <w:trPr>
          <w:trHeight w:val="21"/>
        </w:trPr>
        <w:tc>
          <w:tcPr>
            <w:tcW w:w="8520" w:type="dxa"/>
            <w:vAlign w:val="bottom"/>
            <w:tcBorders>
              <w:bottom w:val="single" w:sz="8" w:color="EBFBFF"/>
            </w:tcBorders>
          </w:tcPr>
          <w:p>
            <w:pPr>
              <w:spacing w:after="0" w:line="20" w:lineRule="exact"/>
              <w:rPr>
                <w:sz w:val="1"/>
                <w:szCs w:val="1"/>
                <w:color w:val="auto"/>
              </w:rPr>
            </w:pPr>
          </w:p>
        </w:tc>
        <w:tc>
          <w:tcPr>
            <w:tcW w:w="32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c>
          <w:tcPr>
            <w:tcW w:w="32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r>
      <w:tr>
        <w:trPr>
          <w:trHeight w:val="203"/>
        </w:trPr>
        <w:tc>
          <w:tcPr>
            <w:tcW w:w="852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operatng margin</w:t>
            </w:r>
          </w:p>
        </w:tc>
        <w:tc>
          <w:tcPr>
            <w:tcW w:w="32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26.6 %</w:t>
            </w:r>
          </w:p>
        </w:tc>
        <w:tc>
          <w:tcPr>
            <w:tcW w:w="320" w:type="dxa"/>
            <w:vAlign w:val="bottom"/>
            <w:tcBorders>
              <w:bottom w:val="single" w:sz="8" w:color="EBFBFF"/>
            </w:tcBorders>
            <w:shd w:val="clear" w:color="auto" w:fill="EBFBFF"/>
          </w:tcPr>
          <w:p>
            <w:pPr>
              <w:spacing w:after="0"/>
              <w:rPr>
                <w:sz w:val="17"/>
                <w:szCs w:val="17"/>
                <w:color w:val="auto"/>
              </w:rPr>
            </w:pPr>
          </w:p>
        </w:tc>
        <w:tc>
          <w:tcPr>
            <w:tcW w:w="104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19.1 %</w:t>
            </w:r>
          </w:p>
        </w:tc>
      </w:tr>
      <w:tr>
        <w:trPr>
          <w:trHeight w:val="148"/>
        </w:trPr>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0"/>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income (loss) before provision (beneft) for income taxes</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17.6</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(55.6)</w:t>
            </w:r>
          </w:p>
        </w:tc>
      </w:tr>
      <w:tr>
        <w:trPr>
          <w:trHeight w:val="170"/>
        </w:trPr>
        <w:tc>
          <w:tcPr>
            <w:tcW w:w="8520" w:type="dxa"/>
            <w:vAlign w:val="bottom"/>
          </w:tcPr>
          <w:p>
            <w:pPr>
              <w:ind w:left="20"/>
              <w:spacing w:after="0"/>
              <w:rPr>
                <w:sz w:val="20"/>
                <w:szCs w:val="20"/>
                <w:color w:val="auto"/>
              </w:rPr>
            </w:pPr>
            <w:r>
              <w:rPr>
                <w:rFonts w:ascii="Calibri" w:cs="Calibri" w:eastAsia="Calibri" w:hAnsi="Calibri"/>
                <w:sz w:val="14"/>
                <w:szCs w:val="14"/>
                <w:b w:val="1"/>
                <w:bCs w:val="1"/>
                <w:color w:val="51555C"/>
              </w:rPr>
              <w:t>GAAP net income (loss)</w:t>
            </w:r>
          </w:p>
        </w:tc>
        <w:tc>
          <w:tcPr>
            <w:tcW w:w="320" w:type="dxa"/>
            <w:vAlign w:val="bottom"/>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1.8</w:t>
            </w:r>
          </w:p>
        </w:tc>
        <w:tc>
          <w:tcPr>
            <w:tcW w:w="320" w:type="dxa"/>
            <w:vAlign w:val="bottom"/>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51555C"/>
              </w:rPr>
              <w:t>(45.4)</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09"/>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Shares used in computng GAAP diluted earnings (loss) per share</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53,721,342</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51,569,148</w:t>
            </w: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b w:val="1"/>
                <w:bCs w:val="1"/>
                <w:color w:val="51555C"/>
              </w:rPr>
              <w:t>GAAP diluted earnings (loss) per share</w:t>
            </w:r>
          </w:p>
        </w:tc>
        <w:tc>
          <w:tcPr>
            <w:tcW w:w="320" w:type="dxa"/>
            <w:vAlign w:val="bottom"/>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0.03</w:t>
            </w:r>
          </w:p>
        </w:tc>
        <w:tc>
          <w:tcPr>
            <w:tcW w:w="320" w:type="dxa"/>
            <w:vAlign w:val="bottom"/>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51555C"/>
              </w:rPr>
              <w:t>(0.88)</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0"/>
        </w:trPr>
        <w:tc>
          <w:tcPr>
            <w:tcW w:w="85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c>
          <w:tcPr>
            <w:tcW w:w="32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r>
      <w:tr>
        <w:trPr>
          <w:trHeight w:val="170"/>
        </w:trPr>
        <w:tc>
          <w:tcPr>
            <w:tcW w:w="8520" w:type="dxa"/>
            <w:vAlign w:val="bottom"/>
          </w:tcPr>
          <w:p>
            <w:pPr>
              <w:ind w:left="140"/>
              <w:spacing w:after="0"/>
              <w:rPr>
                <w:sz w:val="20"/>
                <w:szCs w:val="20"/>
                <w:color w:val="auto"/>
              </w:rPr>
            </w:pPr>
            <w:r>
              <w:rPr>
                <w:rFonts w:ascii="Calibri" w:cs="Calibri" w:eastAsia="Calibri" w:hAnsi="Calibri"/>
                <w:sz w:val="14"/>
                <w:szCs w:val="14"/>
                <w:color w:val="51555C"/>
              </w:rPr>
              <w:t>Add: GAAP income tax provision (beneft)</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15.8</w:t>
            </w:r>
          </w:p>
        </w:tc>
        <w:tc>
          <w:tcPr>
            <w:tcW w:w="3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alibri" w:cs="Calibri" w:eastAsia="Calibri" w:hAnsi="Calibri"/>
                <w:sz w:val="14"/>
                <w:szCs w:val="14"/>
                <w:color w:val="51555C"/>
              </w:rPr>
              <w:t>(10.2)</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30"/>
        </w:trPr>
        <w:tc>
          <w:tcPr>
            <w:tcW w:w="85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Total non-GAAP adjustments afectng income from operatons</w:t>
            </w:r>
          </w:p>
        </w:tc>
        <w:tc>
          <w:tcPr>
            <w:tcW w:w="320" w:type="dxa"/>
            <w:vAlign w:val="bottom"/>
            <w:tcBorders>
              <w:bottom w:val="single" w:sz="8" w:color="EBFBFF"/>
            </w:tcBorders>
            <w:shd w:val="clear" w:color="auto" w:fill="EBFBFF"/>
          </w:tcPr>
          <w:p>
            <w:pPr>
              <w:spacing w:after="0"/>
              <w:rPr>
                <w:sz w:val="19"/>
                <w:szCs w:val="19"/>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249.4</w:t>
            </w:r>
          </w:p>
        </w:tc>
        <w:tc>
          <w:tcPr>
            <w:tcW w:w="320" w:type="dxa"/>
            <w:vAlign w:val="bottom"/>
            <w:tcBorders>
              <w:bottom w:val="single" w:sz="8" w:color="EBFBFF"/>
            </w:tcBorders>
            <w:shd w:val="clear" w:color="auto" w:fill="EBFBFF"/>
          </w:tcPr>
          <w:p>
            <w:pPr>
              <w:spacing w:after="0"/>
              <w:rPr>
                <w:sz w:val="19"/>
                <w:szCs w:val="19"/>
                <w:color w:val="auto"/>
              </w:rPr>
            </w:pP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231.1</w:t>
            </w:r>
          </w:p>
        </w:tc>
      </w:tr>
      <w:tr>
        <w:trPr>
          <w:trHeight w:val="163"/>
        </w:trPr>
        <w:tc>
          <w:tcPr>
            <w:tcW w:w="8520" w:type="dxa"/>
            <w:vAlign w:val="bottom"/>
          </w:tcPr>
          <w:p>
            <w:pPr>
              <w:ind w:left="20"/>
              <w:spacing w:after="0" w:line="163" w:lineRule="exact"/>
              <w:rPr>
                <w:sz w:val="20"/>
                <w:szCs w:val="20"/>
                <w:color w:val="auto"/>
              </w:rPr>
            </w:pPr>
            <w:r>
              <w:rPr>
                <w:rFonts w:ascii="Calibri" w:cs="Calibri" w:eastAsia="Calibri" w:hAnsi="Calibri"/>
                <w:sz w:val="14"/>
                <w:szCs w:val="14"/>
                <w:b w:val="1"/>
                <w:bCs w:val="1"/>
                <w:color w:val="51555C"/>
              </w:rPr>
              <w:t>Non-GAAP income before provision for income taxes</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51555C"/>
              </w:rPr>
              <w:t>267.0</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88"/>
              <w:spacing w:after="0" w:line="164" w:lineRule="exact"/>
              <w:rPr>
                <w:sz w:val="20"/>
                <w:szCs w:val="20"/>
                <w:color w:val="auto"/>
              </w:rPr>
            </w:pPr>
            <w:r>
              <w:rPr>
                <w:rFonts w:ascii="Calibri" w:cs="Calibri" w:eastAsia="Calibri" w:hAnsi="Calibri"/>
                <w:sz w:val="14"/>
                <w:szCs w:val="14"/>
                <w:color w:val="51555C"/>
              </w:rPr>
              <w:t>175.5</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30"/>
        </w:trPr>
        <w:tc>
          <w:tcPr>
            <w:tcW w:w="8520" w:type="dxa"/>
            <w:vAlign w:val="bottom"/>
            <w:shd w:val="clear" w:color="auto" w:fill="EBFBFF"/>
          </w:tcPr>
          <w:p>
            <w:pPr>
              <w:ind w:left="20"/>
              <w:spacing w:after="0" w:line="216" w:lineRule="exact"/>
              <w:rPr>
                <w:sz w:val="20"/>
                <w:szCs w:val="20"/>
                <w:color w:val="auto"/>
              </w:rPr>
            </w:pPr>
            <w:r>
              <w:rPr>
                <w:rFonts w:ascii="Calibri" w:cs="Calibri" w:eastAsia="Calibri" w:hAnsi="Calibri"/>
                <w:sz w:val="14"/>
                <w:szCs w:val="14"/>
                <w:color w:val="51555C"/>
              </w:rPr>
              <w:t>Assumed non-GAAP income tax provision</w:t>
            </w:r>
            <w:r>
              <w:rPr>
                <w:rFonts w:ascii="Calibri" w:cs="Calibri" w:eastAsia="Calibri" w:hAnsi="Calibri"/>
                <w:sz w:val="18"/>
                <w:szCs w:val="18"/>
                <w:color w:val="51555C"/>
                <w:vertAlign w:val="superscript"/>
              </w:rPr>
              <w:t>(5)</w:t>
            </w:r>
          </w:p>
        </w:tc>
        <w:tc>
          <w:tcPr>
            <w:tcW w:w="320" w:type="dxa"/>
            <w:vAlign w:val="bottom"/>
            <w:tcBorders>
              <w:bottom w:val="single" w:sz="8" w:color="51555C"/>
            </w:tcBorders>
            <w:shd w:val="clear" w:color="auto" w:fill="EBFBFF"/>
          </w:tcPr>
          <w:p>
            <w:pPr>
              <w:spacing w:after="0"/>
              <w:rPr>
                <w:sz w:val="19"/>
                <w:szCs w:val="19"/>
                <w:color w:val="auto"/>
              </w:rPr>
            </w:pPr>
          </w:p>
        </w:tc>
        <w:tc>
          <w:tcPr>
            <w:tcW w:w="1040" w:type="dxa"/>
            <w:vAlign w:val="bottom"/>
            <w:tcBorders>
              <w:bottom w:val="single" w:sz="8" w:color="51555C"/>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53.4</w:t>
            </w:r>
          </w:p>
        </w:tc>
        <w:tc>
          <w:tcPr>
            <w:tcW w:w="320" w:type="dxa"/>
            <w:vAlign w:val="bottom"/>
            <w:tcBorders>
              <w:bottom w:val="single" w:sz="8" w:color="51555C"/>
            </w:tcBorders>
            <w:shd w:val="clear" w:color="auto" w:fill="EBFBFF"/>
          </w:tcPr>
          <w:p>
            <w:pPr>
              <w:spacing w:after="0"/>
              <w:rPr>
                <w:sz w:val="19"/>
                <w:szCs w:val="19"/>
                <w:color w:val="auto"/>
              </w:rPr>
            </w:pPr>
          </w:p>
        </w:tc>
        <w:tc>
          <w:tcPr>
            <w:tcW w:w="1040" w:type="dxa"/>
            <w:vAlign w:val="bottom"/>
            <w:tcBorders>
              <w:bottom w:val="single" w:sz="8" w:color="51555C"/>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35.1</w:t>
            </w:r>
          </w:p>
        </w:tc>
      </w:tr>
      <w:tr>
        <w:trPr>
          <w:trHeight w:val="202"/>
        </w:trPr>
        <w:tc>
          <w:tcPr>
            <w:tcW w:w="852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net income</w:t>
            </w:r>
            <w:r>
              <w:rPr>
                <w:rFonts w:ascii="Calibri" w:cs="Calibri" w:eastAsia="Calibri" w:hAnsi="Calibri"/>
                <w:sz w:val="18"/>
                <w:szCs w:val="18"/>
                <w:b w:val="1"/>
                <w:bCs w:val="1"/>
                <w:color w:val="51555C"/>
                <w:vertAlign w:val="superscript"/>
              </w:rPr>
              <w:t>(1)</w:t>
            </w:r>
          </w:p>
        </w:tc>
        <w:tc>
          <w:tcPr>
            <w:tcW w:w="320" w:type="dxa"/>
            <w:vAlign w:val="bottom"/>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213.6</w:t>
            </w:r>
          </w:p>
        </w:tc>
        <w:tc>
          <w:tcPr>
            <w:tcW w:w="320" w:type="dxa"/>
            <w:vAlign w:val="bottom"/>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140.4</w:t>
            </w:r>
          </w:p>
        </w:tc>
      </w:tr>
      <w:tr>
        <w:trPr>
          <w:trHeight w:val="21"/>
        </w:trPr>
        <w:tc>
          <w:tcPr>
            <w:tcW w:w="8520" w:type="dxa"/>
            <w:vAlign w:val="bottom"/>
            <w:tcBorders>
              <w:bottom w:val="single" w:sz="8" w:color="EBFBFF"/>
            </w:tcBorders>
          </w:tcPr>
          <w:p>
            <w:pPr>
              <w:spacing w:after="0" w:line="20" w:lineRule="exact"/>
              <w:rPr>
                <w:sz w:val="1"/>
                <w:szCs w:val="1"/>
                <w:color w:val="auto"/>
              </w:rPr>
            </w:pPr>
          </w:p>
        </w:tc>
        <w:tc>
          <w:tcPr>
            <w:tcW w:w="32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c>
          <w:tcPr>
            <w:tcW w:w="320" w:type="dxa"/>
            <w:vAlign w:val="bottom"/>
            <w:tcBorders>
              <w:bottom w:val="single" w:sz="8" w:color="51555C"/>
            </w:tcBorders>
          </w:tcPr>
          <w:p>
            <w:pPr>
              <w:spacing w:after="0" w:line="20" w:lineRule="exact"/>
              <w:rPr>
                <w:sz w:val="1"/>
                <w:szCs w:val="1"/>
                <w:color w:val="auto"/>
              </w:rPr>
            </w:pPr>
          </w:p>
        </w:tc>
        <w:tc>
          <w:tcPr>
            <w:tcW w:w="1040" w:type="dxa"/>
            <w:vAlign w:val="bottom"/>
            <w:tcBorders>
              <w:bottom w:val="single" w:sz="8" w:color="51555C"/>
            </w:tcBorders>
          </w:tcPr>
          <w:p>
            <w:pPr>
              <w:spacing w:after="0" w:line="20" w:lineRule="exact"/>
              <w:rPr>
                <w:sz w:val="1"/>
                <w:szCs w:val="1"/>
                <w:color w:val="auto"/>
              </w:rPr>
            </w:pPr>
          </w:p>
        </w:tc>
      </w:tr>
      <w:tr>
        <w:trPr>
          <w:trHeight w:val="129"/>
        </w:trPr>
        <w:tc>
          <w:tcPr>
            <w:tcW w:w="8520" w:type="dxa"/>
            <w:vAlign w:val="bottom"/>
            <w:shd w:val="clear" w:color="auto" w:fill="EBFBFF"/>
          </w:tcPr>
          <w:p>
            <w:pPr>
              <w:spacing w:after="0"/>
              <w:rPr>
                <w:sz w:val="11"/>
                <w:szCs w:val="11"/>
                <w:color w:val="auto"/>
              </w:rPr>
            </w:pPr>
          </w:p>
        </w:tc>
        <w:tc>
          <w:tcPr>
            <w:tcW w:w="320" w:type="dxa"/>
            <w:vAlign w:val="bottom"/>
            <w:shd w:val="clear" w:color="auto" w:fill="EBFBFF"/>
          </w:tcPr>
          <w:p>
            <w:pPr>
              <w:spacing w:after="0"/>
              <w:rPr>
                <w:sz w:val="11"/>
                <w:szCs w:val="11"/>
                <w:color w:val="auto"/>
              </w:rPr>
            </w:pPr>
          </w:p>
        </w:tc>
        <w:tc>
          <w:tcPr>
            <w:tcW w:w="1040" w:type="dxa"/>
            <w:vAlign w:val="bottom"/>
            <w:shd w:val="clear" w:color="auto" w:fill="EBFBFF"/>
          </w:tcPr>
          <w:p>
            <w:pPr>
              <w:spacing w:after="0"/>
              <w:rPr>
                <w:sz w:val="11"/>
                <w:szCs w:val="11"/>
                <w:color w:val="auto"/>
              </w:rPr>
            </w:pPr>
          </w:p>
        </w:tc>
        <w:tc>
          <w:tcPr>
            <w:tcW w:w="320" w:type="dxa"/>
            <w:vAlign w:val="bottom"/>
            <w:shd w:val="clear" w:color="auto" w:fill="EBFBFF"/>
          </w:tcPr>
          <w:p>
            <w:pPr>
              <w:spacing w:after="0"/>
              <w:rPr>
                <w:sz w:val="11"/>
                <w:szCs w:val="11"/>
                <w:color w:val="auto"/>
              </w:rPr>
            </w:pPr>
          </w:p>
        </w:tc>
        <w:tc>
          <w:tcPr>
            <w:tcW w:w="1040" w:type="dxa"/>
            <w:vAlign w:val="bottom"/>
            <w:shd w:val="clear" w:color="auto" w:fill="EBFBFF"/>
          </w:tcPr>
          <w:p>
            <w:pPr>
              <w:spacing w:after="0"/>
              <w:rPr>
                <w:sz w:val="11"/>
                <w:szCs w:val="11"/>
                <w:color w:val="auto"/>
              </w:rPr>
            </w:pPr>
          </w:p>
        </w:tc>
      </w:tr>
      <w:tr>
        <w:trPr>
          <w:trHeight w:val="170"/>
        </w:trPr>
        <w:tc>
          <w:tcPr>
            <w:tcW w:w="8520" w:type="dxa"/>
            <w:vAlign w:val="bottom"/>
          </w:tcPr>
          <w:p>
            <w:pPr>
              <w:ind w:left="20"/>
              <w:spacing w:after="0"/>
              <w:rPr>
                <w:sz w:val="20"/>
                <w:szCs w:val="20"/>
                <w:color w:val="auto"/>
              </w:rPr>
            </w:pPr>
            <w:r>
              <w:rPr>
                <w:rFonts w:ascii="Calibri" w:cs="Calibri" w:eastAsia="Calibri" w:hAnsi="Calibri"/>
                <w:sz w:val="14"/>
                <w:szCs w:val="14"/>
                <w:color w:val="51555C"/>
              </w:rPr>
              <w:t>Shares used in computng Non-GAAP diluted earnings per share</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53,721,342</w:t>
            </w:r>
          </w:p>
        </w:tc>
        <w:tc>
          <w:tcPr>
            <w:tcW w:w="3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alibri" w:cs="Calibri" w:eastAsia="Calibri" w:hAnsi="Calibri"/>
                <w:sz w:val="14"/>
                <w:szCs w:val="14"/>
                <w:color w:val="51555C"/>
              </w:rPr>
              <w:t>52,207,573</w:t>
            </w:r>
          </w:p>
        </w:tc>
      </w:tr>
      <w:tr>
        <w:trPr>
          <w:trHeight w:val="60"/>
        </w:trPr>
        <w:tc>
          <w:tcPr>
            <w:tcW w:w="8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35"/>
        </w:trPr>
        <w:tc>
          <w:tcPr>
            <w:tcW w:w="85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b w:val="1"/>
                <w:bCs w:val="1"/>
                <w:color w:val="51555C"/>
              </w:rPr>
              <w:t>Non-GAAP diluted earnings per share</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3.98</w:t>
            </w:r>
          </w:p>
        </w:tc>
        <w:tc>
          <w:tcPr>
            <w:tcW w:w="320" w:type="dxa"/>
            <w:vAlign w:val="bottom"/>
            <w:tcBorders>
              <w:bottom w:val="single" w:sz="8" w:color="EBFBFF"/>
            </w:tcBorders>
            <w:shd w:val="clear" w:color="auto" w:fill="EBFBFF"/>
          </w:tcPr>
          <w:p>
            <w:pPr>
              <w:jc w:val="right"/>
              <w:ind w:right="168"/>
              <w:spacing w:after="0"/>
              <w:rPr>
                <w:sz w:val="20"/>
                <w:szCs w:val="20"/>
                <w:color w:val="auto"/>
              </w:rPr>
            </w:pPr>
            <w:r>
              <w:rPr>
                <w:rFonts w:ascii="Calibri" w:cs="Calibri" w:eastAsia="Calibri" w:hAnsi="Calibri"/>
                <w:sz w:val="14"/>
                <w:szCs w:val="14"/>
                <w:color w:val="51555C"/>
                <w:w w:val="83"/>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2.69</w:t>
            </w:r>
          </w:p>
        </w:tc>
      </w:tr>
      <w:tr>
        <w:trPr>
          <w:trHeight w:val="662"/>
        </w:trPr>
        <w:tc>
          <w:tcPr>
            <w:tcW w:w="8520" w:type="dxa"/>
            <w:vAlign w:val="bottom"/>
            <w:tcBorders>
              <w:top w:val="single" w:sz="8" w:color="0CD973"/>
            </w:tcBorders>
          </w:tcPr>
          <w:p>
            <w:pPr>
              <w:spacing w:after="0"/>
              <w:rPr>
                <w:sz w:val="24"/>
                <w:szCs w:val="24"/>
                <w:color w:val="auto"/>
              </w:rPr>
            </w:pPr>
          </w:p>
        </w:tc>
        <w:tc>
          <w:tcPr>
            <w:tcW w:w="1360" w:type="dxa"/>
            <w:vAlign w:val="bottom"/>
            <w:tcBorders>
              <w:top w:val="single" w:sz="8" w:color="0CD973"/>
            </w:tcBorders>
            <w:gridSpan w:val="2"/>
          </w:tcPr>
          <w:p>
            <w:pPr>
              <w:jc w:val="right"/>
              <w:ind w:right="328"/>
              <w:spacing w:after="0"/>
              <w:rPr>
                <w:sz w:val="20"/>
                <w:szCs w:val="20"/>
                <w:color w:val="auto"/>
              </w:rPr>
            </w:pPr>
            <w:r>
              <w:rPr>
                <w:rFonts w:ascii="Calibri" w:cs="Calibri" w:eastAsia="Calibri" w:hAnsi="Calibri"/>
                <w:sz w:val="14"/>
                <w:szCs w:val="14"/>
                <w:color w:val="51555C"/>
              </w:rPr>
              <w:t>2023 Form 10-K</w:t>
            </w:r>
          </w:p>
        </w:tc>
        <w:tc>
          <w:tcPr>
            <w:tcW w:w="320" w:type="dxa"/>
            <w:vAlign w:val="bottom"/>
            <w:tcBorders>
              <w:top w:val="single" w:sz="8" w:color="0CD973"/>
            </w:tcBorders>
          </w:tcPr>
          <w:p>
            <w:pPr>
              <w:spacing w:after="0"/>
              <w:rPr>
                <w:sz w:val="24"/>
                <w:szCs w:val="24"/>
                <w:color w:val="auto"/>
              </w:rPr>
            </w:pPr>
          </w:p>
        </w:tc>
        <w:tc>
          <w:tcPr>
            <w:tcW w:w="1040" w:type="dxa"/>
            <w:vAlign w:val="bottom"/>
            <w:tcBorders>
              <w:top w:val="single" w:sz="8" w:color="0CD973"/>
            </w:tcBorders>
          </w:tcPr>
          <w:p>
            <w:pPr>
              <w:jc w:val="right"/>
              <w:spacing w:after="0"/>
              <w:rPr>
                <w:sz w:val="20"/>
                <w:szCs w:val="20"/>
                <w:color w:val="auto"/>
              </w:rPr>
            </w:pPr>
            <w:r>
              <w:rPr>
                <w:rFonts w:ascii="Calibri" w:cs="Calibri" w:eastAsia="Calibri" w:hAnsi="Calibri"/>
                <w:sz w:val="14"/>
                <w:szCs w:val="14"/>
                <w:color w:val="51555C"/>
              </w:rPr>
              <w:t>49</w:t>
            </w:r>
          </w:p>
        </w:tc>
      </w:tr>
      <w:tr>
        <w:trPr>
          <w:trHeight w:val="351"/>
        </w:trPr>
        <w:tc>
          <w:tcPr>
            <w:tcW w:w="8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-393700</wp:posOffset>
            </wp:positionV>
            <wp:extent cx="7289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hanging="332"/>
        <w:spacing w:after="0" w:line="245" w:lineRule="auto"/>
        <w:tabs>
          <w:tab w:leader="none" w:pos="338"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subtotal, non-GAAP gross proft, non-GAAP income from operatons, non-GAAP income before provision for income taxes or non-GAAP net income due to rounding.</w:t>
      </w:r>
    </w:p>
    <w:p>
      <w:pPr>
        <w:spacing w:after="0" w:line="1" w:lineRule="exact"/>
        <w:rPr>
          <w:rFonts w:ascii="Calibri" w:cs="Calibri" w:eastAsia="Calibri" w:hAnsi="Calibri"/>
          <w:sz w:val="14"/>
          <w:szCs w:val="14"/>
          <w:color w:val="51555C"/>
        </w:rPr>
      </w:pPr>
    </w:p>
    <w:p>
      <w:pPr>
        <w:ind w:left="340" w:hanging="332"/>
        <w:spacing w:after="0"/>
        <w:tabs>
          <w:tab w:leader="none" w:pos="340"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Includes a $2.0 million noncash impairment of certain intangible assets held for sale during the twelve months ended December 31, 2022.</w:t>
      </w:r>
    </w:p>
    <w:p>
      <w:pPr>
        <w:ind w:left="340" w:hanging="332"/>
        <w:spacing w:after="0" w:line="236" w:lineRule="auto"/>
        <w:tabs>
          <w:tab w:leader="none" w:pos="338"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Includes noncash impairment charges incurred during the twelve months ended December 31, 2023 related to the sublease of our Washington, DC ofce locaton the lease of which was acquired during the EVERFI acquisiton.</w:t>
      </w:r>
    </w:p>
    <w:p>
      <w:pPr>
        <w:spacing w:after="0" w:line="6" w:lineRule="exact"/>
        <w:rPr>
          <w:rFonts w:ascii="Calibri" w:cs="Calibri" w:eastAsia="Calibri" w:hAnsi="Calibri"/>
          <w:sz w:val="14"/>
          <w:szCs w:val="14"/>
          <w:color w:val="51555C"/>
        </w:rPr>
      </w:pPr>
    </w:p>
    <w:p>
      <w:pPr>
        <w:jc w:val="both"/>
        <w:ind w:left="340" w:hanging="332"/>
        <w:spacing w:after="0" w:line="243" w:lineRule="auto"/>
        <w:tabs>
          <w:tab w:leader="none" w:pos="338"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Includes Security Incident-related costs incurred during the twelve months ended December 31, 2023 of $53.4 million, which includes approximately $31.0 million in setlements and recorded aggregate liabilites for loss contngencies, net of insurance recoveries during the same period of $0.0 million and during the twelve months ended December 31, 2022 of $57.6 million, which included approximately $23.0 million in recorded aggregate liabilites for loss contngencies, net of insurance recoveries during the same period of $1.9 million. Recorded expenses consisted primarily of payments to third-party service providers and consultants, including legal fees, as well as setlements of customer claims, negotated setlements and accruals for certain loss contngencies. Not included in this adjustment were costs associated with enhancements to our cybersecurity program. For full year 2024, we currently expect net pre-tax expense of approximately $5 million to $10 million and net cash outlays of approximately $8 million to $13 million for ongoing legal fees related to the Security Incident. In line with our policy, legal fees, are expensed as incurred. As of December 31, 2023, we have recorded approximately $1.5 million in aggregate liabilites for loss contngencies based primarily on recent negotatons with certain customers related to the Security Incident that we believe we can reasonably estmate. In connecton with the setlement of the mult-state Atorneys General investgaton (as previously disclosed on October 5, 2023), we paid $49.5 million during the fourth quarter of 2023. There are other Security Incident-related maters, including customer claims, customer consttuent class actons and governmental investgatons, for which we have not recorded a liability for a loss contngency as of December 31, 2023 because we are unable at this tme to reasonably estmate the possible loss or range of loss. Each of these maters could, separately or in the aggregate, result in an adverse judgement, setlement, fne, penalty or other resoluton, the amount, scope and tming of which we are currently unable to predict, but could have a material adverse impact on our results of operatons, cash fows or fnancial conditon.</w:t>
      </w:r>
    </w:p>
    <w:p>
      <w:pPr>
        <w:spacing w:after="0" w:line="172" w:lineRule="exact"/>
        <w:rPr>
          <w:rFonts w:ascii="Calibri" w:cs="Calibri" w:eastAsia="Calibri" w:hAnsi="Calibri"/>
          <w:sz w:val="14"/>
          <w:szCs w:val="14"/>
          <w:color w:val="51555C"/>
        </w:rPr>
      </w:pPr>
    </w:p>
    <w:p>
      <w:pPr>
        <w:ind w:left="340" w:hanging="332"/>
        <w:spacing w:after="0" w:line="227" w:lineRule="auto"/>
        <w:tabs>
          <w:tab w:leader="none" w:pos="340" w:val="left"/>
        </w:tabs>
        <w:numPr>
          <w:ilvl w:val="0"/>
          <w:numId w:val="39"/>
        </w:numPr>
        <w:rPr>
          <w:rFonts w:ascii="Calibri" w:cs="Calibri" w:eastAsia="Calibri" w:hAnsi="Calibri"/>
          <w:sz w:val="14"/>
          <w:szCs w:val="14"/>
          <w:color w:val="51555C"/>
        </w:rPr>
      </w:pPr>
      <w:r>
        <w:rPr>
          <w:rFonts w:ascii="Calibri" w:cs="Calibri" w:eastAsia="Calibri" w:hAnsi="Calibri"/>
          <w:sz w:val="14"/>
          <w:szCs w:val="14"/>
          <w:color w:val="51555C"/>
        </w:rPr>
        <w:t>We apply a non-GAAP efectve tax rate of 20.0% when calculatng non-GAAP net income and non-GAAP diluted earnings per share.</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Beginning in 2024, we intend to update the non-GAAP tax rate we apply when calculatng non-GAAP net income and non-GAAP diluted earnings per share in future periods. Since the frst quarter of 2018, for the purposes of determining non-GAAP net income, we have utlized a non-GAAP tax rate of 20.0% in our calculaton of the assumed non-GAAP income tax provision. We intend to adjust this rate to 24.5% to beter refect our periodic efectve tax rate calculated in accordance with GAAP and our current expectatons. The increase in our non-GAAP tax rate is primarily driven by increases in income tax rates in jurisdictons we operate in. Furthermore, as proftability increases, the efect of tax impactng items, including research and development credits, lessens such that our assumed non-GAAP tax rate moves closer to the statutory rate. The increase in our non-GAAP tax rate is primarily driven by increases in income tax rates in jurisdictons we operate in. Furthermore, as our non-GAAP proftability increases, the efect of tax impactng items lessens such that our assumed non-GAAP tax rate moves closer to the statutory tax rate. The non-GAAP tax rate utlized in future periods will be reviewed annually to determine whether it remains appropriate in consideraton of our fnancial results including our periodic efectve tax rate calculated in accordance with GAAP, our operatng environment and related tax legislaton in efect and other factors deemed necessary. All measures of the tax impact related to non-GAAP net income and non-GAAP diluted earnings per share included above are calculated under our historical methodology.</w:t>
      </w:r>
    </w:p>
    <w:p>
      <w:pPr>
        <w:spacing w:after="0" w:line="318"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50</w:t>
      </w:r>
      <w:r>
        <w:rPr>
          <w:sz w:val="20"/>
          <w:szCs w:val="20"/>
          <w:color w:val="auto"/>
        </w:rPr>
        <w:tab/>
      </w:r>
      <w:r>
        <w:rPr>
          <w:sz w:val="1"/>
          <w:szCs w:val="1"/>
          <w:color w:val="auto"/>
        </w:rPr>
        <w:drawing>
          <wp:inline distT="0" distB="0" distL="0" distR="0">
            <wp:extent cx="728345" cy="18859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Non-GAAP organic revenue growth</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additon, we use non-GAAP organic revenue growth, non-GAAP organic revenue growth on a constant currency basis, non-GAAP organic recurring revenue growth and non-GAAP organic recurring revenue growth on a constant currency basis in analyzing our operatng performance. We believe that these non-GAAP measures are useful to investors, as a supplement to GAAP measures, for evaluatng the periodic growth of our business on a consistent basis. Each of these measures of non-GAAP organic revenue growth excludes incremental acquisiton-related revenue atributable to companies acquired in the current fscal year. For companies, if any, acquired in the immediately preceding fscal year, each of these non-GAAP organic revenue growth measures refects presentaton of full year incremental non-GAAP revenue derived from such companies as if they were combined throughout the prior period. In additon,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tme in both the prior and current periods. We believe this presentaton provides a more comparable representaton of our current business’ organic revenue growth and revenue run-rate.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shd w:val="clear" w:color="auto" w:fill="004054"/>
          </w:tcPr>
          <w:p>
            <w:pPr>
              <w:spacing w:after="0"/>
              <w:rPr>
                <w:sz w:val="16"/>
                <w:szCs w:val="16"/>
                <w:color w:val="auto"/>
              </w:rPr>
            </w:pPr>
          </w:p>
        </w:tc>
        <w:tc>
          <w:tcPr>
            <w:tcW w:w="560" w:type="dxa"/>
            <w:vAlign w:val="bottom"/>
            <w:shd w:val="clear" w:color="auto" w:fill="004054"/>
          </w:tcPr>
          <w:p>
            <w:pPr>
              <w:spacing w:after="0"/>
              <w:rPr>
                <w:sz w:val="16"/>
                <w:szCs w:val="16"/>
                <w:color w:val="auto"/>
              </w:rPr>
            </w:pPr>
          </w:p>
        </w:tc>
        <w:tc>
          <w:tcPr>
            <w:tcW w:w="260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80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560" w:type="dxa"/>
            <w:vAlign w:val="bottom"/>
            <w:shd w:val="clear" w:color="auto" w:fill="004054"/>
          </w:tcPr>
          <w:p>
            <w:pPr>
              <w:spacing w:after="0"/>
              <w:rPr>
                <w:sz w:val="20"/>
                <w:szCs w:val="20"/>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560" w:type="dxa"/>
            <w:vAlign w:val="bottom"/>
            <w:shd w:val="clear" w:color="auto" w:fill="004054"/>
          </w:tcPr>
          <w:p>
            <w:pPr>
              <w:spacing w:after="0"/>
              <w:rPr>
                <w:sz w:val="20"/>
                <w:szCs w:val="20"/>
                <w:color w:val="auto"/>
              </w:rPr>
            </w:pPr>
          </w:p>
        </w:tc>
        <w:tc>
          <w:tcPr>
            <w:tcW w:w="960" w:type="dxa"/>
            <w:vAlign w:val="bottom"/>
            <w:shd w:val="clear" w:color="auto" w:fill="004054"/>
          </w:tcPr>
          <w:p>
            <w:pPr>
              <w:jc w:val="center"/>
              <w:ind w:left="568"/>
              <w:spacing w:after="0"/>
              <w:rPr>
                <w:sz w:val="20"/>
                <w:szCs w:val="20"/>
                <w:color w:val="auto"/>
              </w:rPr>
            </w:pPr>
            <w:r>
              <w:rPr>
                <w:rFonts w:ascii="Calibri" w:cs="Calibri" w:eastAsia="Calibri" w:hAnsi="Calibri"/>
                <w:sz w:val="14"/>
                <w:szCs w:val="14"/>
                <w:b w:val="1"/>
                <w:bCs w:val="1"/>
                <w:color w:val="FFFFFF"/>
                <w:w w:val="98"/>
              </w:rPr>
              <w:t>2022</w:t>
            </w:r>
          </w:p>
        </w:tc>
        <w:tc>
          <w:tcPr>
            <w:tcW w:w="20" w:type="dxa"/>
            <w:vAlign w:val="bottom"/>
            <w:shd w:val="clear" w:color="auto" w:fill="004054"/>
          </w:tcPr>
          <w:p>
            <w:pPr>
              <w:spacing w:after="0"/>
              <w:rPr>
                <w:sz w:val="20"/>
                <w:szCs w:val="20"/>
                <w:color w:val="auto"/>
              </w:rPr>
            </w:pPr>
          </w:p>
        </w:tc>
      </w:tr>
      <w:tr>
        <w:trPr>
          <w:trHeight w:val="74"/>
        </w:trPr>
        <w:tc>
          <w:tcPr>
            <w:tcW w:w="8080" w:type="dxa"/>
            <w:vAlign w:val="bottom"/>
            <w:shd w:val="clear" w:color="auto" w:fill="004054"/>
          </w:tcPr>
          <w:p>
            <w:pPr>
              <w:spacing w:after="0"/>
              <w:rPr>
                <w:sz w:val="6"/>
                <w:szCs w:val="6"/>
                <w:color w:val="auto"/>
              </w:rPr>
            </w:pPr>
          </w:p>
        </w:tc>
        <w:tc>
          <w:tcPr>
            <w:tcW w:w="56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56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09"/>
        </w:trPr>
        <w:tc>
          <w:tcPr>
            <w:tcW w:w="80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GAAP revenue</w:t>
            </w:r>
          </w:p>
        </w:tc>
        <w:tc>
          <w:tcPr>
            <w:tcW w:w="560" w:type="dxa"/>
            <w:vAlign w:val="bottom"/>
            <w:tcBorders>
              <w:bottom w:val="single" w:sz="8" w:color="EBFBFF"/>
            </w:tcBorders>
            <w:shd w:val="clear" w:color="auto" w:fill="EBFBFF"/>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1,105.4</w:t>
            </w:r>
          </w:p>
        </w:tc>
        <w:tc>
          <w:tcPr>
            <w:tcW w:w="560" w:type="dxa"/>
            <w:vAlign w:val="bottom"/>
            <w:tcBorders>
              <w:bottom w:val="single" w:sz="8" w:color="EBFBFF"/>
            </w:tcBorders>
            <w:shd w:val="clear" w:color="auto" w:fill="EBFBFF"/>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1,058.1</w:t>
            </w:r>
          </w:p>
        </w:tc>
        <w:tc>
          <w:tcPr>
            <w:tcW w:w="20" w:type="dxa"/>
            <w:vAlign w:val="bottom"/>
          </w:tcPr>
          <w:p>
            <w:pPr>
              <w:spacing w:after="0"/>
              <w:rPr>
                <w:sz w:val="18"/>
                <w:szCs w:val="18"/>
                <w:color w:val="auto"/>
              </w:rPr>
            </w:pPr>
          </w:p>
        </w:tc>
      </w:tr>
      <w:tr>
        <w:trPr>
          <w:trHeight w:val="170"/>
        </w:trPr>
        <w:tc>
          <w:tcPr>
            <w:tcW w:w="8080" w:type="dxa"/>
            <w:vAlign w:val="bottom"/>
          </w:tcPr>
          <w:p>
            <w:pPr>
              <w:ind w:left="20"/>
              <w:spacing w:after="0"/>
              <w:rPr>
                <w:sz w:val="20"/>
                <w:szCs w:val="20"/>
                <w:color w:val="auto"/>
              </w:rPr>
            </w:pPr>
            <w:r>
              <w:rPr>
                <w:rFonts w:ascii="Calibri" w:cs="Calibri" w:eastAsia="Calibri" w:hAnsi="Calibri"/>
                <w:sz w:val="14"/>
                <w:szCs w:val="14"/>
                <w:b w:val="1"/>
                <w:bCs w:val="1"/>
                <w:color w:val="51555C"/>
              </w:rPr>
              <w:t>GAAP revenue growth</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b w:val="1"/>
                <w:bCs w:val="1"/>
                <w:color w:val="51555C"/>
              </w:rPr>
              <w:t>4.5 %</w:t>
            </w: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29"/>
        </w:trPr>
        <w:tc>
          <w:tcPr>
            <w:tcW w:w="8080" w:type="dxa"/>
            <w:vAlign w:val="bottom"/>
            <w:shd w:val="clear" w:color="auto" w:fill="EBFBFF"/>
          </w:tcPr>
          <w:p>
            <w:pPr>
              <w:ind w:left="140"/>
              <w:spacing w:after="0" w:line="216" w:lineRule="exact"/>
              <w:rPr>
                <w:sz w:val="20"/>
                <w:szCs w:val="20"/>
                <w:color w:val="auto"/>
              </w:rPr>
            </w:pPr>
            <w:r>
              <w:rPr>
                <w:rFonts w:ascii="Calibri" w:cs="Calibri" w:eastAsia="Calibri" w:hAnsi="Calibri"/>
                <w:sz w:val="14"/>
                <w:szCs w:val="14"/>
                <w:color w:val="51555C"/>
              </w:rPr>
              <w:t>Less: Non-GAAP revenue from divested businesses</w:t>
            </w:r>
            <w:r>
              <w:rPr>
                <w:rFonts w:ascii="Calibri" w:cs="Calibri" w:eastAsia="Calibri" w:hAnsi="Calibri"/>
                <w:sz w:val="18"/>
                <w:szCs w:val="18"/>
                <w:color w:val="51555C"/>
                <w:vertAlign w:val="superscript"/>
              </w:rPr>
              <w:t>(1)</w:t>
            </w:r>
          </w:p>
        </w:tc>
        <w:tc>
          <w:tcPr>
            <w:tcW w:w="56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w:t>
            </w:r>
          </w:p>
        </w:tc>
        <w:tc>
          <w:tcPr>
            <w:tcW w:w="560" w:type="dxa"/>
            <w:vAlign w:val="bottom"/>
            <w:tcBorders>
              <w:bottom w:val="single" w:sz="8" w:color="51555C"/>
            </w:tcBorders>
            <w:shd w:val="clear" w:color="auto" w:fill="EBFBFF"/>
          </w:tcPr>
          <w:p>
            <w:pPr>
              <w:spacing w:after="0"/>
              <w:rPr>
                <w:sz w:val="19"/>
                <w:szCs w:val="19"/>
                <w:color w:val="auto"/>
              </w:rPr>
            </w:pPr>
          </w:p>
        </w:tc>
        <w:tc>
          <w:tcPr>
            <w:tcW w:w="960" w:type="dxa"/>
            <w:vAlign w:val="bottom"/>
            <w:tcBorders>
              <w:bottom w:val="single" w:sz="8" w:color="51555C"/>
            </w:tcBorders>
            <w:shd w:val="clear" w:color="auto" w:fill="EBFBFF"/>
          </w:tcPr>
          <w:p>
            <w:pPr>
              <w:jc w:val="center"/>
              <w:ind w:left="568"/>
              <w:spacing w:after="0"/>
              <w:rPr>
                <w:sz w:val="20"/>
                <w:szCs w:val="20"/>
                <w:color w:val="auto"/>
              </w:rPr>
            </w:pPr>
            <w:r>
              <w:rPr>
                <w:rFonts w:ascii="Calibri" w:cs="Calibri" w:eastAsia="Calibri" w:hAnsi="Calibri"/>
                <w:sz w:val="14"/>
                <w:szCs w:val="14"/>
                <w:color w:val="51555C"/>
              </w:rPr>
              <w:t>(3.5)</w:t>
            </w:r>
          </w:p>
        </w:tc>
        <w:tc>
          <w:tcPr>
            <w:tcW w:w="20" w:type="dxa"/>
            <w:vAlign w:val="bottom"/>
          </w:tcPr>
          <w:p>
            <w:pPr>
              <w:spacing w:after="0"/>
              <w:rPr>
                <w:sz w:val="19"/>
                <w:szCs w:val="19"/>
                <w:color w:val="auto"/>
              </w:rPr>
            </w:pPr>
          </w:p>
        </w:tc>
      </w:tr>
      <w:tr>
        <w:trPr>
          <w:trHeight w:val="202"/>
        </w:trPr>
        <w:tc>
          <w:tcPr>
            <w:tcW w:w="8080" w:type="dxa"/>
            <w:vAlign w:val="bottom"/>
          </w:tcPr>
          <w:p>
            <w:pPr>
              <w:ind w:left="20"/>
              <w:spacing w:after="0" w:line="202" w:lineRule="exact"/>
              <w:rPr>
                <w:sz w:val="20"/>
                <w:szCs w:val="20"/>
                <w:color w:val="auto"/>
              </w:rPr>
            </w:pPr>
            <w:r>
              <w:rPr>
                <w:rFonts w:ascii="Calibri" w:cs="Calibri" w:eastAsia="Calibri" w:hAnsi="Calibri"/>
                <w:sz w:val="14"/>
                <w:szCs w:val="14"/>
                <w:color w:val="51555C"/>
              </w:rPr>
              <w:t>Non-GAAP organic revenue</w:t>
            </w:r>
            <w:r>
              <w:rPr>
                <w:rFonts w:ascii="Calibri" w:cs="Calibri" w:eastAsia="Calibri" w:hAnsi="Calibri"/>
                <w:sz w:val="18"/>
                <w:szCs w:val="18"/>
                <w:color w:val="51555C"/>
                <w:vertAlign w:val="superscript"/>
              </w:rPr>
              <w:t>(2)</w:t>
            </w:r>
          </w:p>
        </w:tc>
        <w:tc>
          <w:tcPr>
            <w:tcW w:w="560" w:type="dxa"/>
            <w:vAlign w:val="bottom"/>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Pr>
          <w:p>
            <w:pPr>
              <w:jc w:val="right"/>
              <w:ind w:right="108"/>
              <w:spacing w:after="0"/>
              <w:rPr>
                <w:sz w:val="20"/>
                <w:szCs w:val="20"/>
                <w:color w:val="auto"/>
              </w:rPr>
            </w:pPr>
            <w:r>
              <w:rPr>
                <w:rFonts w:ascii="Calibri" w:cs="Calibri" w:eastAsia="Calibri" w:hAnsi="Calibri"/>
                <w:sz w:val="14"/>
                <w:szCs w:val="14"/>
                <w:color w:val="51555C"/>
              </w:rPr>
              <w:t>1,105.4</w:t>
            </w:r>
          </w:p>
        </w:tc>
        <w:tc>
          <w:tcPr>
            <w:tcW w:w="560" w:type="dxa"/>
            <w:vAlign w:val="bottom"/>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1,054.6</w:t>
            </w:r>
          </w:p>
        </w:tc>
        <w:tc>
          <w:tcPr>
            <w:tcW w:w="20" w:type="dxa"/>
            <w:vAlign w:val="bottom"/>
          </w:tcPr>
          <w:p>
            <w:pPr>
              <w:spacing w:after="0"/>
              <w:rPr>
                <w:sz w:val="17"/>
                <w:szCs w:val="17"/>
                <w:color w:val="auto"/>
              </w:rPr>
            </w:pPr>
          </w:p>
        </w:tc>
      </w:tr>
      <w:tr>
        <w:trPr>
          <w:trHeight w:val="21"/>
        </w:trPr>
        <w:tc>
          <w:tcPr>
            <w:tcW w:w="8080" w:type="dxa"/>
            <w:vAlign w:val="bottom"/>
            <w:tcBorders>
              <w:bottom w:val="single" w:sz="8" w:color="EBFBFF"/>
            </w:tcBorders>
          </w:tcPr>
          <w:p>
            <w:pPr>
              <w:spacing w:after="0" w:line="20" w:lineRule="exact"/>
              <w:rPr>
                <w:sz w:val="1"/>
                <w:szCs w:val="1"/>
                <w:color w:val="auto"/>
              </w:rPr>
            </w:pPr>
          </w:p>
        </w:tc>
        <w:tc>
          <w:tcPr>
            <w:tcW w:w="560" w:type="dxa"/>
            <w:vAlign w:val="bottom"/>
            <w:tcBorders>
              <w:bottom w:val="single" w:sz="8" w:color="51555C"/>
            </w:tcBorders>
          </w:tcPr>
          <w:p>
            <w:pPr>
              <w:spacing w:after="0" w:line="20" w:lineRule="exact"/>
              <w:rPr>
                <w:sz w:val="1"/>
                <w:szCs w:val="1"/>
                <w:color w:val="auto"/>
              </w:rPr>
            </w:pPr>
          </w:p>
        </w:tc>
        <w:tc>
          <w:tcPr>
            <w:tcW w:w="1080" w:type="dxa"/>
            <w:vAlign w:val="bottom"/>
            <w:tcBorders>
              <w:bottom w:val="single" w:sz="8" w:color="51555C"/>
            </w:tcBorders>
          </w:tcPr>
          <w:p>
            <w:pPr>
              <w:spacing w:after="0" w:line="20" w:lineRule="exact"/>
              <w:rPr>
                <w:sz w:val="1"/>
                <w:szCs w:val="1"/>
                <w:color w:val="auto"/>
              </w:rPr>
            </w:pPr>
          </w:p>
        </w:tc>
        <w:tc>
          <w:tcPr>
            <w:tcW w:w="560" w:type="dxa"/>
            <w:vAlign w:val="bottom"/>
            <w:tcBorders>
              <w:bottom w:val="single" w:sz="8" w:color="51555C"/>
            </w:tcBorders>
          </w:tcPr>
          <w:p>
            <w:pPr>
              <w:spacing w:after="0" w:line="20" w:lineRule="exact"/>
              <w:rPr>
                <w:sz w:val="1"/>
                <w:szCs w:val="1"/>
                <w:color w:val="auto"/>
              </w:rPr>
            </w:pPr>
          </w:p>
        </w:tc>
        <w:tc>
          <w:tcPr>
            <w:tcW w:w="96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08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revenue growth</w:t>
            </w:r>
          </w:p>
        </w:tc>
        <w:tc>
          <w:tcPr>
            <w:tcW w:w="560" w:type="dxa"/>
            <w:vAlign w:val="bottom"/>
            <w:tcBorders>
              <w:bottom w:val="single" w:sz="8" w:color="EBFBFF"/>
            </w:tcBorders>
            <w:shd w:val="clear" w:color="auto" w:fill="EBFBFF"/>
          </w:tcPr>
          <w:p>
            <w:pPr>
              <w:spacing w:after="0"/>
              <w:rPr>
                <w:sz w:val="17"/>
                <w:szCs w:val="17"/>
                <w:color w:val="auto"/>
              </w:rPr>
            </w:pPr>
          </w:p>
        </w:tc>
        <w:tc>
          <w:tcPr>
            <w:tcW w:w="10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b w:val="1"/>
                <w:bCs w:val="1"/>
                <w:color w:val="51555C"/>
              </w:rPr>
              <w:t>4.8 %</w:t>
            </w:r>
          </w:p>
        </w:tc>
        <w:tc>
          <w:tcPr>
            <w:tcW w:w="560" w:type="dxa"/>
            <w:vAlign w:val="bottom"/>
            <w:tcBorders>
              <w:bottom w:val="single" w:sz="8" w:color="EBFBFF"/>
            </w:tcBorders>
            <w:shd w:val="clear" w:color="auto" w:fill="EBFBFF"/>
          </w:tcPr>
          <w:p>
            <w:pPr>
              <w:spacing w:after="0"/>
              <w:rPr>
                <w:sz w:val="17"/>
                <w:szCs w:val="17"/>
                <w:color w:val="auto"/>
              </w:rPr>
            </w:pPr>
          </w:p>
        </w:tc>
        <w:tc>
          <w:tcPr>
            <w:tcW w:w="96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80" w:type="dxa"/>
            <w:vAlign w:val="bottom"/>
            <w:shd w:val="clear" w:color="auto" w:fill="EBFBFF"/>
          </w:tcPr>
          <w:p>
            <w:pPr>
              <w:ind w:left="20"/>
              <w:spacing w:after="0" w:line="216" w:lineRule="exact"/>
              <w:rPr>
                <w:sz w:val="20"/>
                <w:szCs w:val="20"/>
                <w:color w:val="auto"/>
              </w:rPr>
            </w:pPr>
            <w:r>
              <w:rPr>
                <w:rFonts w:ascii="Calibri" w:cs="Calibri" w:eastAsia="Calibri" w:hAnsi="Calibri"/>
                <w:sz w:val="14"/>
                <w:szCs w:val="14"/>
                <w:color w:val="51555C"/>
              </w:rPr>
              <w:t>Non-GAAP organic revenue</w:t>
            </w:r>
            <w:r>
              <w:rPr>
                <w:rFonts w:ascii="Calibri" w:cs="Calibri" w:eastAsia="Calibri" w:hAnsi="Calibri"/>
                <w:sz w:val="18"/>
                <w:szCs w:val="18"/>
                <w:color w:val="51555C"/>
                <w:vertAlign w:val="superscript"/>
              </w:rPr>
              <w:t>(2)</w:t>
            </w:r>
          </w:p>
        </w:tc>
        <w:tc>
          <w:tcPr>
            <w:tcW w:w="56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08"/>
              <w:spacing w:after="0"/>
              <w:rPr>
                <w:sz w:val="20"/>
                <w:szCs w:val="20"/>
                <w:color w:val="auto"/>
              </w:rPr>
            </w:pPr>
            <w:r>
              <w:rPr>
                <w:rFonts w:ascii="Calibri" w:cs="Calibri" w:eastAsia="Calibri" w:hAnsi="Calibri"/>
                <w:sz w:val="14"/>
                <w:szCs w:val="14"/>
                <w:color w:val="51555C"/>
              </w:rPr>
              <w:t>1,105.4</w:t>
            </w:r>
          </w:p>
        </w:tc>
        <w:tc>
          <w:tcPr>
            <w:tcW w:w="560" w:type="dxa"/>
            <w:vAlign w:val="bottom"/>
            <w:shd w:val="clear" w:color="auto" w:fill="EBFBFF"/>
          </w:tcPr>
          <w:p>
            <w:pPr>
              <w:spacing w:after="0"/>
              <w:rPr>
                <w:sz w:val="19"/>
                <w:szCs w:val="19"/>
                <w:color w:val="auto"/>
              </w:rPr>
            </w:pPr>
          </w:p>
        </w:tc>
        <w:tc>
          <w:tcPr>
            <w:tcW w:w="960" w:type="dxa"/>
            <w:vAlign w:val="bottom"/>
            <w:shd w:val="clear" w:color="auto" w:fill="EBFBFF"/>
          </w:tcPr>
          <w:p>
            <w:pPr>
              <w:jc w:val="right"/>
              <w:spacing w:after="0"/>
              <w:rPr>
                <w:sz w:val="20"/>
                <w:szCs w:val="20"/>
                <w:color w:val="auto"/>
              </w:rPr>
            </w:pPr>
            <w:r>
              <w:rPr>
                <w:rFonts w:ascii="Calibri" w:cs="Calibri" w:eastAsia="Calibri" w:hAnsi="Calibri"/>
                <w:sz w:val="14"/>
                <w:szCs w:val="14"/>
                <w:color w:val="51555C"/>
              </w:rPr>
              <w:t>1,054.6</w:t>
            </w:r>
          </w:p>
        </w:tc>
        <w:tc>
          <w:tcPr>
            <w:tcW w:w="20" w:type="dxa"/>
            <w:vAlign w:val="bottom"/>
          </w:tcPr>
          <w:p>
            <w:pPr>
              <w:spacing w:after="0"/>
              <w:rPr>
                <w:sz w:val="19"/>
                <w:szCs w:val="19"/>
                <w:color w:val="auto"/>
              </w:rPr>
            </w:pPr>
          </w:p>
        </w:tc>
      </w:tr>
      <w:tr>
        <w:trPr>
          <w:trHeight w:val="223"/>
        </w:trPr>
        <w:tc>
          <w:tcPr>
            <w:tcW w:w="8080" w:type="dxa"/>
            <w:vAlign w:val="bottom"/>
            <w:tcBorders>
              <w:bottom w:val="single" w:sz="8" w:color="EBFBFF"/>
            </w:tcBorders>
          </w:tcPr>
          <w:p>
            <w:pPr>
              <w:ind w:left="20"/>
              <w:spacing w:after="0" w:line="216" w:lineRule="exact"/>
              <w:rPr>
                <w:sz w:val="20"/>
                <w:szCs w:val="20"/>
                <w:color w:val="auto"/>
              </w:rPr>
            </w:pPr>
            <w:r>
              <w:rPr>
                <w:rFonts w:ascii="Calibri" w:cs="Calibri" w:eastAsia="Calibri" w:hAnsi="Calibri"/>
                <w:sz w:val="14"/>
                <w:szCs w:val="14"/>
                <w:color w:val="51555C"/>
              </w:rPr>
              <w:t>Foreign currency impact on Non-GAAP organic revenue</w:t>
            </w:r>
            <w:r>
              <w:rPr>
                <w:rFonts w:ascii="Calibri" w:cs="Calibri" w:eastAsia="Calibri" w:hAnsi="Calibri"/>
                <w:sz w:val="18"/>
                <w:szCs w:val="18"/>
                <w:color w:val="51555C"/>
                <w:vertAlign w:val="superscript"/>
              </w:rPr>
              <w:t>(3)</w:t>
            </w:r>
          </w:p>
        </w:tc>
        <w:tc>
          <w:tcPr>
            <w:tcW w:w="5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108"/>
              <w:spacing w:after="0"/>
              <w:rPr>
                <w:sz w:val="20"/>
                <w:szCs w:val="20"/>
                <w:color w:val="auto"/>
              </w:rPr>
            </w:pPr>
            <w:r>
              <w:rPr>
                <w:rFonts w:ascii="Calibri" w:cs="Calibri" w:eastAsia="Calibri" w:hAnsi="Calibri"/>
                <w:sz w:val="14"/>
                <w:szCs w:val="14"/>
                <w:color w:val="51555C"/>
              </w:rPr>
              <w:t>0.4</w:t>
            </w:r>
          </w:p>
        </w:tc>
        <w:tc>
          <w:tcPr>
            <w:tcW w:w="560" w:type="dxa"/>
            <w:vAlign w:val="bottom"/>
            <w:tcBorders>
              <w:bottom w:val="single" w:sz="8" w:color="51555C"/>
            </w:tcBorders>
          </w:tcPr>
          <w:p>
            <w:pPr>
              <w:spacing w:after="0"/>
              <w:rPr>
                <w:sz w:val="19"/>
                <w:szCs w:val="19"/>
                <w:color w:val="auto"/>
              </w:rPr>
            </w:pPr>
          </w:p>
        </w:tc>
        <w:tc>
          <w:tcPr>
            <w:tcW w:w="960" w:type="dxa"/>
            <w:vAlign w:val="bottom"/>
            <w:tcBorders>
              <w:bottom w:val="single" w:sz="8" w:color="51555C"/>
            </w:tcBorders>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19"/>
                <w:szCs w:val="19"/>
                <w:color w:val="auto"/>
              </w:rPr>
            </w:pPr>
          </w:p>
        </w:tc>
      </w:tr>
      <w:tr>
        <w:trPr>
          <w:trHeight w:val="230"/>
        </w:trPr>
        <w:tc>
          <w:tcPr>
            <w:tcW w:w="8080" w:type="dxa"/>
            <w:vAlign w:val="bottom"/>
            <w:tcBorders>
              <w:bottom w:val="single" w:sz="8" w:color="EBFBFF"/>
            </w:tcBorders>
            <w:shd w:val="clear" w:color="auto" w:fill="EBFBFF"/>
          </w:tcPr>
          <w:p>
            <w:pPr>
              <w:ind w:left="20"/>
              <w:spacing w:after="0" w:line="208" w:lineRule="exact"/>
              <w:rPr>
                <w:sz w:val="20"/>
                <w:szCs w:val="20"/>
                <w:color w:val="auto"/>
              </w:rPr>
            </w:pPr>
            <w:r>
              <w:rPr>
                <w:rFonts w:ascii="Calibri" w:cs="Calibri" w:eastAsia="Calibri" w:hAnsi="Calibri"/>
                <w:sz w:val="14"/>
                <w:szCs w:val="14"/>
                <w:color w:val="51555C"/>
              </w:rPr>
              <w:t>Non-GAAP organic revenue on constant currency basis</w:t>
            </w:r>
            <w:r>
              <w:rPr>
                <w:rFonts w:ascii="Calibri" w:cs="Calibri" w:eastAsia="Calibri" w:hAnsi="Calibri"/>
                <w:sz w:val="18"/>
                <w:szCs w:val="18"/>
                <w:color w:val="51555C"/>
                <w:vertAlign w:val="superscript"/>
              </w:rPr>
              <w:t>(3)</w:t>
            </w:r>
          </w:p>
        </w:tc>
        <w:tc>
          <w:tcPr>
            <w:tcW w:w="560" w:type="dxa"/>
            <w:vAlign w:val="bottom"/>
            <w:tcBorders>
              <w:bottom w:val="single" w:sz="8" w:color="EBFBFF"/>
            </w:tcBorders>
            <w:shd w:val="clear" w:color="auto" w:fill="EBFBFF"/>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1,105.9</w:t>
            </w:r>
          </w:p>
        </w:tc>
        <w:tc>
          <w:tcPr>
            <w:tcW w:w="560" w:type="dxa"/>
            <w:vAlign w:val="bottom"/>
            <w:tcBorders>
              <w:bottom w:val="single" w:sz="8" w:color="EBFBFF"/>
            </w:tcBorders>
            <w:shd w:val="clear" w:color="auto" w:fill="EBFBFF"/>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1,054.6</w:t>
            </w:r>
          </w:p>
        </w:tc>
        <w:tc>
          <w:tcPr>
            <w:tcW w:w="20" w:type="dxa"/>
            <w:vAlign w:val="bottom"/>
          </w:tcPr>
          <w:p>
            <w:pPr>
              <w:spacing w:after="0"/>
              <w:rPr>
                <w:sz w:val="19"/>
                <w:szCs w:val="19"/>
                <w:color w:val="auto"/>
              </w:rPr>
            </w:pPr>
          </w:p>
        </w:tc>
      </w:tr>
      <w:tr>
        <w:trPr>
          <w:trHeight w:val="163"/>
        </w:trPr>
        <w:tc>
          <w:tcPr>
            <w:tcW w:w="8080" w:type="dxa"/>
            <w:vAlign w:val="bottom"/>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revenue growth on constant currency basis</w:t>
            </w:r>
          </w:p>
        </w:tc>
        <w:tc>
          <w:tcPr>
            <w:tcW w:w="560" w:type="dxa"/>
            <w:vAlign w:val="bottom"/>
            <w:tcBorders>
              <w:top w:val="single" w:sz="8" w:color="51555C"/>
            </w:tcBorders>
          </w:tcPr>
          <w:p>
            <w:pPr>
              <w:spacing w:after="0"/>
              <w:rPr>
                <w:sz w:val="14"/>
                <w:szCs w:val="14"/>
                <w:color w:val="auto"/>
              </w:rPr>
            </w:pPr>
          </w:p>
        </w:tc>
        <w:tc>
          <w:tcPr>
            <w:tcW w:w="108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b w:val="1"/>
                <w:bCs w:val="1"/>
                <w:color w:val="51555C"/>
              </w:rPr>
              <w:t>4.9 %</w:t>
            </w:r>
          </w:p>
        </w:tc>
        <w:tc>
          <w:tcPr>
            <w:tcW w:w="560" w:type="dxa"/>
            <w:vAlign w:val="bottom"/>
            <w:tcBorders>
              <w:top w:val="single" w:sz="8" w:color="51555C"/>
            </w:tcBorders>
          </w:tcPr>
          <w:p>
            <w:pPr>
              <w:spacing w:after="0"/>
              <w:rPr>
                <w:sz w:val="14"/>
                <w:szCs w:val="14"/>
                <w:color w:val="auto"/>
              </w:rPr>
            </w:pPr>
          </w:p>
        </w:tc>
        <w:tc>
          <w:tcPr>
            <w:tcW w:w="960" w:type="dxa"/>
            <w:vAlign w:val="bottom"/>
            <w:tcBorders>
              <w:top w:val="single" w:sz="8" w:color="51555C"/>
            </w:tcBorders>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8080" w:type="dxa"/>
            <w:vAlign w:val="bottom"/>
            <w:shd w:val="clear" w:color="auto" w:fill="EBFBFF"/>
          </w:tcPr>
          <w:p>
            <w:pPr>
              <w:spacing w:after="0"/>
              <w:rPr>
                <w:sz w:val="18"/>
                <w:szCs w:val="18"/>
                <w:color w:val="auto"/>
              </w:rPr>
            </w:pPr>
          </w:p>
        </w:tc>
        <w:tc>
          <w:tcPr>
            <w:tcW w:w="560" w:type="dxa"/>
            <w:vAlign w:val="bottom"/>
            <w:shd w:val="clear" w:color="auto" w:fill="EBFBFF"/>
          </w:tcPr>
          <w:p>
            <w:pPr>
              <w:spacing w:after="0"/>
              <w:rPr>
                <w:sz w:val="18"/>
                <w:szCs w:val="18"/>
                <w:color w:val="auto"/>
              </w:rPr>
            </w:pPr>
          </w:p>
        </w:tc>
        <w:tc>
          <w:tcPr>
            <w:tcW w:w="1080" w:type="dxa"/>
            <w:vAlign w:val="bottom"/>
            <w:shd w:val="clear" w:color="auto" w:fill="EBFBFF"/>
          </w:tcPr>
          <w:p>
            <w:pPr>
              <w:spacing w:after="0"/>
              <w:rPr>
                <w:sz w:val="18"/>
                <w:szCs w:val="18"/>
                <w:color w:val="auto"/>
              </w:rPr>
            </w:pPr>
          </w:p>
        </w:tc>
        <w:tc>
          <w:tcPr>
            <w:tcW w:w="560" w:type="dxa"/>
            <w:vAlign w:val="bottom"/>
            <w:shd w:val="clear" w:color="auto" w:fill="EBFBFF"/>
          </w:tcPr>
          <w:p>
            <w:pPr>
              <w:spacing w:after="0"/>
              <w:rPr>
                <w:sz w:val="18"/>
                <w:szCs w:val="18"/>
                <w:color w:val="auto"/>
              </w:rPr>
            </w:pPr>
          </w:p>
        </w:tc>
        <w:tc>
          <w:tcPr>
            <w:tcW w:w="96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170"/>
        </w:trPr>
        <w:tc>
          <w:tcPr>
            <w:tcW w:w="8080" w:type="dxa"/>
            <w:vAlign w:val="bottom"/>
          </w:tcPr>
          <w:p>
            <w:pPr>
              <w:ind w:left="20"/>
              <w:spacing w:after="0"/>
              <w:rPr>
                <w:sz w:val="20"/>
                <w:szCs w:val="20"/>
                <w:color w:val="auto"/>
              </w:rPr>
            </w:pPr>
            <w:r>
              <w:rPr>
                <w:rFonts w:ascii="Calibri" w:cs="Calibri" w:eastAsia="Calibri" w:hAnsi="Calibri"/>
                <w:sz w:val="14"/>
                <w:szCs w:val="14"/>
                <w:color w:val="51555C"/>
              </w:rPr>
              <w:t>GAAP recurring revenue</w:t>
            </w:r>
          </w:p>
        </w:tc>
        <w:tc>
          <w:tcPr>
            <w:tcW w:w="560" w:type="dxa"/>
            <w:vAlign w:val="bottom"/>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Pr>
          <w:p>
            <w:pPr>
              <w:jc w:val="right"/>
              <w:ind w:right="108"/>
              <w:spacing w:after="0"/>
              <w:rPr>
                <w:sz w:val="20"/>
                <w:szCs w:val="20"/>
                <w:color w:val="auto"/>
              </w:rPr>
            </w:pPr>
            <w:r>
              <w:rPr>
                <w:rFonts w:ascii="Calibri" w:cs="Calibri" w:eastAsia="Calibri" w:hAnsi="Calibri"/>
                <w:sz w:val="14"/>
                <w:szCs w:val="14"/>
                <w:color w:val="51555C"/>
              </w:rPr>
              <w:t>1,071.5</w:t>
            </w:r>
          </w:p>
        </w:tc>
        <w:tc>
          <w:tcPr>
            <w:tcW w:w="560" w:type="dxa"/>
            <w:vAlign w:val="bottom"/>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1,011.7</w:t>
            </w: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0"/>
        </w:trPr>
        <w:tc>
          <w:tcPr>
            <w:tcW w:w="80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recurring revenue growth</w:t>
            </w:r>
          </w:p>
        </w:tc>
        <w:tc>
          <w:tcPr>
            <w:tcW w:w="5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b w:val="1"/>
                <w:bCs w:val="1"/>
                <w:color w:val="51555C"/>
              </w:rPr>
              <w:t>5.9 %</w:t>
            </w:r>
          </w:p>
        </w:tc>
        <w:tc>
          <w:tcPr>
            <w:tcW w:w="560" w:type="dxa"/>
            <w:vAlign w:val="bottom"/>
            <w:tcBorders>
              <w:bottom w:val="single" w:sz="8" w:color="EBFBFF"/>
            </w:tcBorders>
            <w:shd w:val="clear" w:color="auto" w:fill="EBFBFF"/>
          </w:tcPr>
          <w:p>
            <w:pPr>
              <w:spacing w:after="0"/>
              <w:rPr>
                <w:sz w:val="18"/>
                <w:szCs w:val="18"/>
                <w:color w:val="auto"/>
              </w:rPr>
            </w:pPr>
          </w:p>
        </w:tc>
        <w:tc>
          <w:tcPr>
            <w:tcW w:w="96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8080" w:type="dxa"/>
            <w:vAlign w:val="bottom"/>
            <w:tcBorders>
              <w:bottom w:val="single" w:sz="8" w:color="EBFBFF"/>
            </w:tcBorders>
          </w:tcPr>
          <w:p>
            <w:pPr>
              <w:ind w:left="140"/>
              <w:spacing w:after="0" w:line="216" w:lineRule="exact"/>
              <w:rPr>
                <w:sz w:val="20"/>
                <w:szCs w:val="20"/>
                <w:color w:val="auto"/>
              </w:rPr>
            </w:pPr>
            <w:r>
              <w:rPr>
                <w:rFonts w:ascii="Calibri" w:cs="Calibri" w:eastAsia="Calibri" w:hAnsi="Calibri"/>
                <w:sz w:val="14"/>
                <w:szCs w:val="14"/>
                <w:color w:val="51555C"/>
              </w:rPr>
              <w:t>Less: Non-GAAP recurring revenue from divested businesses</w:t>
            </w:r>
            <w:r>
              <w:rPr>
                <w:rFonts w:ascii="Calibri" w:cs="Calibri" w:eastAsia="Calibri" w:hAnsi="Calibri"/>
                <w:sz w:val="18"/>
                <w:szCs w:val="18"/>
                <w:color w:val="51555C"/>
                <w:vertAlign w:val="superscript"/>
              </w:rPr>
              <w:t>(1)</w:t>
            </w:r>
          </w:p>
        </w:tc>
        <w:tc>
          <w:tcPr>
            <w:tcW w:w="5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108"/>
              <w:spacing w:after="0"/>
              <w:rPr>
                <w:sz w:val="20"/>
                <w:szCs w:val="20"/>
                <w:color w:val="auto"/>
              </w:rPr>
            </w:pPr>
            <w:r>
              <w:rPr>
                <w:rFonts w:ascii="Calibri" w:cs="Calibri" w:eastAsia="Calibri" w:hAnsi="Calibri"/>
                <w:sz w:val="14"/>
                <w:szCs w:val="14"/>
                <w:color w:val="51555C"/>
              </w:rPr>
              <w:t>—</w:t>
            </w:r>
          </w:p>
        </w:tc>
        <w:tc>
          <w:tcPr>
            <w:tcW w:w="560" w:type="dxa"/>
            <w:vAlign w:val="bottom"/>
            <w:tcBorders>
              <w:bottom w:val="single" w:sz="8" w:color="51555C"/>
            </w:tcBorders>
          </w:tcPr>
          <w:p>
            <w:pPr>
              <w:spacing w:after="0"/>
              <w:rPr>
                <w:sz w:val="19"/>
                <w:szCs w:val="19"/>
                <w:color w:val="auto"/>
              </w:rPr>
            </w:pPr>
          </w:p>
        </w:tc>
        <w:tc>
          <w:tcPr>
            <w:tcW w:w="960" w:type="dxa"/>
            <w:vAlign w:val="bottom"/>
            <w:tcBorders>
              <w:bottom w:val="single" w:sz="8" w:color="51555C"/>
            </w:tcBorders>
          </w:tcPr>
          <w:p>
            <w:pPr>
              <w:jc w:val="center"/>
              <w:ind w:left="568"/>
              <w:spacing w:after="0"/>
              <w:rPr>
                <w:sz w:val="20"/>
                <w:szCs w:val="20"/>
                <w:color w:val="auto"/>
              </w:rPr>
            </w:pPr>
            <w:r>
              <w:rPr>
                <w:rFonts w:ascii="Calibri" w:cs="Calibri" w:eastAsia="Calibri" w:hAnsi="Calibri"/>
                <w:sz w:val="14"/>
                <w:szCs w:val="14"/>
                <w:color w:val="51555C"/>
              </w:rPr>
              <w:t>(3.4)</w:t>
            </w:r>
          </w:p>
        </w:tc>
        <w:tc>
          <w:tcPr>
            <w:tcW w:w="20" w:type="dxa"/>
            <w:vAlign w:val="bottom"/>
          </w:tcPr>
          <w:p>
            <w:pPr>
              <w:spacing w:after="0"/>
              <w:rPr>
                <w:sz w:val="19"/>
                <w:szCs w:val="19"/>
                <w:color w:val="auto"/>
              </w:rPr>
            </w:pPr>
          </w:p>
        </w:tc>
      </w:tr>
      <w:tr>
        <w:trPr>
          <w:trHeight w:val="229"/>
        </w:trPr>
        <w:tc>
          <w:tcPr>
            <w:tcW w:w="8080" w:type="dxa"/>
            <w:vAlign w:val="bottom"/>
            <w:tcBorders>
              <w:bottom w:val="single" w:sz="8" w:color="EBFBFF"/>
            </w:tcBorders>
            <w:shd w:val="clear" w:color="auto" w:fill="EBFBFF"/>
          </w:tcPr>
          <w:p>
            <w:pPr>
              <w:ind w:left="20"/>
              <w:spacing w:after="0" w:line="169" w:lineRule="exact"/>
              <w:rPr>
                <w:sz w:val="20"/>
                <w:szCs w:val="20"/>
                <w:color w:val="auto"/>
              </w:rPr>
            </w:pPr>
            <w:r>
              <w:rPr>
                <w:rFonts w:ascii="Calibri" w:cs="Calibri" w:eastAsia="Calibri" w:hAnsi="Calibri"/>
                <w:sz w:val="14"/>
                <w:szCs w:val="14"/>
                <w:color w:val="51555C"/>
              </w:rPr>
              <w:t>Non-GAAP organic recurring revenue</w:t>
            </w:r>
          </w:p>
        </w:tc>
        <w:tc>
          <w:tcPr>
            <w:tcW w:w="560" w:type="dxa"/>
            <w:vAlign w:val="bottom"/>
            <w:tcBorders>
              <w:bottom w:val="single" w:sz="8" w:color="EBFBFF"/>
            </w:tcBorders>
            <w:shd w:val="clear" w:color="auto" w:fill="EBFBFF"/>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1,071.5</w:t>
            </w:r>
          </w:p>
        </w:tc>
        <w:tc>
          <w:tcPr>
            <w:tcW w:w="560" w:type="dxa"/>
            <w:vAlign w:val="bottom"/>
            <w:tcBorders>
              <w:bottom w:val="single" w:sz="8" w:color="EBFBFF"/>
            </w:tcBorders>
            <w:shd w:val="clear" w:color="auto" w:fill="EBFBFF"/>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1,008.3</w:t>
            </w:r>
          </w:p>
        </w:tc>
        <w:tc>
          <w:tcPr>
            <w:tcW w:w="20" w:type="dxa"/>
            <w:vAlign w:val="bottom"/>
          </w:tcPr>
          <w:p>
            <w:pPr>
              <w:spacing w:after="0"/>
              <w:rPr>
                <w:sz w:val="19"/>
                <w:szCs w:val="19"/>
                <w:color w:val="auto"/>
              </w:rPr>
            </w:pPr>
          </w:p>
        </w:tc>
      </w:tr>
      <w:tr>
        <w:trPr>
          <w:trHeight w:val="163"/>
        </w:trPr>
        <w:tc>
          <w:tcPr>
            <w:tcW w:w="8080" w:type="dxa"/>
            <w:vAlign w:val="bottom"/>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recurring revenue growth</w:t>
            </w:r>
          </w:p>
        </w:tc>
        <w:tc>
          <w:tcPr>
            <w:tcW w:w="560" w:type="dxa"/>
            <w:vAlign w:val="bottom"/>
            <w:tcBorders>
              <w:top w:val="single" w:sz="8" w:color="51555C"/>
            </w:tcBorders>
          </w:tcPr>
          <w:p>
            <w:pPr>
              <w:spacing w:after="0"/>
              <w:rPr>
                <w:sz w:val="14"/>
                <w:szCs w:val="14"/>
                <w:color w:val="auto"/>
              </w:rPr>
            </w:pPr>
          </w:p>
        </w:tc>
        <w:tc>
          <w:tcPr>
            <w:tcW w:w="1080" w:type="dxa"/>
            <w:vAlign w:val="bottom"/>
            <w:tcBorders>
              <w:top w:val="single" w:sz="8" w:color="51555C"/>
            </w:tcBorders>
          </w:tcPr>
          <w:p>
            <w:pPr>
              <w:jc w:val="right"/>
              <w:spacing w:after="0" w:line="164" w:lineRule="exact"/>
              <w:rPr>
                <w:sz w:val="20"/>
                <w:szCs w:val="20"/>
                <w:color w:val="auto"/>
              </w:rPr>
            </w:pPr>
            <w:r>
              <w:rPr>
                <w:rFonts w:ascii="Calibri" w:cs="Calibri" w:eastAsia="Calibri" w:hAnsi="Calibri"/>
                <w:sz w:val="14"/>
                <w:szCs w:val="14"/>
                <w:b w:val="1"/>
                <w:bCs w:val="1"/>
                <w:color w:val="51555C"/>
              </w:rPr>
              <w:t>6.3 %</w:t>
            </w:r>
          </w:p>
        </w:tc>
        <w:tc>
          <w:tcPr>
            <w:tcW w:w="560" w:type="dxa"/>
            <w:vAlign w:val="bottom"/>
            <w:tcBorders>
              <w:top w:val="single" w:sz="8" w:color="51555C"/>
            </w:tcBorders>
          </w:tcPr>
          <w:p>
            <w:pPr>
              <w:spacing w:after="0"/>
              <w:rPr>
                <w:sz w:val="14"/>
                <w:szCs w:val="14"/>
                <w:color w:val="auto"/>
              </w:rPr>
            </w:pPr>
          </w:p>
        </w:tc>
        <w:tc>
          <w:tcPr>
            <w:tcW w:w="960" w:type="dxa"/>
            <w:vAlign w:val="bottom"/>
            <w:tcBorders>
              <w:top w:val="single" w:sz="8" w:color="51555C"/>
            </w:tcBorders>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8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8080" w:type="dxa"/>
            <w:vAlign w:val="bottom"/>
            <w:shd w:val="clear" w:color="auto" w:fill="EBFBFF"/>
          </w:tcPr>
          <w:p>
            <w:pPr>
              <w:spacing w:after="0"/>
              <w:rPr>
                <w:sz w:val="18"/>
                <w:szCs w:val="18"/>
                <w:color w:val="auto"/>
              </w:rPr>
            </w:pPr>
          </w:p>
        </w:tc>
        <w:tc>
          <w:tcPr>
            <w:tcW w:w="560" w:type="dxa"/>
            <w:vAlign w:val="bottom"/>
            <w:shd w:val="clear" w:color="auto" w:fill="EBFBFF"/>
          </w:tcPr>
          <w:p>
            <w:pPr>
              <w:spacing w:after="0"/>
              <w:rPr>
                <w:sz w:val="18"/>
                <w:szCs w:val="18"/>
                <w:color w:val="auto"/>
              </w:rPr>
            </w:pPr>
          </w:p>
        </w:tc>
        <w:tc>
          <w:tcPr>
            <w:tcW w:w="1080" w:type="dxa"/>
            <w:vAlign w:val="bottom"/>
            <w:shd w:val="clear" w:color="auto" w:fill="EBFBFF"/>
          </w:tcPr>
          <w:p>
            <w:pPr>
              <w:spacing w:after="0"/>
              <w:rPr>
                <w:sz w:val="18"/>
                <w:szCs w:val="18"/>
                <w:color w:val="auto"/>
              </w:rPr>
            </w:pPr>
          </w:p>
        </w:tc>
        <w:tc>
          <w:tcPr>
            <w:tcW w:w="560" w:type="dxa"/>
            <w:vAlign w:val="bottom"/>
            <w:shd w:val="clear" w:color="auto" w:fill="EBFBFF"/>
          </w:tcPr>
          <w:p>
            <w:pPr>
              <w:spacing w:after="0"/>
              <w:rPr>
                <w:sz w:val="18"/>
                <w:szCs w:val="18"/>
                <w:color w:val="auto"/>
              </w:rPr>
            </w:pPr>
          </w:p>
        </w:tc>
        <w:tc>
          <w:tcPr>
            <w:tcW w:w="96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080" w:type="dxa"/>
            <w:vAlign w:val="bottom"/>
          </w:tcPr>
          <w:p>
            <w:pPr>
              <w:ind w:left="20"/>
              <w:spacing w:after="0" w:line="216" w:lineRule="exact"/>
              <w:rPr>
                <w:sz w:val="20"/>
                <w:szCs w:val="20"/>
                <w:color w:val="auto"/>
              </w:rPr>
            </w:pPr>
            <w:r>
              <w:rPr>
                <w:rFonts w:ascii="Calibri" w:cs="Calibri" w:eastAsia="Calibri" w:hAnsi="Calibri"/>
                <w:sz w:val="14"/>
                <w:szCs w:val="14"/>
                <w:color w:val="51555C"/>
              </w:rPr>
              <w:t>Non-GAAP organic recurring revenue</w:t>
            </w:r>
            <w:r>
              <w:rPr>
                <w:rFonts w:ascii="Calibri" w:cs="Calibri" w:eastAsia="Calibri" w:hAnsi="Calibri"/>
                <w:sz w:val="18"/>
                <w:szCs w:val="18"/>
                <w:color w:val="51555C"/>
                <w:vertAlign w:val="superscript"/>
              </w:rPr>
              <w:t>(2)</w:t>
            </w:r>
          </w:p>
        </w:tc>
        <w:tc>
          <w:tcPr>
            <w:tcW w:w="560" w:type="dxa"/>
            <w:vAlign w:val="bottom"/>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Pr>
          <w:p>
            <w:pPr>
              <w:jc w:val="right"/>
              <w:ind w:right="108"/>
              <w:spacing w:after="0"/>
              <w:rPr>
                <w:sz w:val="20"/>
                <w:szCs w:val="20"/>
                <w:color w:val="auto"/>
              </w:rPr>
            </w:pPr>
            <w:r>
              <w:rPr>
                <w:rFonts w:ascii="Calibri" w:cs="Calibri" w:eastAsia="Calibri" w:hAnsi="Calibri"/>
                <w:sz w:val="14"/>
                <w:szCs w:val="14"/>
                <w:color w:val="51555C"/>
              </w:rPr>
              <w:t>1,071.5</w:t>
            </w:r>
          </w:p>
        </w:tc>
        <w:tc>
          <w:tcPr>
            <w:tcW w:w="560" w:type="dxa"/>
            <w:vAlign w:val="bottom"/>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1,008.3</w:t>
            </w:r>
          </w:p>
        </w:tc>
        <w:tc>
          <w:tcPr>
            <w:tcW w:w="20" w:type="dxa"/>
            <w:vAlign w:val="bottom"/>
          </w:tcPr>
          <w:p>
            <w:pPr>
              <w:spacing w:after="0"/>
              <w:rPr>
                <w:sz w:val="19"/>
                <w:szCs w:val="19"/>
                <w:color w:val="auto"/>
              </w:rPr>
            </w:pPr>
          </w:p>
        </w:tc>
      </w:tr>
      <w:tr>
        <w:trPr>
          <w:trHeight w:val="237"/>
        </w:trPr>
        <w:tc>
          <w:tcPr>
            <w:tcW w:w="8080" w:type="dxa"/>
            <w:vAlign w:val="bottom"/>
            <w:shd w:val="clear" w:color="auto" w:fill="EBFBFF"/>
          </w:tcPr>
          <w:p>
            <w:pPr>
              <w:ind w:left="20"/>
              <w:spacing w:after="0"/>
              <w:rPr>
                <w:sz w:val="20"/>
                <w:szCs w:val="20"/>
                <w:color w:val="auto"/>
              </w:rPr>
            </w:pPr>
            <w:r>
              <w:rPr>
                <w:rFonts w:ascii="Calibri" w:cs="Calibri" w:eastAsia="Calibri" w:hAnsi="Calibri"/>
                <w:sz w:val="14"/>
                <w:szCs w:val="14"/>
                <w:color w:val="51555C"/>
              </w:rPr>
              <w:t>Foreign currency impact on non-GAAP organic recurring revenue</w:t>
            </w:r>
            <w:r>
              <w:rPr>
                <w:rFonts w:ascii="Calibri" w:cs="Calibri" w:eastAsia="Calibri" w:hAnsi="Calibri"/>
                <w:sz w:val="18"/>
                <w:szCs w:val="18"/>
                <w:color w:val="51555C"/>
                <w:vertAlign w:val="superscript"/>
              </w:rPr>
              <w:t>(3)</w:t>
            </w:r>
          </w:p>
        </w:tc>
        <w:tc>
          <w:tcPr>
            <w:tcW w:w="560" w:type="dxa"/>
            <w:vAlign w:val="bottom"/>
            <w:tcBorders>
              <w:bottom w:val="single" w:sz="8" w:color="51555C"/>
            </w:tcBorders>
            <w:shd w:val="clear" w:color="auto" w:fill="EBFBFF"/>
          </w:tcPr>
          <w:p>
            <w:pPr>
              <w:spacing w:after="0"/>
              <w:rPr>
                <w:sz w:val="20"/>
                <w:szCs w:val="20"/>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0.5</w:t>
            </w:r>
          </w:p>
        </w:tc>
        <w:tc>
          <w:tcPr>
            <w:tcW w:w="560" w:type="dxa"/>
            <w:vAlign w:val="bottom"/>
            <w:tcBorders>
              <w:bottom w:val="single" w:sz="8" w:color="51555C"/>
            </w:tcBorders>
            <w:shd w:val="clear" w:color="auto" w:fill="EBFBFF"/>
          </w:tcPr>
          <w:p>
            <w:pPr>
              <w:spacing w:after="0"/>
              <w:rPr>
                <w:sz w:val="20"/>
                <w:szCs w:val="20"/>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4"/>
                <w:szCs w:val="14"/>
                <w:color w:val="51555C"/>
              </w:rPr>
              <w:t>—</w:t>
            </w:r>
          </w:p>
        </w:tc>
        <w:tc>
          <w:tcPr>
            <w:tcW w:w="20" w:type="dxa"/>
            <w:vAlign w:val="bottom"/>
          </w:tcPr>
          <w:p>
            <w:pPr>
              <w:spacing w:after="0"/>
              <w:rPr>
                <w:sz w:val="20"/>
                <w:szCs w:val="20"/>
                <w:color w:val="auto"/>
              </w:rPr>
            </w:pPr>
          </w:p>
        </w:tc>
      </w:tr>
      <w:tr>
        <w:trPr>
          <w:trHeight w:val="202"/>
        </w:trPr>
        <w:tc>
          <w:tcPr>
            <w:tcW w:w="8080" w:type="dxa"/>
            <w:vAlign w:val="bottom"/>
          </w:tcPr>
          <w:p>
            <w:pPr>
              <w:ind w:left="20"/>
              <w:spacing w:after="0" w:line="202" w:lineRule="exact"/>
              <w:rPr>
                <w:sz w:val="20"/>
                <w:szCs w:val="20"/>
                <w:color w:val="auto"/>
              </w:rPr>
            </w:pPr>
            <w:r>
              <w:rPr>
                <w:rFonts w:ascii="Calibri" w:cs="Calibri" w:eastAsia="Calibri" w:hAnsi="Calibri"/>
                <w:sz w:val="14"/>
                <w:szCs w:val="14"/>
                <w:color w:val="51555C"/>
              </w:rPr>
              <w:t>Non-GAAP organic recurring revenue on constant currency basis</w:t>
            </w:r>
            <w:r>
              <w:rPr>
                <w:rFonts w:ascii="Calibri" w:cs="Calibri" w:eastAsia="Calibri" w:hAnsi="Calibri"/>
                <w:sz w:val="18"/>
                <w:szCs w:val="18"/>
                <w:color w:val="51555C"/>
                <w:vertAlign w:val="superscript"/>
              </w:rPr>
              <w:t>(3)</w:t>
            </w:r>
          </w:p>
        </w:tc>
        <w:tc>
          <w:tcPr>
            <w:tcW w:w="560" w:type="dxa"/>
            <w:vAlign w:val="bottom"/>
          </w:tcPr>
          <w:p>
            <w:pPr>
              <w:jc w:val="right"/>
              <w:ind w:right="388"/>
              <w:spacing w:after="0"/>
              <w:rPr>
                <w:sz w:val="20"/>
                <w:szCs w:val="20"/>
                <w:color w:val="auto"/>
              </w:rPr>
            </w:pPr>
            <w:r>
              <w:rPr>
                <w:rFonts w:ascii="Calibri" w:cs="Calibri" w:eastAsia="Calibri" w:hAnsi="Calibri"/>
                <w:sz w:val="14"/>
                <w:szCs w:val="14"/>
                <w:color w:val="51555C"/>
              </w:rPr>
              <w:t>$</w:t>
            </w:r>
          </w:p>
        </w:tc>
        <w:tc>
          <w:tcPr>
            <w:tcW w:w="1080" w:type="dxa"/>
            <w:vAlign w:val="bottom"/>
          </w:tcPr>
          <w:p>
            <w:pPr>
              <w:jc w:val="right"/>
              <w:ind w:right="108"/>
              <w:spacing w:after="0"/>
              <w:rPr>
                <w:sz w:val="20"/>
                <w:szCs w:val="20"/>
                <w:color w:val="auto"/>
              </w:rPr>
            </w:pPr>
            <w:r>
              <w:rPr>
                <w:rFonts w:ascii="Calibri" w:cs="Calibri" w:eastAsia="Calibri" w:hAnsi="Calibri"/>
                <w:sz w:val="14"/>
                <w:szCs w:val="14"/>
                <w:color w:val="51555C"/>
              </w:rPr>
              <w:t>1,072.0</w:t>
            </w:r>
          </w:p>
        </w:tc>
        <w:tc>
          <w:tcPr>
            <w:tcW w:w="560" w:type="dxa"/>
            <w:vAlign w:val="bottom"/>
          </w:tcPr>
          <w:p>
            <w:pPr>
              <w:jc w:val="right"/>
              <w:ind w:right="408"/>
              <w:spacing w:after="0"/>
              <w:rPr>
                <w:sz w:val="20"/>
                <w:szCs w:val="20"/>
                <w:color w:val="auto"/>
              </w:rPr>
            </w:pPr>
            <w:r>
              <w:rPr>
                <w:rFonts w:ascii="Calibri" w:cs="Calibri" w:eastAsia="Calibri" w:hAnsi="Calibri"/>
                <w:sz w:val="14"/>
                <w:szCs w:val="14"/>
                <w:color w:val="51555C"/>
                <w:w w:val="83"/>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1,008.3</w:t>
            </w:r>
          </w:p>
        </w:tc>
        <w:tc>
          <w:tcPr>
            <w:tcW w:w="20" w:type="dxa"/>
            <w:vAlign w:val="bottom"/>
          </w:tcPr>
          <w:p>
            <w:pPr>
              <w:spacing w:after="0"/>
              <w:rPr>
                <w:sz w:val="17"/>
                <w:szCs w:val="17"/>
                <w:color w:val="auto"/>
              </w:rPr>
            </w:pPr>
          </w:p>
        </w:tc>
      </w:tr>
      <w:tr>
        <w:trPr>
          <w:trHeight w:val="21"/>
        </w:trPr>
        <w:tc>
          <w:tcPr>
            <w:tcW w:w="8080" w:type="dxa"/>
            <w:vAlign w:val="bottom"/>
            <w:tcBorders>
              <w:bottom w:val="single" w:sz="8" w:color="EBFBFF"/>
            </w:tcBorders>
          </w:tcPr>
          <w:p>
            <w:pPr>
              <w:spacing w:after="0" w:line="20" w:lineRule="exact"/>
              <w:rPr>
                <w:sz w:val="1"/>
                <w:szCs w:val="1"/>
                <w:color w:val="auto"/>
              </w:rPr>
            </w:pPr>
          </w:p>
        </w:tc>
        <w:tc>
          <w:tcPr>
            <w:tcW w:w="560" w:type="dxa"/>
            <w:vAlign w:val="bottom"/>
            <w:tcBorders>
              <w:bottom w:val="single" w:sz="8" w:color="51555C"/>
            </w:tcBorders>
          </w:tcPr>
          <w:p>
            <w:pPr>
              <w:spacing w:after="0" w:line="20" w:lineRule="exact"/>
              <w:rPr>
                <w:sz w:val="1"/>
                <w:szCs w:val="1"/>
                <w:color w:val="auto"/>
              </w:rPr>
            </w:pPr>
          </w:p>
        </w:tc>
        <w:tc>
          <w:tcPr>
            <w:tcW w:w="1080" w:type="dxa"/>
            <w:vAlign w:val="bottom"/>
            <w:tcBorders>
              <w:bottom w:val="single" w:sz="8" w:color="51555C"/>
            </w:tcBorders>
          </w:tcPr>
          <w:p>
            <w:pPr>
              <w:spacing w:after="0" w:line="20" w:lineRule="exact"/>
              <w:rPr>
                <w:sz w:val="1"/>
                <w:szCs w:val="1"/>
                <w:color w:val="auto"/>
              </w:rPr>
            </w:pPr>
          </w:p>
        </w:tc>
        <w:tc>
          <w:tcPr>
            <w:tcW w:w="560" w:type="dxa"/>
            <w:vAlign w:val="bottom"/>
            <w:tcBorders>
              <w:bottom w:val="single" w:sz="8" w:color="51555C"/>
            </w:tcBorders>
          </w:tcPr>
          <w:p>
            <w:pPr>
              <w:spacing w:after="0" w:line="20" w:lineRule="exact"/>
              <w:rPr>
                <w:sz w:val="1"/>
                <w:szCs w:val="1"/>
                <w:color w:val="auto"/>
              </w:rPr>
            </w:pPr>
          </w:p>
        </w:tc>
        <w:tc>
          <w:tcPr>
            <w:tcW w:w="96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080" w:type="dxa"/>
            <w:vAlign w:val="bottom"/>
            <w:tcBorders>
              <w:bottom w:val="single" w:sz="8" w:color="EBFBFF"/>
            </w:tcBorders>
            <w:shd w:val="clear" w:color="auto" w:fill="EBFBFF"/>
          </w:tcPr>
          <w:p>
            <w:pPr>
              <w:ind w:left="20"/>
              <w:spacing w:after="0" w:line="163" w:lineRule="exact"/>
              <w:rPr>
                <w:sz w:val="20"/>
                <w:szCs w:val="20"/>
                <w:color w:val="auto"/>
              </w:rPr>
            </w:pPr>
            <w:r>
              <w:rPr>
                <w:rFonts w:ascii="Calibri" w:cs="Calibri" w:eastAsia="Calibri" w:hAnsi="Calibri"/>
                <w:sz w:val="14"/>
                <w:szCs w:val="14"/>
                <w:b w:val="1"/>
                <w:bCs w:val="1"/>
                <w:color w:val="51555C"/>
              </w:rPr>
              <w:t>Non-GAAP organic recurring revenue growth on constant currency basis</w:t>
            </w:r>
          </w:p>
        </w:tc>
        <w:tc>
          <w:tcPr>
            <w:tcW w:w="560" w:type="dxa"/>
            <w:vAlign w:val="bottom"/>
            <w:tcBorders>
              <w:bottom w:val="single" w:sz="8" w:color="EBFBFF"/>
            </w:tcBorders>
            <w:shd w:val="clear" w:color="auto" w:fill="EBFBFF"/>
          </w:tcPr>
          <w:p>
            <w:pPr>
              <w:spacing w:after="0"/>
              <w:rPr>
                <w:sz w:val="17"/>
                <w:szCs w:val="17"/>
                <w:color w:val="auto"/>
              </w:rPr>
            </w:pPr>
          </w:p>
        </w:tc>
        <w:tc>
          <w:tcPr>
            <w:tcW w:w="10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b w:val="1"/>
                <w:bCs w:val="1"/>
                <w:color w:val="51555C"/>
              </w:rPr>
              <w:t>6.3 %</w:t>
            </w:r>
          </w:p>
        </w:tc>
        <w:tc>
          <w:tcPr>
            <w:tcW w:w="560" w:type="dxa"/>
            <w:vAlign w:val="bottom"/>
            <w:tcBorders>
              <w:bottom w:val="single" w:sz="8" w:color="EBFBFF"/>
            </w:tcBorders>
            <w:shd w:val="clear" w:color="auto" w:fill="EBFBFF"/>
          </w:tcPr>
          <w:p>
            <w:pPr>
              <w:spacing w:after="0"/>
              <w:rPr>
                <w:sz w:val="17"/>
                <w:szCs w:val="17"/>
                <w:color w:val="auto"/>
              </w:rPr>
            </w:pPr>
          </w:p>
        </w:tc>
        <w:tc>
          <w:tcPr>
            <w:tcW w:w="96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08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-3274060</wp:posOffset>
            </wp:positionV>
            <wp:extent cx="20142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3" w:lineRule="exact"/>
        <w:rPr>
          <w:sz w:val="20"/>
          <w:szCs w:val="20"/>
          <w:color w:val="auto"/>
        </w:rPr>
      </w:pPr>
    </w:p>
    <w:p>
      <w:pPr>
        <w:ind w:left="340" w:right="20" w:hanging="332"/>
        <w:spacing w:after="0" w:line="233" w:lineRule="auto"/>
        <w:tabs>
          <w:tab w:leader="none" w:pos="338"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Non-GAAP revenue from divested businesses excludes revenue associated with divested businesses. The exclusion of the prior period revenue is to present the results of the divested business with the results of the combined company for the same period of tme in both the prior and current periods.</w:t>
      </w:r>
    </w:p>
    <w:p>
      <w:pPr>
        <w:spacing w:after="0" w:line="5" w:lineRule="exact"/>
        <w:rPr>
          <w:rFonts w:ascii="Calibri" w:cs="Calibri" w:eastAsia="Calibri" w:hAnsi="Calibri"/>
          <w:sz w:val="14"/>
          <w:szCs w:val="14"/>
          <w:color w:val="51555C"/>
        </w:rPr>
      </w:pPr>
    </w:p>
    <w:p>
      <w:pPr>
        <w:jc w:val="both"/>
        <w:ind w:left="340" w:right="20" w:hanging="332"/>
        <w:spacing w:after="0" w:line="245" w:lineRule="auto"/>
        <w:tabs>
          <w:tab w:leader="none" w:pos="338"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Non-GAAP organic revenue and non-GAAP organic recurring revenue for the prior year periods presented herein may not agree to non-GAAP organic revenue and non-GAAP organic recurring revenue presented in the respectve prior period quarterly fnancial informaton solely due to the manner in which non-GAAP organic revenue growth and non-GAAP organic recurring revenue growth are calculated.</w:t>
      </w:r>
    </w:p>
    <w:p>
      <w:pPr>
        <w:spacing w:after="0" w:line="3" w:lineRule="exact"/>
        <w:rPr>
          <w:rFonts w:ascii="Calibri" w:cs="Calibri" w:eastAsia="Calibri" w:hAnsi="Calibri"/>
          <w:sz w:val="14"/>
          <w:szCs w:val="14"/>
          <w:color w:val="51555C"/>
        </w:rPr>
      </w:pPr>
    </w:p>
    <w:p>
      <w:pPr>
        <w:jc w:val="both"/>
        <w:ind w:left="340" w:right="20" w:hanging="332"/>
        <w:spacing w:after="0" w:line="237" w:lineRule="auto"/>
        <w:tabs>
          <w:tab w:leader="none" w:pos="338" w:val="left"/>
        </w:tabs>
        <w:numPr>
          <w:ilvl w:val="0"/>
          <w:numId w:val="40"/>
        </w:numPr>
        <w:rPr>
          <w:rFonts w:ascii="Calibri" w:cs="Calibri" w:eastAsia="Calibri" w:hAnsi="Calibri"/>
          <w:sz w:val="14"/>
          <w:szCs w:val="14"/>
          <w:color w:val="51555C"/>
        </w:rPr>
      </w:pPr>
      <w:r>
        <w:rPr>
          <w:rFonts w:ascii="Calibri" w:cs="Calibri" w:eastAsia="Calibri" w:hAnsi="Calibri"/>
          <w:sz w:val="14"/>
          <w:szCs w:val="14"/>
          <w:color w:val="51555C"/>
        </w:rPr>
        <w:t>To determine non-GAAP organic revenue growth and non-GAAP organic recurring revenue growth on a constant currency basis, revenues from enttes reportng in foreign currencies were translated to U.S. Dollars using the comparable prior period's quarterly weighted average foreign currency exchange rates. The primary foreign currencies creatng the impact are the Australian Dollar, Britsh Pound, Canadian Dollar and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227965</wp:posOffset>
            </wp:positionV>
            <wp:extent cx="7289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Rule of 40</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previously defned Rule of 40 as non-GAAP organic revenue growth plus non-GAAP adjusted EBITDA margin. Non-GAAP adjusted EBITDA is defned as GAAP net income plus interest, net; income tax provision (beneft); depreciaton; amortzaton of intangible assets from business combinatons; amortzaton of sofware and content development costs; stock-based compensaton; employee severance; acquisiton and dispositon-related costs; restructuring and other real estate actvites; Security Incident-related costs, net of insurance; and impairment of capitalized sofware development costs. Beginning in the fscal quarter ended June 30, 2022, we now also include in non-GAAP adjusted EBITDA impairment of capitalized sofware and content development costs because we believe it is not directly related to our operatng performance in any partcular period.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shd w:val="clear" w:color="auto" w:fill="004054"/>
          </w:tcPr>
          <w:p>
            <w:pPr>
              <w:spacing w:after="0"/>
              <w:rPr>
                <w:sz w:val="16"/>
                <w:szCs w:val="16"/>
                <w:color w:val="auto"/>
              </w:rPr>
            </w:pPr>
          </w:p>
        </w:tc>
        <w:tc>
          <w:tcPr>
            <w:tcW w:w="600" w:type="dxa"/>
            <w:vAlign w:val="bottom"/>
            <w:shd w:val="clear" w:color="auto" w:fill="004054"/>
          </w:tcPr>
          <w:p>
            <w:pPr>
              <w:spacing w:after="0"/>
              <w:rPr>
                <w:sz w:val="16"/>
                <w:szCs w:val="16"/>
                <w:color w:val="auto"/>
              </w:rPr>
            </w:pPr>
          </w:p>
        </w:tc>
        <w:tc>
          <w:tcPr>
            <w:tcW w:w="254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81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60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600" w:type="dxa"/>
            <w:vAlign w:val="bottom"/>
            <w:shd w:val="clear" w:color="auto" w:fill="004054"/>
          </w:tcPr>
          <w:p>
            <w:pPr>
              <w:spacing w:after="0"/>
              <w:rPr>
                <w:sz w:val="20"/>
                <w:szCs w:val="20"/>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0"/>
                <w:szCs w:val="20"/>
                <w:color w:val="auto"/>
              </w:rPr>
            </w:pPr>
          </w:p>
        </w:tc>
      </w:tr>
      <w:tr>
        <w:trPr>
          <w:trHeight w:val="74"/>
        </w:trPr>
        <w:tc>
          <w:tcPr>
            <w:tcW w:w="8100" w:type="dxa"/>
            <w:vAlign w:val="bottom"/>
            <w:shd w:val="clear" w:color="auto" w:fill="004054"/>
          </w:tcPr>
          <w:p>
            <w:pPr>
              <w:spacing w:after="0"/>
              <w:rPr>
                <w:sz w:val="6"/>
                <w:szCs w:val="6"/>
                <w:color w:val="auto"/>
              </w:rPr>
            </w:pPr>
          </w:p>
        </w:tc>
        <w:tc>
          <w:tcPr>
            <w:tcW w:w="60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60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10"/>
        </w:trPr>
        <w:tc>
          <w:tcPr>
            <w:tcW w:w="81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color w:val="51555C"/>
              </w:rPr>
              <w:t>GAAP net income (loss)</w:t>
            </w:r>
          </w:p>
        </w:tc>
        <w:tc>
          <w:tcPr>
            <w:tcW w:w="600" w:type="dxa"/>
            <w:vAlign w:val="bottom"/>
            <w:tcBorders>
              <w:bottom w:val="single" w:sz="8" w:color="EBFBFF"/>
            </w:tcBorders>
            <w:shd w:val="clear" w:color="auto" w:fill="EBFBFF"/>
          </w:tcPr>
          <w:p>
            <w:pPr>
              <w:jc w:val="right"/>
              <w:ind w:right="44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1.8</w:t>
            </w:r>
          </w:p>
        </w:tc>
        <w:tc>
          <w:tcPr>
            <w:tcW w:w="600" w:type="dxa"/>
            <w:vAlign w:val="bottom"/>
            <w:tcBorders>
              <w:bottom w:val="single" w:sz="8" w:color="EBFBFF"/>
            </w:tcBorders>
            <w:shd w:val="clear" w:color="auto" w:fill="EBFBFF"/>
          </w:tcPr>
          <w:p>
            <w:pPr>
              <w:jc w:val="right"/>
              <w:ind w:right="448"/>
              <w:spacing w:after="0"/>
              <w:rPr>
                <w:sz w:val="20"/>
                <w:szCs w:val="20"/>
                <w:color w:val="auto"/>
              </w:rPr>
            </w:pPr>
            <w:r>
              <w:rPr>
                <w:rFonts w:ascii="Calibri" w:cs="Calibri" w:eastAsia="Calibri" w:hAnsi="Calibri"/>
                <w:sz w:val="14"/>
                <w:szCs w:val="14"/>
                <w:color w:val="51555C"/>
                <w:w w:val="83"/>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(45.4)</w:t>
            </w:r>
          </w:p>
        </w:tc>
        <w:tc>
          <w:tcPr>
            <w:tcW w:w="20" w:type="dxa"/>
            <w:vAlign w:val="bottom"/>
          </w:tcPr>
          <w:p>
            <w:pPr>
              <w:spacing w:after="0"/>
              <w:rPr>
                <w:sz w:val="18"/>
                <w:szCs w:val="18"/>
                <w:color w:val="auto"/>
              </w:rPr>
            </w:pPr>
          </w:p>
        </w:tc>
      </w:tr>
      <w:tr>
        <w:trPr>
          <w:trHeight w:val="170"/>
        </w:trPr>
        <w:tc>
          <w:tcPr>
            <w:tcW w:w="8100" w:type="dxa"/>
            <w:vAlign w:val="bottom"/>
          </w:tcPr>
          <w:p>
            <w:pPr>
              <w:ind w:left="20"/>
              <w:spacing w:after="0"/>
              <w:rPr>
                <w:sz w:val="20"/>
                <w:szCs w:val="20"/>
                <w:color w:val="auto"/>
              </w:rPr>
            </w:pPr>
            <w:r>
              <w:rPr>
                <w:rFonts w:ascii="Calibri" w:cs="Calibri" w:eastAsia="Calibri" w:hAnsi="Calibri"/>
                <w:sz w:val="14"/>
                <w:szCs w:val="14"/>
                <w:color w:val="51555C"/>
              </w:rPr>
              <w:t>Non-GAAP adjustments:</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60"/>
        </w:trPr>
        <w:tc>
          <w:tcPr>
            <w:tcW w:w="8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9"/>
        </w:trPr>
        <w:tc>
          <w:tcPr>
            <w:tcW w:w="81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Interest, net</w:t>
            </w:r>
          </w:p>
        </w:tc>
        <w:tc>
          <w:tcPr>
            <w:tcW w:w="6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31.1</w:t>
            </w:r>
          </w:p>
        </w:tc>
        <w:tc>
          <w:tcPr>
            <w:tcW w:w="60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34.1</w:t>
            </w:r>
          </w:p>
        </w:tc>
        <w:tc>
          <w:tcPr>
            <w:tcW w:w="20" w:type="dxa"/>
            <w:vAlign w:val="bottom"/>
          </w:tcPr>
          <w:p>
            <w:pPr>
              <w:spacing w:after="0"/>
              <w:rPr>
                <w:sz w:val="18"/>
                <w:szCs w:val="18"/>
                <w:color w:val="auto"/>
              </w:rPr>
            </w:pPr>
          </w:p>
        </w:tc>
      </w:tr>
      <w:tr>
        <w:trPr>
          <w:trHeight w:val="170"/>
        </w:trPr>
        <w:tc>
          <w:tcPr>
            <w:tcW w:w="8100" w:type="dxa"/>
            <w:vAlign w:val="bottom"/>
          </w:tcPr>
          <w:p>
            <w:pPr>
              <w:ind w:left="140"/>
              <w:spacing w:after="0"/>
              <w:rPr>
                <w:sz w:val="20"/>
                <w:szCs w:val="20"/>
                <w:color w:val="auto"/>
              </w:rPr>
            </w:pPr>
            <w:r>
              <w:rPr>
                <w:rFonts w:ascii="Calibri" w:cs="Calibri" w:eastAsia="Calibri" w:hAnsi="Calibri"/>
                <w:sz w:val="14"/>
                <w:szCs w:val="14"/>
                <w:color w:val="51555C"/>
              </w:rPr>
              <w:t>Add: GAAP income tax provision (beneft)</w:t>
            </w:r>
          </w:p>
        </w:tc>
        <w:tc>
          <w:tcPr>
            <w:tcW w:w="60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15.8</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(10.2)</w:t>
            </w:r>
          </w:p>
        </w:tc>
        <w:tc>
          <w:tcPr>
            <w:tcW w:w="20" w:type="dxa"/>
            <w:vAlign w:val="bottom"/>
          </w:tcPr>
          <w:p>
            <w:pPr>
              <w:spacing w:after="0"/>
              <w:rPr>
                <w:sz w:val="14"/>
                <w:szCs w:val="14"/>
                <w:color w:val="auto"/>
              </w:rPr>
            </w:pPr>
          </w:p>
        </w:tc>
      </w:tr>
      <w:tr>
        <w:trPr>
          <w:trHeight w:val="60"/>
        </w:trPr>
        <w:tc>
          <w:tcPr>
            <w:tcW w:w="8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09"/>
        </w:trPr>
        <w:tc>
          <w:tcPr>
            <w:tcW w:w="81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Depreciaton</w:t>
            </w:r>
          </w:p>
        </w:tc>
        <w:tc>
          <w:tcPr>
            <w:tcW w:w="6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13.0</w:t>
            </w:r>
          </w:p>
        </w:tc>
        <w:tc>
          <w:tcPr>
            <w:tcW w:w="60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14.1</w:t>
            </w:r>
          </w:p>
        </w:tc>
        <w:tc>
          <w:tcPr>
            <w:tcW w:w="20" w:type="dxa"/>
            <w:vAlign w:val="bottom"/>
          </w:tcPr>
          <w:p>
            <w:pPr>
              <w:spacing w:after="0"/>
              <w:rPr>
                <w:sz w:val="18"/>
                <w:szCs w:val="18"/>
                <w:color w:val="auto"/>
              </w:rPr>
            </w:pPr>
          </w:p>
        </w:tc>
      </w:tr>
      <w:tr>
        <w:trPr>
          <w:trHeight w:val="170"/>
        </w:trPr>
        <w:tc>
          <w:tcPr>
            <w:tcW w:w="8100" w:type="dxa"/>
            <w:vAlign w:val="bottom"/>
          </w:tcPr>
          <w:p>
            <w:pPr>
              <w:ind w:left="140"/>
              <w:spacing w:after="0"/>
              <w:rPr>
                <w:sz w:val="20"/>
                <w:szCs w:val="20"/>
                <w:color w:val="auto"/>
              </w:rPr>
            </w:pPr>
            <w:r>
              <w:rPr>
                <w:rFonts w:ascii="Calibri" w:cs="Calibri" w:eastAsia="Calibri" w:hAnsi="Calibri"/>
                <w:sz w:val="14"/>
                <w:szCs w:val="14"/>
                <w:color w:val="51555C"/>
              </w:rPr>
              <w:t>Add: Amortzaton of intangibles from business combinatons</w:t>
            </w:r>
          </w:p>
        </w:tc>
        <w:tc>
          <w:tcPr>
            <w:tcW w:w="60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55.6</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51.4</w:t>
            </w:r>
          </w:p>
        </w:tc>
        <w:tc>
          <w:tcPr>
            <w:tcW w:w="20" w:type="dxa"/>
            <w:vAlign w:val="bottom"/>
          </w:tcPr>
          <w:p>
            <w:pPr>
              <w:spacing w:after="0"/>
              <w:rPr>
                <w:sz w:val="14"/>
                <w:szCs w:val="14"/>
                <w:color w:val="auto"/>
              </w:rPr>
            </w:pPr>
          </w:p>
        </w:tc>
      </w:tr>
      <w:tr>
        <w:trPr>
          <w:trHeight w:val="60"/>
        </w:trPr>
        <w:tc>
          <w:tcPr>
            <w:tcW w:w="8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29"/>
        </w:trPr>
        <w:tc>
          <w:tcPr>
            <w:tcW w:w="8100" w:type="dxa"/>
            <w:vAlign w:val="bottom"/>
            <w:shd w:val="clear" w:color="auto" w:fill="EBFBFF"/>
          </w:tcPr>
          <w:p>
            <w:pPr>
              <w:ind w:left="140"/>
              <w:spacing w:after="0" w:line="216" w:lineRule="exact"/>
              <w:rPr>
                <w:sz w:val="20"/>
                <w:szCs w:val="20"/>
                <w:color w:val="auto"/>
              </w:rPr>
            </w:pPr>
            <w:r>
              <w:rPr>
                <w:rFonts w:ascii="Calibri" w:cs="Calibri" w:eastAsia="Calibri" w:hAnsi="Calibri"/>
                <w:sz w:val="14"/>
                <w:szCs w:val="14"/>
                <w:color w:val="51555C"/>
              </w:rPr>
              <w:t>Add: Amortzaton of sofware and content development costs</w:t>
            </w:r>
            <w:r>
              <w:rPr>
                <w:rFonts w:ascii="Calibri" w:cs="Calibri" w:eastAsia="Calibri" w:hAnsi="Calibri"/>
                <w:sz w:val="18"/>
                <w:szCs w:val="18"/>
                <w:color w:val="51555C"/>
                <w:vertAlign w:val="superscript"/>
              </w:rPr>
              <w:t>(1)</w:t>
            </w:r>
          </w:p>
        </w:tc>
        <w:tc>
          <w:tcPr>
            <w:tcW w:w="600" w:type="dxa"/>
            <w:vAlign w:val="bottom"/>
            <w:tcBorders>
              <w:bottom w:val="single" w:sz="8" w:color="51555C"/>
            </w:tcBorders>
            <w:shd w:val="clear" w:color="auto" w:fill="EBFBFF"/>
          </w:tcPr>
          <w:p>
            <w:pPr>
              <w:spacing w:after="0"/>
              <w:rPr>
                <w:sz w:val="19"/>
                <w:szCs w:val="19"/>
                <w:color w:val="auto"/>
              </w:rPr>
            </w:pPr>
          </w:p>
        </w:tc>
        <w:tc>
          <w:tcPr>
            <w:tcW w:w="1020" w:type="dxa"/>
            <w:vAlign w:val="bottom"/>
            <w:tcBorders>
              <w:bottom w:val="single" w:sz="8" w:color="51555C"/>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45.3</w:t>
            </w:r>
          </w:p>
        </w:tc>
        <w:tc>
          <w:tcPr>
            <w:tcW w:w="600" w:type="dxa"/>
            <w:vAlign w:val="bottom"/>
            <w:tcBorders>
              <w:bottom w:val="single" w:sz="8" w:color="51555C"/>
            </w:tcBorders>
            <w:shd w:val="clear" w:color="auto" w:fill="EBFBFF"/>
          </w:tcPr>
          <w:p>
            <w:pPr>
              <w:spacing w:after="0"/>
              <w:rPr>
                <w:sz w:val="19"/>
                <w:szCs w:val="19"/>
                <w:color w:val="auto"/>
              </w:rPr>
            </w:pPr>
          </w:p>
        </w:tc>
        <w:tc>
          <w:tcPr>
            <w:tcW w:w="920" w:type="dxa"/>
            <w:vAlign w:val="bottom"/>
            <w:tcBorders>
              <w:bottom w:val="single" w:sz="8" w:color="51555C"/>
            </w:tcBorders>
            <w:shd w:val="clear" w:color="auto" w:fill="EBFBFF"/>
          </w:tcPr>
          <w:p>
            <w:pPr>
              <w:jc w:val="right"/>
              <w:spacing w:after="0"/>
              <w:rPr>
                <w:sz w:val="20"/>
                <w:szCs w:val="20"/>
                <w:color w:val="auto"/>
              </w:rPr>
            </w:pPr>
            <w:r>
              <w:rPr>
                <w:rFonts w:ascii="Calibri" w:cs="Calibri" w:eastAsia="Calibri" w:hAnsi="Calibri"/>
                <w:sz w:val="14"/>
                <w:szCs w:val="14"/>
                <w:color w:val="51555C"/>
              </w:rPr>
              <w:t>39.0</w:t>
            </w:r>
          </w:p>
        </w:tc>
        <w:tc>
          <w:tcPr>
            <w:tcW w:w="20" w:type="dxa"/>
            <w:vAlign w:val="bottom"/>
          </w:tcPr>
          <w:p>
            <w:pPr>
              <w:spacing w:after="0"/>
              <w:rPr>
                <w:sz w:val="19"/>
                <w:szCs w:val="19"/>
                <w:color w:val="auto"/>
              </w:rPr>
            </w:pPr>
          </w:p>
        </w:tc>
      </w:tr>
      <w:tr>
        <w:trPr>
          <w:trHeight w:val="202"/>
        </w:trPr>
        <w:tc>
          <w:tcPr>
            <w:tcW w:w="8100" w:type="dxa"/>
            <w:vAlign w:val="bottom"/>
          </w:tcPr>
          <w:p>
            <w:pPr>
              <w:ind w:left="240"/>
              <w:spacing w:after="0" w:line="202" w:lineRule="exact"/>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(2)</w:t>
            </w:r>
          </w:p>
        </w:tc>
        <w:tc>
          <w:tcPr>
            <w:tcW w:w="6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160.9</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128.4</w:t>
            </w:r>
          </w:p>
        </w:tc>
        <w:tc>
          <w:tcPr>
            <w:tcW w:w="20" w:type="dxa"/>
            <w:vAlign w:val="bottom"/>
          </w:tcPr>
          <w:p>
            <w:pPr>
              <w:spacing w:after="0"/>
              <w:rPr>
                <w:sz w:val="17"/>
                <w:szCs w:val="17"/>
                <w:color w:val="auto"/>
              </w:rPr>
            </w:pPr>
          </w:p>
        </w:tc>
      </w:tr>
      <w:tr>
        <w:trPr>
          <w:trHeight w:val="21"/>
        </w:trPr>
        <w:tc>
          <w:tcPr>
            <w:tcW w:w="8100" w:type="dxa"/>
            <w:vAlign w:val="bottom"/>
            <w:tcBorders>
              <w:bottom w:val="single" w:sz="8" w:color="EBFBFF"/>
            </w:tcBorders>
          </w:tcPr>
          <w:p>
            <w:pPr>
              <w:spacing w:after="0" w:line="20" w:lineRule="exact"/>
              <w:rPr>
                <w:sz w:val="1"/>
                <w:szCs w:val="1"/>
                <w:color w:val="auto"/>
              </w:rPr>
            </w:pPr>
          </w:p>
        </w:tc>
        <w:tc>
          <w:tcPr>
            <w:tcW w:w="600" w:type="dxa"/>
            <w:vAlign w:val="bottom"/>
            <w:tcBorders>
              <w:bottom w:val="single" w:sz="8" w:color="51555C"/>
            </w:tcBorders>
          </w:tcPr>
          <w:p>
            <w:pPr>
              <w:spacing w:after="0" w:line="20" w:lineRule="exact"/>
              <w:rPr>
                <w:sz w:val="1"/>
                <w:szCs w:val="1"/>
                <w:color w:val="auto"/>
              </w:rPr>
            </w:pPr>
          </w:p>
        </w:tc>
        <w:tc>
          <w:tcPr>
            <w:tcW w:w="1020" w:type="dxa"/>
            <w:vAlign w:val="bottom"/>
            <w:tcBorders>
              <w:bottom w:val="single" w:sz="8" w:color="51555C"/>
            </w:tcBorders>
          </w:tcPr>
          <w:p>
            <w:pPr>
              <w:spacing w:after="0" w:line="20" w:lineRule="exact"/>
              <w:rPr>
                <w:sz w:val="1"/>
                <w:szCs w:val="1"/>
                <w:color w:val="auto"/>
              </w:rPr>
            </w:pPr>
          </w:p>
        </w:tc>
        <w:tc>
          <w:tcPr>
            <w:tcW w:w="600" w:type="dxa"/>
            <w:vAlign w:val="bottom"/>
            <w:tcBorders>
              <w:bottom w:val="single" w:sz="8" w:color="51555C"/>
            </w:tcBorders>
          </w:tcPr>
          <w:p>
            <w:pPr>
              <w:spacing w:after="0" w:line="20" w:lineRule="exact"/>
              <w:rPr>
                <w:sz w:val="1"/>
                <w:szCs w:val="1"/>
                <w:color w:val="auto"/>
              </w:rPr>
            </w:pPr>
          </w:p>
        </w:tc>
        <w:tc>
          <w:tcPr>
            <w:tcW w:w="92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100" w:type="dxa"/>
            <w:vAlign w:val="bottom"/>
            <w:tcBorders>
              <w:bottom w:val="single" w:sz="8" w:color="EBFBFF"/>
            </w:tcBorders>
            <w:shd w:val="clear" w:color="auto" w:fill="EBFBFF"/>
          </w:tcPr>
          <w:p>
            <w:pPr>
              <w:ind w:left="20"/>
              <w:spacing w:after="0" w:line="202" w:lineRule="exact"/>
              <w:rPr>
                <w:sz w:val="20"/>
                <w:szCs w:val="20"/>
                <w:color w:val="auto"/>
              </w:rPr>
            </w:pPr>
            <w:r>
              <w:rPr>
                <w:rFonts w:ascii="Calibri" w:cs="Calibri" w:eastAsia="Calibri" w:hAnsi="Calibri"/>
                <w:sz w:val="14"/>
                <w:szCs w:val="14"/>
                <w:color w:val="51555C"/>
              </w:rPr>
              <w:t>Non-GAAP EBITDA</w:t>
            </w:r>
            <w:r>
              <w:rPr>
                <w:rFonts w:ascii="Calibri" w:cs="Calibri" w:eastAsia="Calibri" w:hAnsi="Calibri"/>
                <w:sz w:val="18"/>
                <w:szCs w:val="18"/>
                <w:color w:val="51555C"/>
                <w:vertAlign w:val="superscript"/>
              </w:rPr>
              <w:t>(2)</w:t>
            </w:r>
          </w:p>
        </w:tc>
        <w:tc>
          <w:tcPr>
            <w:tcW w:w="600" w:type="dxa"/>
            <w:vAlign w:val="bottom"/>
            <w:tcBorders>
              <w:bottom w:val="single" w:sz="8" w:color="EBFBFF"/>
            </w:tcBorders>
            <w:shd w:val="clear" w:color="auto" w:fill="EBFBFF"/>
          </w:tcPr>
          <w:p>
            <w:pPr>
              <w:jc w:val="right"/>
              <w:ind w:right="448"/>
              <w:spacing w:after="0"/>
              <w:rPr>
                <w:sz w:val="20"/>
                <w:szCs w:val="20"/>
                <w:color w:val="auto"/>
              </w:rPr>
            </w:pPr>
            <w:r>
              <w:rPr>
                <w:rFonts w:ascii="Calibri" w:cs="Calibri" w:eastAsia="Calibri" w:hAnsi="Calibri"/>
                <w:sz w:val="14"/>
                <w:szCs w:val="14"/>
                <w:color w:val="51555C"/>
                <w:w w:val="83"/>
              </w:rPr>
              <w:t>$</w:t>
            </w: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Calibri" w:cs="Calibri" w:eastAsia="Calibri" w:hAnsi="Calibri"/>
                <w:sz w:val="14"/>
                <w:szCs w:val="14"/>
                <w:color w:val="51555C"/>
              </w:rPr>
              <w:t>162.7</w:t>
            </w:r>
          </w:p>
        </w:tc>
        <w:tc>
          <w:tcPr>
            <w:tcW w:w="600" w:type="dxa"/>
            <w:vAlign w:val="bottom"/>
            <w:tcBorders>
              <w:bottom w:val="single" w:sz="8" w:color="EBFBFF"/>
            </w:tcBorders>
            <w:shd w:val="clear" w:color="auto" w:fill="EBFBFF"/>
          </w:tcPr>
          <w:p>
            <w:pPr>
              <w:jc w:val="right"/>
              <w:ind w:right="448"/>
              <w:spacing w:after="0"/>
              <w:rPr>
                <w:sz w:val="20"/>
                <w:szCs w:val="20"/>
                <w:color w:val="auto"/>
              </w:rPr>
            </w:pPr>
            <w:r>
              <w:rPr>
                <w:rFonts w:ascii="Calibri" w:cs="Calibri" w:eastAsia="Calibri" w:hAnsi="Calibri"/>
                <w:sz w:val="14"/>
                <w:szCs w:val="14"/>
                <w:color w:val="51555C"/>
                <w:w w:val="83"/>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83.0</w:t>
            </w:r>
          </w:p>
        </w:tc>
        <w:tc>
          <w:tcPr>
            <w:tcW w:w="20" w:type="dxa"/>
            <w:vAlign w:val="bottom"/>
          </w:tcPr>
          <w:p>
            <w:pPr>
              <w:spacing w:after="0"/>
              <w:rPr>
                <w:sz w:val="19"/>
                <w:szCs w:val="19"/>
                <w:color w:val="auto"/>
              </w:rPr>
            </w:pPr>
          </w:p>
        </w:tc>
      </w:tr>
      <w:tr>
        <w:trPr>
          <w:trHeight w:val="202"/>
        </w:trPr>
        <w:tc>
          <w:tcPr>
            <w:tcW w:w="8100" w:type="dxa"/>
            <w:vAlign w:val="bottom"/>
          </w:tcPr>
          <w:p>
            <w:pPr>
              <w:ind w:left="140"/>
              <w:spacing w:after="0" w:line="202" w:lineRule="exact"/>
              <w:rPr>
                <w:sz w:val="20"/>
                <w:szCs w:val="20"/>
                <w:color w:val="auto"/>
              </w:rPr>
            </w:pPr>
            <w:r>
              <w:rPr>
                <w:rFonts w:ascii="Calibri" w:cs="Calibri" w:eastAsia="Calibri" w:hAnsi="Calibri"/>
                <w:sz w:val="14"/>
                <w:szCs w:val="14"/>
                <w:color w:val="51555C"/>
              </w:rPr>
              <w:t>Non-GAAP EBITDA margin</w:t>
            </w:r>
            <w:r>
              <w:rPr>
                <w:rFonts w:ascii="Calibri" w:cs="Calibri" w:eastAsia="Calibri" w:hAnsi="Calibri"/>
                <w:sz w:val="18"/>
                <w:szCs w:val="18"/>
                <w:color w:val="51555C"/>
                <w:vertAlign w:val="superscript"/>
              </w:rPr>
              <w:t>(3)</w:t>
            </w:r>
          </w:p>
        </w:tc>
        <w:tc>
          <w:tcPr>
            <w:tcW w:w="60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jc w:val="right"/>
              <w:spacing w:after="0"/>
              <w:rPr>
                <w:sz w:val="20"/>
                <w:szCs w:val="20"/>
                <w:color w:val="auto"/>
              </w:rPr>
            </w:pPr>
            <w:r>
              <w:rPr>
                <w:rFonts w:ascii="Calibri" w:cs="Calibri" w:eastAsia="Calibri" w:hAnsi="Calibri"/>
                <w:sz w:val="14"/>
                <w:szCs w:val="14"/>
                <w:color w:val="51555C"/>
              </w:rPr>
              <w:t>14.7 %</w:t>
            </w:r>
          </w:p>
        </w:tc>
        <w:tc>
          <w:tcPr>
            <w:tcW w:w="600" w:type="dxa"/>
            <w:vAlign w:val="bottom"/>
            <w:tcBorders>
              <w:top w:val="single" w:sz="8" w:color="51555C"/>
            </w:tcBorders>
          </w:tcPr>
          <w:p>
            <w:pPr>
              <w:spacing w:after="0"/>
              <w:rPr>
                <w:sz w:val="17"/>
                <w:szCs w:val="17"/>
                <w:color w:val="auto"/>
              </w:rPr>
            </w:pPr>
          </w:p>
        </w:tc>
        <w:tc>
          <w:tcPr>
            <w:tcW w:w="920" w:type="dxa"/>
            <w:vAlign w:val="bottom"/>
            <w:tcBorders>
              <w:top w:val="single" w:sz="8" w:color="51555C"/>
            </w:tcBorders>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8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8"/>
        </w:trPr>
        <w:tc>
          <w:tcPr>
            <w:tcW w:w="8100" w:type="dxa"/>
            <w:vAlign w:val="bottom"/>
            <w:shd w:val="clear" w:color="auto" w:fill="EBFBFF"/>
          </w:tcPr>
          <w:p>
            <w:pPr>
              <w:spacing w:after="0"/>
              <w:rPr>
                <w:sz w:val="9"/>
                <w:szCs w:val="9"/>
                <w:color w:val="auto"/>
              </w:rPr>
            </w:pPr>
          </w:p>
        </w:tc>
        <w:tc>
          <w:tcPr>
            <w:tcW w:w="600" w:type="dxa"/>
            <w:vAlign w:val="bottom"/>
            <w:shd w:val="clear" w:color="auto" w:fill="EBFBFF"/>
          </w:tcPr>
          <w:p>
            <w:pPr>
              <w:spacing w:after="0"/>
              <w:rPr>
                <w:sz w:val="9"/>
                <w:szCs w:val="9"/>
                <w:color w:val="auto"/>
              </w:rPr>
            </w:pPr>
          </w:p>
        </w:tc>
        <w:tc>
          <w:tcPr>
            <w:tcW w:w="1020" w:type="dxa"/>
            <w:vAlign w:val="bottom"/>
            <w:shd w:val="clear" w:color="auto" w:fill="EBFBFF"/>
          </w:tcPr>
          <w:p>
            <w:pPr>
              <w:spacing w:after="0"/>
              <w:rPr>
                <w:sz w:val="9"/>
                <w:szCs w:val="9"/>
                <w:color w:val="auto"/>
              </w:rPr>
            </w:pPr>
          </w:p>
        </w:tc>
        <w:tc>
          <w:tcPr>
            <w:tcW w:w="600" w:type="dxa"/>
            <w:vAlign w:val="bottom"/>
            <w:shd w:val="clear" w:color="auto" w:fill="EBFBFF"/>
          </w:tcPr>
          <w:p>
            <w:pPr>
              <w:spacing w:after="0"/>
              <w:rPr>
                <w:sz w:val="9"/>
                <w:szCs w:val="9"/>
                <w:color w:val="auto"/>
              </w:rPr>
            </w:pPr>
          </w:p>
        </w:tc>
        <w:tc>
          <w:tcPr>
            <w:tcW w:w="920" w:type="dxa"/>
            <w:vAlign w:val="bottom"/>
            <w:shd w:val="clear" w:color="auto" w:fill="EBFBFF"/>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-1713865</wp:posOffset>
            </wp:positionV>
            <wp:extent cx="20059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p>
      <w:pPr>
        <w:ind w:left="20"/>
        <w:spacing w:after="0" w:line="237" w:lineRule="auto"/>
        <w:rPr>
          <w:sz w:val="20"/>
          <w:szCs w:val="20"/>
          <w:color w:val="auto"/>
        </w:rPr>
      </w:pPr>
      <w:r>
        <w:rPr>
          <w:rFonts w:ascii="Calibri" w:cs="Calibri" w:eastAsia="Calibri" w:hAnsi="Calibri"/>
          <w:sz w:val="14"/>
          <w:szCs w:val="14"/>
          <w:color w:val="51555C"/>
        </w:rPr>
        <w:t>Non-GAAP adjustments:</w:t>
      </w:r>
    </w:p>
    <w:p>
      <w:pPr>
        <w:spacing w:after="0" w:line="59" w:lineRule="exact"/>
        <w:rPr>
          <w:sz w:val="20"/>
          <w:szCs w:val="20"/>
          <w:color w:val="auto"/>
        </w:rPr>
      </w:pPr>
    </w:p>
    <w:p>
      <w:pPr>
        <w:ind w:left="140"/>
        <w:spacing w:after="0"/>
        <w:rPr>
          <w:sz w:val="20"/>
          <w:szCs w:val="20"/>
          <w:color w:val="auto"/>
        </w:rPr>
      </w:pPr>
      <w:r>
        <w:rPr>
          <w:rFonts w:ascii="Calibri" w:cs="Calibri" w:eastAsia="Calibri" w:hAnsi="Calibri"/>
          <w:sz w:val="14"/>
          <w:szCs w:val="14"/>
          <w:color w:val="51555C"/>
        </w:rPr>
        <w:t>Add: Stock-based compensaton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Calibri" w:cs="Calibri" w:eastAsia="Calibri" w:hAnsi="Calibri"/>
          <w:sz w:val="14"/>
          <w:szCs w:val="14"/>
          <w:color w:val="51555C"/>
        </w:rPr>
        <w:t>Add: Employee severance</w:t>
      </w:r>
    </w:p>
    <w:p>
      <w:pPr>
        <w:spacing w:after="0" w:line="49" w:lineRule="exact"/>
        <w:rPr>
          <w:sz w:val="20"/>
          <w:szCs w:val="20"/>
          <w:color w:val="auto"/>
        </w:rPr>
      </w:pPr>
    </w:p>
    <w:p>
      <w:pPr>
        <w:ind w:left="140"/>
        <w:spacing w:after="0"/>
        <w:rPr>
          <w:sz w:val="20"/>
          <w:szCs w:val="20"/>
          <w:color w:val="auto"/>
        </w:rPr>
      </w:pPr>
      <w:r>
        <w:rPr>
          <w:rFonts w:ascii="Calibri" w:cs="Calibri" w:eastAsia="Calibri" w:hAnsi="Calibri"/>
          <w:sz w:val="14"/>
          <w:szCs w:val="14"/>
          <w:color w:val="51555C"/>
        </w:rPr>
        <w:t>Add: Acquisiton and dispositon-related costs</w:t>
      </w:r>
      <w:r>
        <w:rPr>
          <w:rFonts w:ascii="Calibri" w:cs="Calibri" w:eastAsia="Calibri" w:hAnsi="Calibri"/>
          <w:sz w:val="18"/>
          <w:szCs w:val="18"/>
          <w:color w:val="51555C"/>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Calibri" w:cs="Calibri" w:eastAsia="Calibri" w:hAnsi="Calibri"/>
          <w:sz w:val="14"/>
          <w:szCs w:val="14"/>
          <w:color w:val="51555C"/>
        </w:rPr>
        <w:t>Add: Restructuring and other real estate actvites</w:t>
      </w:r>
    </w:p>
    <w:p>
      <w:pPr>
        <w:spacing w:after="0" w:line="49" w:lineRule="exact"/>
        <w:rPr>
          <w:sz w:val="20"/>
          <w:szCs w:val="20"/>
          <w:color w:val="auto"/>
        </w:rPr>
      </w:pPr>
    </w:p>
    <w:p>
      <w:pPr>
        <w:ind w:left="140"/>
        <w:spacing w:after="0"/>
        <w:rPr>
          <w:sz w:val="20"/>
          <w:szCs w:val="20"/>
          <w:color w:val="auto"/>
        </w:rPr>
      </w:pPr>
      <w:r>
        <w:rPr>
          <w:rFonts w:ascii="Calibri" w:cs="Calibri" w:eastAsia="Calibri" w:hAnsi="Calibri"/>
          <w:sz w:val="14"/>
          <w:szCs w:val="14"/>
          <w:color w:val="51555C"/>
        </w:rPr>
        <w:t>Add: Security Incident-related costs, net of insurance</w:t>
      </w:r>
      <w:r>
        <w:rPr>
          <w:rFonts w:ascii="Calibri" w:cs="Calibri" w:eastAsia="Calibri" w:hAnsi="Calibri"/>
          <w:sz w:val="18"/>
          <w:szCs w:val="18"/>
          <w:color w:val="51555C"/>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Calibri" w:cs="Calibri" w:eastAsia="Calibri" w:hAnsi="Calibri"/>
          <w:sz w:val="14"/>
          <w:szCs w:val="14"/>
          <w:color w:val="51555C"/>
        </w:rPr>
        <w:t>Add: Impairment of capitalized sofware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Calibri" w:cs="Calibri" w:eastAsia="Calibri" w:hAnsi="Calibri"/>
          <w:sz w:val="14"/>
          <w:szCs w:val="14"/>
          <w:color w:val="51555C"/>
        </w:rPr>
        <w:t>Subtotal</w:t>
      </w:r>
      <w:r>
        <w:rPr>
          <w:rFonts w:ascii="Calibri" w:cs="Calibri" w:eastAsia="Calibri" w:hAnsi="Calibri"/>
          <w:sz w:val="18"/>
          <w:szCs w:val="18"/>
          <w:color w:val="51555C"/>
          <w:vertAlign w:val="superscript"/>
        </w:rPr>
        <w:t>(2)</w:t>
      </w:r>
    </w:p>
    <w:p>
      <w:pPr>
        <w:spacing w:after="0" w:line="23" w:lineRule="exact"/>
        <w:rPr>
          <w:sz w:val="20"/>
          <w:szCs w:val="20"/>
          <w:color w:val="auto"/>
        </w:rPr>
      </w:pPr>
    </w:p>
    <w:p>
      <w:pPr>
        <w:ind w:left="20"/>
        <w:spacing w:after="0"/>
        <w:rPr>
          <w:sz w:val="20"/>
          <w:szCs w:val="20"/>
          <w:color w:val="auto"/>
        </w:rPr>
      </w:pPr>
      <w:r>
        <w:rPr>
          <w:rFonts w:ascii="Calibri" w:cs="Calibri" w:eastAsia="Calibri" w:hAnsi="Calibri"/>
          <w:sz w:val="14"/>
          <w:szCs w:val="14"/>
          <w:color w:val="51555C"/>
        </w:rPr>
        <w:t>Non-GAAP Adjusted EBITDA</w:t>
      </w:r>
      <w:r>
        <w:rPr>
          <w:rFonts w:ascii="Calibri" w:cs="Calibri" w:eastAsia="Calibri" w:hAnsi="Calibri"/>
          <w:sz w:val="18"/>
          <w:szCs w:val="18"/>
          <w:color w:val="51555C"/>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Calibri" w:cs="Calibri" w:eastAsia="Calibri" w:hAnsi="Calibri"/>
          <w:sz w:val="14"/>
          <w:szCs w:val="14"/>
          <w:b w:val="1"/>
          <w:bCs w:val="1"/>
          <w:color w:val="51555C"/>
        </w:rPr>
        <w:t>Non-GAAP Adjusted EBITDA margin</w:t>
      </w:r>
      <w:r>
        <w:rPr>
          <w:rFonts w:ascii="Calibri" w:cs="Calibri" w:eastAsia="Calibri" w:hAnsi="Calibri"/>
          <w:sz w:val="18"/>
          <w:szCs w:val="18"/>
          <w:b w:val="1"/>
          <w:bCs w:val="1"/>
          <w:color w:val="51555C"/>
          <w:vertAlign w:val="superscript"/>
        </w:rPr>
        <w:t>(5)</w:t>
      </w:r>
    </w:p>
    <w:p>
      <w:pPr>
        <w:spacing w:after="0" w:line="118"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Rule of 40</w:t>
      </w:r>
      <w:r>
        <w:rPr>
          <w:rFonts w:ascii="Calibri" w:cs="Calibri" w:eastAsia="Calibri" w:hAnsi="Calibri"/>
          <w:sz w:val="18"/>
          <w:szCs w:val="18"/>
          <w:b w:val="1"/>
          <w:bCs w:val="1"/>
          <w:color w:val="51555C"/>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127.8</w:t>
            </w:r>
          </w:p>
        </w:tc>
        <w:tc>
          <w:tcPr>
            <w:tcW w:w="6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110.3</w:t>
            </w:r>
          </w:p>
        </w:tc>
      </w:tr>
      <w:tr>
        <w:trPr>
          <w:trHeight w:val="230"/>
        </w:trPr>
        <w:tc>
          <w:tcPr>
            <w:tcW w:w="600" w:type="dxa"/>
            <w:vAlign w:val="bottom"/>
          </w:tcPr>
          <w:p>
            <w:pPr>
              <w:spacing w:after="0"/>
              <w:rPr>
                <w:sz w:val="19"/>
                <w:szCs w:val="19"/>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5.1</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5.2</w:t>
            </w:r>
          </w:p>
        </w:tc>
      </w:tr>
      <w:tr>
        <w:trPr>
          <w:trHeight w:val="230"/>
        </w:trPr>
        <w:tc>
          <w:tcPr>
            <w:tcW w:w="600" w:type="dxa"/>
            <w:vAlign w:val="bottom"/>
          </w:tcPr>
          <w:p>
            <w:pPr>
              <w:spacing w:after="0"/>
              <w:rPr>
                <w:sz w:val="19"/>
                <w:szCs w:val="19"/>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7.5</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6.1</w:t>
            </w:r>
          </w:p>
        </w:tc>
      </w:tr>
      <w:tr>
        <w:trPr>
          <w:trHeight w:val="229"/>
        </w:trPr>
        <w:tc>
          <w:tcPr>
            <w:tcW w:w="600" w:type="dxa"/>
            <w:vAlign w:val="bottom"/>
          </w:tcPr>
          <w:p>
            <w:pPr>
              <w:spacing w:after="0"/>
              <w:rPr>
                <w:sz w:val="19"/>
                <w:szCs w:val="19"/>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0.1</w:t>
            </w:r>
          </w:p>
        </w:tc>
      </w:tr>
      <w:tr>
        <w:trPr>
          <w:trHeight w:val="230"/>
        </w:trPr>
        <w:tc>
          <w:tcPr>
            <w:tcW w:w="600" w:type="dxa"/>
            <w:vAlign w:val="bottom"/>
          </w:tcPr>
          <w:p>
            <w:pPr>
              <w:spacing w:after="0"/>
              <w:rPr>
                <w:sz w:val="19"/>
                <w:szCs w:val="19"/>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53.4</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55.7</w:t>
            </w:r>
          </w:p>
        </w:tc>
      </w:tr>
      <w:tr>
        <w:trPr>
          <w:trHeight w:val="230"/>
        </w:trPr>
        <w:tc>
          <w:tcPr>
            <w:tcW w:w="600" w:type="dxa"/>
            <w:vAlign w:val="bottom"/>
          </w:tcPr>
          <w:p>
            <w:pPr>
              <w:spacing w:after="0"/>
              <w:rPr>
                <w:sz w:val="19"/>
                <w:szCs w:val="19"/>
                <w:color w:val="auto"/>
              </w:rPr>
            </w:pPr>
          </w:p>
        </w:tc>
        <w:tc>
          <w:tcPr>
            <w:tcW w:w="1020" w:type="dxa"/>
            <w:vAlign w:val="bottom"/>
          </w:tcPr>
          <w:p>
            <w:pPr>
              <w:jc w:val="right"/>
              <w:ind w:right="108"/>
              <w:spacing w:after="0"/>
              <w:rPr>
                <w:sz w:val="20"/>
                <w:szCs w:val="20"/>
                <w:color w:val="auto"/>
              </w:rPr>
            </w:pPr>
            <w:r>
              <w:rPr>
                <w:rFonts w:ascii="Calibri" w:cs="Calibri" w:eastAsia="Calibri" w:hAnsi="Calibri"/>
                <w:sz w:val="14"/>
                <w:szCs w:val="14"/>
                <w:color w:val="51555C"/>
              </w:rPr>
              <w:t>—</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51555C"/>
              </w:rPr>
              <w:t>2.3</w:t>
            </w:r>
          </w:p>
        </w:tc>
      </w:tr>
      <w:tr>
        <w:trPr>
          <w:trHeight w:val="60"/>
        </w:trPr>
        <w:tc>
          <w:tcPr>
            <w:tcW w:w="600" w:type="dxa"/>
            <w:vAlign w:val="bottom"/>
            <w:tcBorders>
              <w:bottom w:val="single" w:sz="8" w:color="51555C"/>
            </w:tcBorders>
          </w:tcPr>
          <w:p>
            <w:pPr>
              <w:spacing w:after="0"/>
              <w:rPr>
                <w:sz w:val="5"/>
                <w:szCs w:val="5"/>
                <w:color w:val="auto"/>
              </w:rPr>
            </w:pPr>
          </w:p>
        </w:tc>
        <w:tc>
          <w:tcPr>
            <w:tcW w:w="1020" w:type="dxa"/>
            <w:vAlign w:val="bottom"/>
            <w:tcBorders>
              <w:bottom w:val="single" w:sz="8" w:color="51555C"/>
            </w:tcBorders>
          </w:tcPr>
          <w:p>
            <w:pPr>
              <w:spacing w:after="0"/>
              <w:rPr>
                <w:sz w:val="5"/>
                <w:szCs w:val="5"/>
                <w:color w:val="auto"/>
              </w:rPr>
            </w:pPr>
          </w:p>
        </w:tc>
        <w:tc>
          <w:tcPr>
            <w:tcW w:w="600" w:type="dxa"/>
            <w:vAlign w:val="bottom"/>
            <w:tcBorders>
              <w:bottom w:val="single" w:sz="8" w:color="51555C"/>
            </w:tcBorders>
          </w:tcPr>
          <w:p>
            <w:pPr>
              <w:spacing w:after="0"/>
              <w:rPr>
                <w:sz w:val="5"/>
                <w:szCs w:val="5"/>
                <w:color w:val="auto"/>
              </w:rPr>
            </w:pPr>
          </w:p>
        </w:tc>
        <w:tc>
          <w:tcPr>
            <w:tcW w:w="920" w:type="dxa"/>
            <w:vAlign w:val="bottom"/>
            <w:tcBorders>
              <w:bottom w:val="single" w:sz="8" w:color="51555C"/>
            </w:tcBorders>
          </w:tcPr>
          <w:p>
            <w:pPr>
              <w:spacing w:after="0"/>
              <w:rPr>
                <w:sz w:val="5"/>
                <w:szCs w:val="5"/>
                <w:color w:val="auto"/>
              </w:rPr>
            </w:pPr>
          </w:p>
        </w:tc>
      </w:tr>
      <w:tr>
        <w:trPr>
          <w:trHeight w:val="163"/>
        </w:trPr>
        <w:tc>
          <w:tcPr>
            <w:tcW w:w="600" w:type="dxa"/>
            <w:vAlign w:val="bottom"/>
          </w:tcPr>
          <w:p>
            <w:pPr>
              <w:spacing w:after="0"/>
              <w:rPr>
                <w:sz w:val="14"/>
                <w:szCs w:val="14"/>
                <w:color w:val="auto"/>
              </w:rPr>
            </w:pPr>
          </w:p>
        </w:tc>
        <w:tc>
          <w:tcPr>
            <w:tcW w:w="1020" w:type="dxa"/>
            <w:vAlign w:val="bottom"/>
          </w:tcPr>
          <w:p>
            <w:pPr>
              <w:jc w:val="right"/>
              <w:ind w:right="108"/>
              <w:spacing w:after="0" w:line="164" w:lineRule="exact"/>
              <w:rPr>
                <w:sz w:val="20"/>
                <w:szCs w:val="20"/>
                <w:color w:val="auto"/>
              </w:rPr>
            </w:pPr>
            <w:r>
              <w:rPr>
                <w:rFonts w:ascii="Calibri" w:cs="Calibri" w:eastAsia="Calibri" w:hAnsi="Calibri"/>
                <w:sz w:val="14"/>
                <w:szCs w:val="14"/>
                <w:color w:val="51555C"/>
              </w:rPr>
              <w:t>193.8</w:t>
            </w:r>
          </w:p>
        </w:tc>
        <w:tc>
          <w:tcPr>
            <w:tcW w:w="600" w:type="dxa"/>
            <w:vAlign w:val="bottom"/>
          </w:tcPr>
          <w:p>
            <w:pPr>
              <w:spacing w:after="0"/>
              <w:rPr>
                <w:sz w:val="14"/>
                <w:szCs w:val="14"/>
                <w:color w:val="auto"/>
              </w:rPr>
            </w:pPr>
          </w:p>
        </w:tc>
        <w:tc>
          <w:tcPr>
            <w:tcW w:w="920" w:type="dxa"/>
            <w:vAlign w:val="bottom"/>
          </w:tcPr>
          <w:p>
            <w:pPr>
              <w:jc w:val="right"/>
              <w:spacing w:after="0" w:line="164" w:lineRule="exact"/>
              <w:rPr>
                <w:sz w:val="20"/>
                <w:szCs w:val="20"/>
                <w:color w:val="auto"/>
              </w:rPr>
            </w:pPr>
            <w:r>
              <w:rPr>
                <w:rFonts w:ascii="Calibri" w:cs="Calibri" w:eastAsia="Calibri" w:hAnsi="Calibri"/>
                <w:sz w:val="14"/>
                <w:szCs w:val="14"/>
                <w:color w:val="51555C"/>
              </w:rPr>
              <w:t>179.7</w:t>
            </w:r>
          </w:p>
        </w:tc>
      </w:tr>
      <w:tr>
        <w:trPr>
          <w:trHeight w:val="60"/>
        </w:trPr>
        <w:tc>
          <w:tcPr>
            <w:tcW w:w="600" w:type="dxa"/>
            <w:vAlign w:val="bottom"/>
            <w:tcBorders>
              <w:bottom w:val="single" w:sz="8" w:color="51555C"/>
            </w:tcBorders>
          </w:tcPr>
          <w:p>
            <w:pPr>
              <w:spacing w:after="0"/>
              <w:rPr>
                <w:sz w:val="5"/>
                <w:szCs w:val="5"/>
                <w:color w:val="auto"/>
              </w:rPr>
            </w:pPr>
          </w:p>
        </w:tc>
        <w:tc>
          <w:tcPr>
            <w:tcW w:w="1020" w:type="dxa"/>
            <w:vAlign w:val="bottom"/>
            <w:tcBorders>
              <w:bottom w:val="single" w:sz="8" w:color="51555C"/>
            </w:tcBorders>
          </w:tcPr>
          <w:p>
            <w:pPr>
              <w:spacing w:after="0"/>
              <w:rPr>
                <w:sz w:val="5"/>
                <w:szCs w:val="5"/>
                <w:color w:val="auto"/>
              </w:rPr>
            </w:pPr>
          </w:p>
        </w:tc>
        <w:tc>
          <w:tcPr>
            <w:tcW w:w="600" w:type="dxa"/>
            <w:vAlign w:val="bottom"/>
            <w:tcBorders>
              <w:bottom w:val="single" w:sz="8" w:color="51555C"/>
            </w:tcBorders>
          </w:tcPr>
          <w:p>
            <w:pPr>
              <w:spacing w:after="0"/>
              <w:rPr>
                <w:sz w:val="5"/>
                <w:szCs w:val="5"/>
                <w:color w:val="auto"/>
              </w:rPr>
            </w:pPr>
          </w:p>
        </w:tc>
        <w:tc>
          <w:tcPr>
            <w:tcW w:w="920" w:type="dxa"/>
            <w:vAlign w:val="bottom"/>
            <w:tcBorders>
              <w:bottom w:val="single" w:sz="8" w:color="51555C"/>
            </w:tcBorders>
          </w:tcPr>
          <w:p>
            <w:pPr>
              <w:spacing w:after="0"/>
              <w:rPr>
                <w:sz w:val="5"/>
                <w:szCs w:val="5"/>
                <w:color w:val="auto"/>
              </w:rPr>
            </w:pPr>
          </w:p>
        </w:tc>
      </w:tr>
      <w:tr>
        <w:trPr>
          <w:trHeight w:val="163"/>
        </w:trPr>
        <w:tc>
          <w:tcPr>
            <w:tcW w:w="600" w:type="dxa"/>
            <w:vAlign w:val="bottom"/>
          </w:tcPr>
          <w:p>
            <w:pPr>
              <w:jc w:val="right"/>
              <w:ind w:right="448"/>
              <w:spacing w:after="0" w:line="164" w:lineRule="exact"/>
              <w:rPr>
                <w:sz w:val="20"/>
                <w:szCs w:val="20"/>
                <w:color w:val="auto"/>
              </w:rPr>
            </w:pPr>
            <w:r>
              <w:rPr>
                <w:rFonts w:ascii="Calibri" w:cs="Calibri" w:eastAsia="Calibri" w:hAnsi="Calibri"/>
                <w:sz w:val="14"/>
                <w:szCs w:val="14"/>
                <w:color w:val="51555C"/>
                <w:w w:val="83"/>
              </w:rPr>
              <w:t>$</w:t>
            </w:r>
          </w:p>
        </w:tc>
        <w:tc>
          <w:tcPr>
            <w:tcW w:w="1020" w:type="dxa"/>
            <w:vAlign w:val="bottom"/>
          </w:tcPr>
          <w:p>
            <w:pPr>
              <w:jc w:val="right"/>
              <w:ind w:right="108"/>
              <w:spacing w:after="0" w:line="164" w:lineRule="exact"/>
              <w:rPr>
                <w:sz w:val="20"/>
                <w:szCs w:val="20"/>
                <w:color w:val="auto"/>
              </w:rPr>
            </w:pPr>
            <w:r>
              <w:rPr>
                <w:rFonts w:ascii="Calibri" w:cs="Calibri" w:eastAsia="Calibri" w:hAnsi="Calibri"/>
                <w:sz w:val="14"/>
                <w:szCs w:val="14"/>
                <w:color w:val="51555C"/>
              </w:rPr>
              <w:t>356.5</w:t>
            </w:r>
          </w:p>
        </w:tc>
        <w:tc>
          <w:tcPr>
            <w:tcW w:w="600" w:type="dxa"/>
            <w:vAlign w:val="bottom"/>
          </w:tcPr>
          <w:p>
            <w:pPr>
              <w:jc w:val="right"/>
              <w:ind w:right="448"/>
              <w:spacing w:after="0" w:line="164" w:lineRule="exact"/>
              <w:rPr>
                <w:sz w:val="20"/>
                <w:szCs w:val="20"/>
                <w:color w:val="auto"/>
              </w:rPr>
            </w:pPr>
            <w:r>
              <w:rPr>
                <w:rFonts w:ascii="Calibri" w:cs="Calibri" w:eastAsia="Calibri" w:hAnsi="Calibri"/>
                <w:sz w:val="14"/>
                <w:szCs w:val="14"/>
                <w:color w:val="51555C"/>
                <w:w w:val="83"/>
              </w:rPr>
              <w:t>$</w:t>
            </w:r>
          </w:p>
        </w:tc>
        <w:tc>
          <w:tcPr>
            <w:tcW w:w="920" w:type="dxa"/>
            <w:vAlign w:val="bottom"/>
          </w:tcPr>
          <w:p>
            <w:pPr>
              <w:jc w:val="right"/>
              <w:spacing w:after="0" w:line="164" w:lineRule="exact"/>
              <w:rPr>
                <w:sz w:val="20"/>
                <w:szCs w:val="20"/>
                <w:color w:val="auto"/>
              </w:rPr>
            </w:pPr>
            <w:r>
              <w:rPr>
                <w:rFonts w:ascii="Calibri" w:cs="Calibri" w:eastAsia="Calibri" w:hAnsi="Calibri"/>
                <w:sz w:val="14"/>
                <w:szCs w:val="14"/>
                <w:color w:val="51555C"/>
              </w:rPr>
              <w:t>262.6</w:t>
            </w:r>
          </w:p>
        </w:tc>
      </w:tr>
      <w:tr>
        <w:trPr>
          <w:trHeight w:val="60"/>
        </w:trPr>
        <w:tc>
          <w:tcPr>
            <w:tcW w:w="600" w:type="dxa"/>
            <w:vAlign w:val="bottom"/>
            <w:tcBorders>
              <w:bottom w:val="single" w:sz="8" w:color="51555C"/>
            </w:tcBorders>
          </w:tcPr>
          <w:p>
            <w:pPr>
              <w:spacing w:after="0"/>
              <w:rPr>
                <w:sz w:val="5"/>
                <w:szCs w:val="5"/>
                <w:color w:val="auto"/>
              </w:rPr>
            </w:pPr>
          </w:p>
        </w:tc>
        <w:tc>
          <w:tcPr>
            <w:tcW w:w="1020" w:type="dxa"/>
            <w:vAlign w:val="bottom"/>
            <w:tcBorders>
              <w:bottom w:val="single" w:sz="8" w:color="51555C"/>
            </w:tcBorders>
          </w:tcPr>
          <w:p>
            <w:pPr>
              <w:spacing w:after="0"/>
              <w:rPr>
                <w:sz w:val="5"/>
                <w:szCs w:val="5"/>
                <w:color w:val="auto"/>
              </w:rPr>
            </w:pPr>
          </w:p>
        </w:tc>
        <w:tc>
          <w:tcPr>
            <w:tcW w:w="600" w:type="dxa"/>
            <w:vAlign w:val="bottom"/>
            <w:tcBorders>
              <w:bottom w:val="single" w:sz="8" w:color="51555C"/>
            </w:tcBorders>
          </w:tcPr>
          <w:p>
            <w:pPr>
              <w:spacing w:after="0"/>
              <w:rPr>
                <w:sz w:val="5"/>
                <w:szCs w:val="5"/>
                <w:color w:val="auto"/>
              </w:rPr>
            </w:pPr>
          </w:p>
        </w:tc>
        <w:tc>
          <w:tcPr>
            <w:tcW w:w="920" w:type="dxa"/>
            <w:vAlign w:val="bottom"/>
            <w:tcBorders>
              <w:bottom w:val="single" w:sz="8" w:color="51555C"/>
            </w:tcBorders>
          </w:tcPr>
          <w:p>
            <w:pPr>
              <w:spacing w:after="0"/>
              <w:rPr>
                <w:sz w:val="5"/>
                <w:szCs w:val="5"/>
                <w:color w:val="auto"/>
              </w:rPr>
            </w:pPr>
          </w:p>
        </w:tc>
      </w:tr>
      <w:tr>
        <w:trPr>
          <w:trHeight w:val="163"/>
        </w:trPr>
        <w:tc>
          <w:tcPr>
            <w:tcW w:w="600" w:type="dxa"/>
            <w:vAlign w:val="bottom"/>
          </w:tcPr>
          <w:p>
            <w:pPr>
              <w:spacing w:after="0"/>
              <w:rPr>
                <w:sz w:val="14"/>
                <w:szCs w:val="14"/>
                <w:color w:val="auto"/>
              </w:rPr>
            </w:pPr>
          </w:p>
        </w:tc>
        <w:tc>
          <w:tcPr>
            <w:tcW w:w="1020" w:type="dxa"/>
            <w:vAlign w:val="bottom"/>
          </w:tcPr>
          <w:p>
            <w:pPr>
              <w:jc w:val="right"/>
              <w:spacing w:after="0" w:line="164" w:lineRule="exact"/>
              <w:rPr>
                <w:sz w:val="20"/>
                <w:szCs w:val="20"/>
                <w:color w:val="auto"/>
              </w:rPr>
            </w:pPr>
            <w:r>
              <w:rPr>
                <w:rFonts w:ascii="Calibri" w:cs="Calibri" w:eastAsia="Calibri" w:hAnsi="Calibri"/>
                <w:sz w:val="14"/>
                <w:szCs w:val="14"/>
                <w:b w:val="1"/>
                <w:bCs w:val="1"/>
                <w:color w:val="51555C"/>
              </w:rPr>
              <w:t>32.2 %</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7"/>
        </w:trPr>
        <w:tc>
          <w:tcPr>
            <w:tcW w:w="6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b w:val="1"/>
                <w:bCs w:val="1"/>
                <w:color w:val="51555C"/>
              </w:rPr>
              <w:t>37.0 %</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2" w:lineRule="exact"/>
        <w:rPr>
          <w:sz w:val="20"/>
          <w:szCs w:val="20"/>
          <w:color w:val="auto"/>
        </w:rPr>
      </w:pPr>
    </w:p>
    <w:p>
      <w:pPr>
        <w:sectPr>
          <w:pgSz w:w="11900" w:h="16838" w:orient="portrait"/>
          <w:cols w:equalWidth="0" w:num="2">
            <w:col w:w="7380" w:space="720"/>
            <w:col w:w="3160"/>
          </w:cols>
          <w:pgMar w:left="320" w:top="111" w:right="3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1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Non-GAAP adjusted EBITDA</w:t>
            </w:r>
          </w:p>
        </w:tc>
        <w:tc>
          <w:tcPr>
            <w:tcW w:w="2180" w:type="dxa"/>
            <w:vAlign w:val="bottom"/>
            <w:tcBorders>
              <w:bottom w:val="single" w:sz="8" w:color="EBFBFF"/>
            </w:tcBorders>
            <w:shd w:val="clear" w:color="auto" w:fill="EBFBFF"/>
          </w:tcPr>
          <w:p>
            <w:pPr>
              <w:jc w:val="right"/>
              <w:ind w:right="668"/>
              <w:spacing w:after="0"/>
              <w:rPr>
                <w:sz w:val="20"/>
                <w:szCs w:val="20"/>
                <w:color w:val="auto"/>
              </w:rPr>
            </w:pPr>
            <w:r>
              <w:rPr>
                <w:rFonts w:ascii="Calibri" w:cs="Calibri" w:eastAsia="Calibri" w:hAnsi="Calibri"/>
                <w:sz w:val="14"/>
                <w:szCs w:val="14"/>
                <w:color w:val="51555C"/>
              </w:rPr>
              <w:t>356.5</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262.6</w:t>
            </w:r>
          </w:p>
        </w:tc>
      </w:tr>
      <w:tr>
        <w:trPr>
          <w:trHeight w:val="170"/>
        </w:trPr>
        <w:tc>
          <w:tcPr>
            <w:tcW w:w="8100" w:type="dxa"/>
            <w:vAlign w:val="bottom"/>
          </w:tcPr>
          <w:p>
            <w:pPr>
              <w:ind w:left="140"/>
              <w:spacing w:after="0"/>
              <w:rPr>
                <w:sz w:val="20"/>
                <w:szCs w:val="20"/>
                <w:color w:val="auto"/>
              </w:rPr>
            </w:pPr>
            <w:r>
              <w:rPr>
                <w:rFonts w:ascii="Calibri" w:cs="Calibri" w:eastAsia="Calibri" w:hAnsi="Calibri"/>
                <w:sz w:val="14"/>
                <w:szCs w:val="14"/>
                <w:color w:val="51555C"/>
              </w:rPr>
              <w:t>Foreign currency impact on Non-GAAP adjusted EBITDA</w:t>
            </w:r>
          </w:p>
        </w:tc>
        <w:tc>
          <w:tcPr>
            <w:tcW w:w="2180" w:type="dxa"/>
            <w:vAlign w:val="bottom"/>
          </w:tcPr>
          <w:p>
            <w:pPr>
              <w:jc w:val="right"/>
              <w:ind w:right="668"/>
              <w:spacing w:after="0"/>
              <w:rPr>
                <w:sz w:val="20"/>
                <w:szCs w:val="20"/>
                <w:color w:val="auto"/>
              </w:rPr>
            </w:pPr>
            <w:r>
              <w:rPr>
                <w:rFonts w:ascii="Calibri" w:cs="Calibri" w:eastAsia="Calibri" w:hAnsi="Calibri"/>
                <w:sz w:val="14"/>
                <w:szCs w:val="14"/>
                <w:color w:val="51555C"/>
              </w:rPr>
              <w:t>—</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6.3</w:t>
            </w:r>
          </w:p>
        </w:tc>
      </w:tr>
      <w:tr>
        <w:trPr>
          <w:trHeight w:val="60"/>
        </w:trPr>
        <w:tc>
          <w:tcPr>
            <w:tcW w:w="8100" w:type="dxa"/>
            <w:vAlign w:val="bottom"/>
            <w:tcBorders>
              <w:bottom w:val="single" w:sz="8" w:color="EBFBFF"/>
            </w:tcBorders>
          </w:tcPr>
          <w:p>
            <w:pPr>
              <w:spacing w:after="0"/>
              <w:rPr>
                <w:sz w:val="5"/>
                <w:szCs w:val="5"/>
                <w:color w:val="auto"/>
              </w:rPr>
            </w:pPr>
          </w:p>
        </w:tc>
        <w:tc>
          <w:tcPr>
            <w:tcW w:w="2180" w:type="dxa"/>
            <w:vAlign w:val="bottom"/>
            <w:tcBorders>
              <w:bottom w:val="single" w:sz="8" w:color="51555C"/>
            </w:tcBorders>
          </w:tcPr>
          <w:p>
            <w:pPr>
              <w:spacing w:after="0"/>
              <w:rPr>
                <w:sz w:val="5"/>
                <w:szCs w:val="5"/>
                <w:color w:val="auto"/>
              </w:rPr>
            </w:pPr>
          </w:p>
        </w:tc>
        <w:tc>
          <w:tcPr>
            <w:tcW w:w="960" w:type="dxa"/>
            <w:vAlign w:val="bottom"/>
            <w:tcBorders>
              <w:bottom w:val="single" w:sz="8" w:color="51555C"/>
            </w:tcBorders>
          </w:tcPr>
          <w:p>
            <w:pPr>
              <w:spacing w:after="0"/>
              <w:rPr>
                <w:sz w:val="5"/>
                <w:szCs w:val="5"/>
                <w:color w:val="auto"/>
              </w:rPr>
            </w:pPr>
          </w:p>
        </w:tc>
      </w:tr>
      <w:tr>
        <w:trPr>
          <w:trHeight w:val="223"/>
        </w:trPr>
        <w:tc>
          <w:tcPr>
            <w:tcW w:w="8100" w:type="dxa"/>
            <w:vAlign w:val="bottom"/>
            <w:tcBorders>
              <w:bottom w:val="single" w:sz="8" w:color="EBFBFF"/>
            </w:tcBorders>
            <w:shd w:val="clear" w:color="auto" w:fill="EBFBFF"/>
          </w:tcPr>
          <w:p>
            <w:pPr>
              <w:ind w:left="20"/>
              <w:spacing w:after="0" w:line="202" w:lineRule="exact"/>
              <w:rPr>
                <w:sz w:val="20"/>
                <w:szCs w:val="20"/>
                <w:color w:val="auto"/>
              </w:rPr>
            </w:pPr>
            <w:r>
              <w:rPr>
                <w:rFonts w:ascii="Calibri" w:cs="Calibri" w:eastAsia="Calibri" w:hAnsi="Calibri"/>
                <w:sz w:val="14"/>
                <w:szCs w:val="14"/>
                <w:color w:val="51555C"/>
              </w:rPr>
              <w:t>Non-GAAP adjusted EBITDA on constant currency basis</w:t>
            </w:r>
            <w:r>
              <w:rPr>
                <w:rFonts w:ascii="Calibri" w:cs="Calibri" w:eastAsia="Calibri" w:hAnsi="Calibri"/>
                <w:sz w:val="18"/>
                <w:szCs w:val="18"/>
                <w:color w:val="51555C"/>
                <w:vertAlign w:val="superscript"/>
              </w:rPr>
              <w:t>(7)</w:t>
            </w:r>
          </w:p>
        </w:tc>
        <w:tc>
          <w:tcPr>
            <w:tcW w:w="2180" w:type="dxa"/>
            <w:vAlign w:val="bottom"/>
            <w:tcBorders>
              <w:bottom w:val="single" w:sz="8" w:color="EBFBFF"/>
            </w:tcBorders>
            <w:shd w:val="clear" w:color="auto" w:fill="EBFBFF"/>
          </w:tcPr>
          <w:p>
            <w:pPr>
              <w:jc w:val="right"/>
              <w:ind w:right="668"/>
              <w:spacing w:after="0"/>
              <w:rPr>
                <w:sz w:val="20"/>
                <w:szCs w:val="20"/>
                <w:color w:val="auto"/>
              </w:rPr>
            </w:pPr>
            <w:r>
              <w:rPr>
                <w:rFonts w:ascii="Calibri" w:cs="Calibri" w:eastAsia="Calibri" w:hAnsi="Calibri"/>
                <w:sz w:val="14"/>
                <w:szCs w:val="14"/>
                <w:color w:val="51555C"/>
              </w:rPr>
              <w:t>356.5</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4"/>
                <w:szCs w:val="14"/>
                <w:color w:val="51555C"/>
              </w:rPr>
              <w:t>268.9</w:t>
            </w:r>
          </w:p>
        </w:tc>
      </w:tr>
      <w:tr>
        <w:trPr>
          <w:trHeight w:val="202"/>
        </w:trPr>
        <w:tc>
          <w:tcPr>
            <w:tcW w:w="8100" w:type="dxa"/>
            <w:vAlign w:val="bottom"/>
          </w:tcPr>
          <w:p>
            <w:pPr>
              <w:ind w:left="140"/>
              <w:spacing w:after="0" w:line="202" w:lineRule="exact"/>
              <w:rPr>
                <w:sz w:val="20"/>
                <w:szCs w:val="20"/>
                <w:color w:val="auto"/>
              </w:rPr>
            </w:pPr>
            <w:r>
              <w:rPr>
                <w:rFonts w:ascii="Calibri" w:cs="Calibri" w:eastAsia="Calibri" w:hAnsi="Calibri"/>
                <w:sz w:val="14"/>
                <w:szCs w:val="14"/>
                <w:b w:val="1"/>
                <w:bCs w:val="1"/>
                <w:color w:val="51555C"/>
              </w:rPr>
              <w:t>Non-GAAP adjusted EBITDA margin on constant currency basis</w:t>
            </w:r>
            <w:r>
              <w:rPr>
                <w:rFonts w:ascii="Calibri" w:cs="Calibri" w:eastAsia="Calibri" w:hAnsi="Calibri"/>
                <w:sz w:val="18"/>
                <w:szCs w:val="18"/>
                <w:color w:val="51555C"/>
                <w:vertAlign w:val="superscript"/>
              </w:rPr>
              <w:t>(7)</w:t>
            </w:r>
          </w:p>
        </w:tc>
        <w:tc>
          <w:tcPr>
            <w:tcW w:w="2180" w:type="dxa"/>
            <w:vAlign w:val="bottom"/>
            <w:tcBorders>
              <w:top w:val="single" w:sz="8" w:color="51555C"/>
            </w:tcBorders>
          </w:tcPr>
          <w:p>
            <w:pPr>
              <w:jc w:val="right"/>
              <w:ind w:right="508"/>
              <w:spacing w:after="0"/>
              <w:rPr>
                <w:sz w:val="20"/>
                <w:szCs w:val="20"/>
                <w:color w:val="auto"/>
              </w:rPr>
            </w:pPr>
            <w:r>
              <w:rPr>
                <w:rFonts w:ascii="Calibri" w:cs="Calibri" w:eastAsia="Calibri" w:hAnsi="Calibri"/>
                <w:sz w:val="14"/>
                <w:szCs w:val="14"/>
                <w:b w:val="1"/>
                <w:bCs w:val="1"/>
                <w:color w:val="51555C"/>
              </w:rPr>
              <w:t>32.2 %</w:t>
            </w:r>
          </w:p>
        </w:tc>
        <w:tc>
          <w:tcPr>
            <w:tcW w:w="960" w:type="dxa"/>
            <w:vAlign w:val="bottom"/>
            <w:tcBorders>
              <w:top w:val="single" w:sz="8" w:color="51555C"/>
            </w:tcBorders>
          </w:tcPr>
          <w:p>
            <w:pPr>
              <w:spacing w:after="0"/>
              <w:rPr>
                <w:sz w:val="17"/>
                <w:szCs w:val="17"/>
                <w:color w:val="auto"/>
              </w:rPr>
            </w:pPr>
          </w:p>
        </w:tc>
      </w:tr>
      <w:tr>
        <w:trPr>
          <w:trHeight w:val="21"/>
        </w:trPr>
        <w:tc>
          <w:tcPr>
            <w:tcW w:w="8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8"/>
        </w:trPr>
        <w:tc>
          <w:tcPr>
            <w:tcW w:w="8100" w:type="dxa"/>
            <w:vAlign w:val="bottom"/>
            <w:shd w:val="clear" w:color="auto" w:fill="EBFBFF"/>
          </w:tcPr>
          <w:p>
            <w:pPr>
              <w:spacing w:after="0"/>
              <w:rPr>
                <w:sz w:val="12"/>
                <w:szCs w:val="12"/>
                <w:color w:val="auto"/>
              </w:rPr>
            </w:pPr>
          </w:p>
        </w:tc>
        <w:tc>
          <w:tcPr>
            <w:tcW w:w="2180" w:type="dxa"/>
            <w:vAlign w:val="bottom"/>
            <w:shd w:val="clear" w:color="auto" w:fill="EBFBFF"/>
          </w:tcPr>
          <w:p>
            <w:pPr>
              <w:spacing w:after="0"/>
              <w:rPr>
                <w:sz w:val="12"/>
                <w:szCs w:val="12"/>
                <w:color w:val="auto"/>
              </w:rPr>
            </w:pPr>
          </w:p>
        </w:tc>
        <w:tc>
          <w:tcPr>
            <w:tcW w:w="960" w:type="dxa"/>
            <w:vAlign w:val="bottom"/>
            <w:shd w:val="clear" w:color="auto" w:fill="EBFBFF"/>
          </w:tcPr>
          <w:p>
            <w:pPr>
              <w:spacing w:after="0"/>
              <w:rPr>
                <w:sz w:val="12"/>
                <w:szCs w:val="12"/>
                <w:color w:val="auto"/>
              </w:rPr>
            </w:pPr>
          </w:p>
        </w:tc>
      </w:tr>
      <w:tr>
        <w:trPr>
          <w:trHeight w:val="223"/>
        </w:trPr>
        <w:tc>
          <w:tcPr>
            <w:tcW w:w="8100" w:type="dxa"/>
            <w:vAlign w:val="bottom"/>
            <w:tcBorders>
              <w:bottom w:val="single" w:sz="8" w:color="0CD973"/>
            </w:tcBorders>
          </w:tcPr>
          <w:p>
            <w:pPr>
              <w:ind w:left="20"/>
              <w:spacing w:after="0" w:line="216" w:lineRule="exact"/>
              <w:rPr>
                <w:sz w:val="20"/>
                <w:szCs w:val="20"/>
                <w:color w:val="auto"/>
              </w:rPr>
            </w:pPr>
            <w:r>
              <w:rPr>
                <w:rFonts w:ascii="Calibri" w:cs="Calibri" w:eastAsia="Calibri" w:hAnsi="Calibri"/>
                <w:sz w:val="14"/>
                <w:szCs w:val="14"/>
                <w:b w:val="1"/>
                <w:bCs w:val="1"/>
                <w:color w:val="51555C"/>
              </w:rPr>
              <w:t>Rule of 40 on constant currency basis</w:t>
            </w:r>
            <w:r>
              <w:rPr>
                <w:rFonts w:ascii="Calibri" w:cs="Calibri" w:eastAsia="Calibri" w:hAnsi="Calibri"/>
                <w:sz w:val="18"/>
                <w:szCs w:val="18"/>
                <w:b w:val="1"/>
                <w:bCs w:val="1"/>
                <w:color w:val="51555C"/>
                <w:vertAlign w:val="superscript"/>
              </w:rPr>
              <w:t>(8)</w:t>
            </w:r>
          </w:p>
        </w:tc>
        <w:tc>
          <w:tcPr>
            <w:tcW w:w="2180" w:type="dxa"/>
            <w:vAlign w:val="bottom"/>
            <w:tcBorders>
              <w:bottom w:val="single" w:sz="8" w:color="0CD973"/>
            </w:tcBorders>
          </w:tcPr>
          <w:p>
            <w:pPr>
              <w:jc w:val="right"/>
              <w:ind w:right="508"/>
              <w:spacing w:after="0"/>
              <w:rPr>
                <w:sz w:val="20"/>
                <w:szCs w:val="20"/>
                <w:color w:val="auto"/>
              </w:rPr>
            </w:pPr>
            <w:r>
              <w:rPr>
                <w:rFonts w:ascii="Calibri" w:cs="Calibri" w:eastAsia="Calibri" w:hAnsi="Calibri"/>
                <w:sz w:val="14"/>
                <w:szCs w:val="14"/>
                <w:b w:val="1"/>
                <w:bCs w:val="1"/>
                <w:color w:val="51555C"/>
              </w:rPr>
              <w:t>37.1 %</w:t>
            </w:r>
          </w:p>
        </w:tc>
        <w:tc>
          <w:tcPr>
            <w:tcW w:w="960" w:type="dxa"/>
            <w:vAlign w:val="bottom"/>
            <w:tcBorders>
              <w:bottom w:val="single" w:sz="8" w:color="0CD973"/>
            </w:tcBorders>
          </w:tcPr>
          <w:p>
            <w:pPr>
              <w:spacing w:after="0"/>
              <w:rPr>
                <w:sz w:val="19"/>
                <w:szCs w:val="19"/>
                <w:color w:val="auto"/>
              </w:rPr>
            </w:pPr>
          </w:p>
        </w:tc>
      </w:tr>
    </w:tbl>
    <w:p>
      <w:pPr>
        <w:spacing w:after="0" w:line="66" w:lineRule="exact"/>
        <w:rPr>
          <w:sz w:val="20"/>
          <w:szCs w:val="20"/>
          <w:color w:val="auto"/>
        </w:rPr>
      </w:pPr>
    </w:p>
    <w:p>
      <w:pPr>
        <w:ind w:left="340" w:hanging="332"/>
        <w:spacing w:after="0"/>
        <w:tabs>
          <w:tab w:leader="none" w:pos="340"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Includes amortzaton expense related to sofware and content development costs and amortzaton expense from capitalized cloud computng implementaton costs.</w:t>
      </w:r>
    </w:p>
    <w:p>
      <w:pPr>
        <w:ind w:left="340" w:hanging="332"/>
        <w:spacing w:after="0" w:line="227" w:lineRule="auto"/>
        <w:tabs>
          <w:tab w:leader="none" w:pos="340"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subtotal, non-GAAP EBITDA, non-GAAP adjusted EBITDA or non-GAAP adjusted EBITDA on a constant currency basis due to rounding.</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Measured by GAAP revenue divided by non-GAAP EBITDA.</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See additonal details in the reconciliaton of GAAP to Non-GAAP operatng income above.</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Measured by non-GAAP organic revenue divided by non-GAAP adjusted EBITDA.</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Measured by non-GAAP organic revenue growth plus non-GAAP adjusted EBITDA margin. See Non-GAAP organic revenue growth table above.</w:t>
      </w:r>
    </w:p>
    <w:p>
      <w:pPr>
        <w:jc w:val="both"/>
        <w:ind w:left="340" w:right="20" w:hanging="332"/>
        <w:spacing w:after="0"/>
        <w:tabs>
          <w:tab w:leader="none" w:pos="338"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To determine non-GAAP adjusted EBITDA on a constant currency basis, non-GAAP adjusted EBITDA from enttes reportng in foreign currencies were translated to U.S. Dollars using the comparable prior period's quarterly weighted average foreign currency exchange rates. The primary foreign currencies creatng the impact are the Australian Dollar, Britsh Pound, Canadian Dollar and Euro.</w:t>
      </w:r>
    </w:p>
    <w:p>
      <w:pPr>
        <w:spacing w:after="0" w:line="5" w:lineRule="exact"/>
        <w:rPr>
          <w:rFonts w:ascii="Calibri" w:cs="Calibri" w:eastAsia="Calibri" w:hAnsi="Calibri"/>
          <w:sz w:val="14"/>
          <w:szCs w:val="14"/>
          <w:color w:val="51555C"/>
        </w:rPr>
      </w:pPr>
    </w:p>
    <w:p>
      <w:pPr>
        <w:ind w:left="340" w:right="20" w:hanging="332"/>
        <w:spacing w:after="0" w:line="245" w:lineRule="auto"/>
        <w:tabs>
          <w:tab w:leader="none" w:pos="338" w:val="left"/>
        </w:tabs>
        <w:numPr>
          <w:ilvl w:val="0"/>
          <w:numId w:val="41"/>
        </w:numPr>
        <w:rPr>
          <w:rFonts w:ascii="Calibri" w:cs="Calibri" w:eastAsia="Calibri" w:hAnsi="Calibri"/>
          <w:sz w:val="14"/>
          <w:szCs w:val="14"/>
          <w:color w:val="51555C"/>
        </w:rPr>
      </w:pPr>
      <w:r>
        <w:rPr>
          <w:rFonts w:ascii="Calibri" w:cs="Calibri" w:eastAsia="Calibri" w:hAnsi="Calibri"/>
          <w:sz w:val="14"/>
          <w:szCs w:val="14"/>
          <w:color w:val="51555C"/>
        </w:rPr>
        <w:t>Measured by non-GAAP organic revenue growth on constant currency basis plus non-GAAP adjusted EBITDA margin on constant currency basis. See Non-GAAP organic revenue growth table above.</w:t>
      </w: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52</w:t>
      </w:r>
      <w:r>
        <w:rPr>
          <w:sz w:val="20"/>
          <w:szCs w:val="20"/>
          <w:color w:val="auto"/>
        </w:rPr>
        <w:tab/>
      </w:r>
      <w:r>
        <w:rPr>
          <w:sz w:val="1"/>
          <w:szCs w:val="1"/>
          <w:color w:val="auto"/>
        </w:rPr>
        <w:drawing>
          <wp:inline distT="0" distB="0" distL="0" distR="0">
            <wp:extent cx="728345" cy="18859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Non-GAAP free cash fow and non-GAAP adjusted free cash fow</w:t>
      </w:r>
    </w:p>
    <w:p>
      <w:pPr>
        <w:spacing w:after="0" w:line="16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Non-GAAP free cash fow is defned as operatng cash fow less capital expenditures, including costs required to be capitalized for sofware and content development, and capital expenditures for property and equipment.</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Non-GAAP adjusted free cash fow is defned as operatng cash fow less capital expenditures, including costs required to be capitalized for sofware and content development and capital expenditures for property and equipment, plus cash outlows, net of insurance, related to the Security Incident.</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We believe non-GAAP free cash fow and non-GAAP adjusted free cash fow provides useful measures of the Company's operatng performance. Non-GAAP adjusted free cash fow is not intended to represent and should not be viewed as the amount of residual cash fow available for discretonary expenditures.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shd w:val="clear" w:color="auto" w:fill="004054"/>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222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540" w:type="dxa"/>
            <w:vAlign w:val="bottom"/>
            <w:vMerge w:val="restart"/>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480" w:type="dxa"/>
            <w:vAlign w:val="bottom"/>
            <w:shd w:val="clear" w:color="auto" w:fill="004054"/>
          </w:tcPr>
          <w:p>
            <w:pPr>
              <w:spacing w:after="0"/>
              <w:rPr>
                <w:sz w:val="4"/>
                <w:szCs w:val="4"/>
                <w:color w:val="auto"/>
              </w:rPr>
            </w:pPr>
          </w:p>
        </w:tc>
        <w:tc>
          <w:tcPr>
            <w:tcW w:w="86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80" w:type="dxa"/>
            <w:vAlign w:val="bottom"/>
            <w:shd w:val="clear" w:color="auto" w:fill="004054"/>
          </w:tcPr>
          <w:p>
            <w:pPr>
              <w:spacing w:after="0"/>
              <w:rPr>
                <w:sz w:val="4"/>
                <w:szCs w:val="4"/>
                <w:color w:val="auto"/>
              </w:rPr>
            </w:pPr>
          </w:p>
        </w:tc>
        <w:tc>
          <w:tcPr>
            <w:tcW w:w="8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540" w:type="dxa"/>
            <w:vAlign w:val="bottom"/>
            <w:vMerge w:val="continue"/>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60" w:type="dxa"/>
            <w:vAlign w:val="bottom"/>
            <w:vMerge w:val="continue"/>
            <w:shd w:val="clear" w:color="auto" w:fill="004054"/>
          </w:tcPr>
          <w:p>
            <w:pPr>
              <w:spacing w:after="0"/>
              <w:rPr>
                <w:sz w:val="15"/>
                <w:szCs w:val="15"/>
                <w:color w:val="auto"/>
              </w:rPr>
            </w:pPr>
          </w:p>
        </w:tc>
        <w:tc>
          <w:tcPr>
            <w:tcW w:w="480" w:type="dxa"/>
            <w:vAlign w:val="bottom"/>
            <w:shd w:val="clear" w:color="auto" w:fill="004054"/>
          </w:tcPr>
          <w:p>
            <w:pPr>
              <w:spacing w:after="0"/>
              <w:rPr>
                <w:sz w:val="15"/>
                <w:szCs w:val="15"/>
                <w:color w:val="auto"/>
              </w:rPr>
            </w:pPr>
          </w:p>
        </w:tc>
        <w:tc>
          <w:tcPr>
            <w:tcW w:w="880" w:type="dxa"/>
            <w:vAlign w:val="bottom"/>
            <w:vMerge w:val="continue"/>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54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86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8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GAAP net cash provided by operatng actvites</w:t>
            </w: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199.6</w:t>
            </w:r>
          </w:p>
        </w:tc>
        <w:tc>
          <w:tcPr>
            <w:tcW w:w="480" w:type="dxa"/>
            <w:vAlign w:val="bottom"/>
            <w:tcBorders>
              <w:bottom w:val="single" w:sz="8" w:color="EBFBFF"/>
            </w:tcBorders>
            <w:shd w:val="clear" w:color="auto" w:fill="EBFBFF"/>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540" w:type="dxa"/>
            <w:vAlign w:val="bottom"/>
          </w:tcPr>
          <w:p>
            <w:pPr>
              <w:ind w:left="140"/>
              <w:spacing w:after="0"/>
              <w:rPr>
                <w:sz w:val="20"/>
                <w:szCs w:val="20"/>
                <w:color w:val="auto"/>
              </w:rPr>
            </w:pPr>
            <w:r>
              <w:rPr>
                <w:rFonts w:ascii="Calibri" w:cs="Calibri" w:eastAsia="Calibri" w:hAnsi="Calibri"/>
                <w:sz w:val="14"/>
                <w:szCs w:val="14"/>
                <w:b w:val="1"/>
                <w:bCs w:val="1"/>
                <w:color w:val="51555C"/>
              </w:rPr>
              <w:t>GAAP operatng cash fow margin</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4"/>
                <w:szCs w:val="14"/>
                <w:color w:val="51555C"/>
              </w:rPr>
              <w:t>18.1 %</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alibri" w:cs="Calibri" w:eastAsia="Calibri" w:hAnsi="Calibri"/>
                <w:sz w:val="14"/>
                <w:szCs w:val="14"/>
                <w:color w:val="51555C"/>
              </w:rPr>
              <w:t>19.3 %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480" w:type="dxa"/>
            <w:vAlign w:val="bottom"/>
            <w:tcBorders>
              <w:bottom w:val="single" w:sz="8" w:color="EBFBFF"/>
            </w:tcBorders>
            <w:shd w:val="clear" w:color="auto" w:fill="EBFBFF"/>
          </w:tcPr>
          <w:p>
            <w:pPr>
              <w:spacing w:after="0"/>
              <w:rPr>
                <w:sz w:val="18"/>
                <w:szCs w:val="18"/>
                <w:color w:val="auto"/>
              </w:rPr>
            </w:pPr>
          </w:p>
        </w:tc>
        <w:tc>
          <w:tcPr>
            <w:tcW w:w="860" w:type="dxa"/>
            <w:vAlign w:val="bottom"/>
            <w:tcBorders>
              <w:bottom w:val="single" w:sz="8" w:color="EBFBFF"/>
            </w:tcBorders>
            <w:shd w:val="clear" w:color="auto" w:fill="EBFBFF"/>
          </w:tcPr>
          <w:p>
            <w:pPr>
              <w:spacing w:after="0"/>
              <w:rPr>
                <w:sz w:val="18"/>
                <w:szCs w:val="18"/>
                <w:color w:val="auto"/>
              </w:rPr>
            </w:pPr>
          </w:p>
        </w:tc>
        <w:tc>
          <w:tcPr>
            <w:tcW w:w="480" w:type="dxa"/>
            <w:vAlign w:val="bottom"/>
            <w:tcBorders>
              <w:bottom w:val="single" w:sz="8" w:color="EBFBFF"/>
            </w:tcBorders>
            <w:shd w:val="clear" w:color="auto" w:fill="EBFBFF"/>
          </w:tcPr>
          <w:p>
            <w:pPr>
              <w:spacing w:after="0"/>
              <w:rPr>
                <w:sz w:val="18"/>
                <w:szCs w:val="18"/>
                <w:color w:val="auto"/>
              </w:rPr>
            </w:pPr>
          </w:p>
        </w:tc>
        <w:tc>
          <w:tcPr>
            <w:tcW w:w="88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540" w:type="dxa"/>
            <w:vAlign w:val="bottom"/>
          </w:tcPr>
          <w:p>
            <w:pPr>
              <w:ind w:left="140"/>
              <w:spacing w:after="0"/>
              <w:rPr>
                <w:sz w:val="20"/>
                <w:szCs w:val="20"/>
                <w:color w:val="auto"/>
              </w:rPr>
            </w:pPr>
            <w:r>
              <w:rPr>
                <w:rFonts w:ascii="Calibri" w:cs="Calibri" w:eastAsia="Calibri" w:hAnsi="Calibri"/>
                <w:sz w:val="14"/>
                <w:szCs w:val="14"/>
                <w:color w:val="51555C"/>
              </w:rPr>
              <w:t>Less: purchase of property and equipment</w:t>
            </w:r>
          </w:p>
        </w:tc>
        <w:tc>
          <w:tcPr>
            <w:tcW w:w="4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alibri" w:cs="Calibri" w:eastAsia="Calibri" w:hAnsi="Calibri"/>
                <w:sz w:val="14"/>
                <w:szCs w:val="14"/>
                <w:color w:val="51555C"/>
              </w:rPr>
              <w:t>(4.7)</w:t>
            </w:r>
          </w:p>
        </w:tc>
        <w:tc>
          <w:tcPr>
            <w:tcW w:w="4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Calibri" w:cs="Calibri" w:eastAsia="Calibri" w:hAnsi="Calibri"/>
                <w:sz w:val="14"/>
                <w:szCs w:val="14"/>
                <w:color w:val="51555C"/>
              </w:rPr>
              <w:t>(12.3)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Less: capitalized sofware and content development costs</w:t>
            </w:r>
          </w:p>
        </w:tc>
        <w:tc>
          <w:tcPr>
            <w:tcW w:w="48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(59.4)</w:t>
            </w:r>
          </w:p>
        </w:tc>
        <w:tc>
          <w:tcPr>
            <w:tcW w:w="48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48"/>
              <w:spacing w:after="0"/>
              <w:rPr>
                <w:sz w:val="20"/>
                <w:szCs w:val="20"/>
                <w:color w:val="auto"/>
              </w:rPr>
            </w:pPr>
            <w:r>
              <w:rPr>
                <w:rFonts w:ascii="Calibri" w:cs="Calibri" w:eastAsia="Calibri" w:hAnsi="Calibri"/>
                <w:sz w:val="14"/>
                <w:szCs w:val="14"/>
                <w:color w:val="51555C"/>
              </w:rPr>
              <w:t>(58.8)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free cash fow</w:t>
            </w:r>
            <w:r>
              <w:rPr>
                <w:rFonts w:ascii="Calibri" w:cs="Calibri" w:eastAsia="Calibri" w:hAnsi="Calibri"/>
                <w:sz w:val="18"/>
                <w:szCs w:val="18"/>
                <w:b w:val="1"/>
                <w:bCs w:val="1"/>
                <w:color w:val="51555C"/>
                <w:vertAlign w:val="superscript"/>
              </w:rPr>
              <w:t>(1)</w:t>
            </w: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60" w:type="dxa"/>
            <w:vAlign w:val="bottom"/>
            <w:tcBorders>
              <w:top w:val="single" w:sz="8" w:color="51555C"/>
            </w:tcBorders>
          </w:tcPr>
          <w:p>
            <w:pPr>
              <w:jc w:val="right"/>
              <w:ind w:right="68"/>
              <w:spacing w:after="0"/>
              <w:rPr>
                <w:sz w:val="20"/>
                <w:szCs w:val="20"/>
                <w:color w:val="auto"/>
              </w:rPr>
            </w:pPr>
            <w:r>
              <w:rPr>
                <w:rFonts w:ascii="Calibri" w:cs="Calibri" w:eastAsia="Calibri" w:hAnsi="Calibri"/>
                <w:sz w:val="14"/>
                <w:szCs w:val="14"/>
                <w:color w:val="51555C"/>
              </w:rPr>
              <w:t>135.5</w:t>
            </w: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132.8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540" w:type="dxa"/>
            <w:vAlign w:val="bottom"/>
            <w:tcBorders>
              <w:bottom w:val="single" w:sz="8" w:color="EBFBFF"/>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60" w:type="dxa"/>
            <w:vAlign w:val="bottom"/>
            <w:tcBorders>
              <w:bottom w:val="single" w:sz="8" w:color="51555C"/>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8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54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free cash fow margin</w:t>
            </w:r>
          </w:p>
        </w:tc>
        <w:tc>
          <w:tcPr>
            <w:tcW w:w="48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12.3 %</w:t>
            </w:r>
          </w:p>
        </w:tc>
        <w:tc>
          <w:tcPr>
            <w:tcW w:w="480" w:type="dxa"/>
            <w:vAlign w:val="bottom"/>
            <w:tcBorders>
              <w:bottom w:val="single" w:sz="8" w:color="EBFBFF"/>
            </w:tcBorders>
            <w:shd w:val="clear" w:color="auto" w:fill="EBFBFF"/>
          </w:tcPr>
          <w:p>
            <w:pPr>
              <w:spacing w:after="0"/>
              <w:rPr>
                <w:sz w:val="17"/>
                <w:szCs w:val="17"/>
                <w:color w:val="auto"/>
              </w:rPr>
            </w:pPr>
          </w:p>
        </w:tc>
        <w:tc>
          <w:tcPr>
            <w:tcW w:w="8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12.6 %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540" w:type="dxa"/>
            <w:vAlign w:val="bottom"/>
          </w:tcPr>
          <w:p>
            <w:pPr>
              <w:ind w:left="20"/>
              <w:spacing w:after="0"/>
              <w:rPr>
                <w:sz w:val="20"/>
                <w:szCs w:val="20"/>
                <w:color w:val="auto"/>
              </w:rPr>
            </w:pPr>
            <w:r>
              <w:rPr>
                <w:rFonts w:ascii="Calibri" w:cs="Calibri" w:eastAsia="Calibri" w:hAnsi="Calibri"/>
                <w:sz w:val="14"/>
                <w:szCs w:val="14"/>
                <w:b w:val="1"/>
                <w:bCs w:val="1"/>
                <w:color w:val="51555C"/>
              </w:rPr>
              <w:t>Non-GAAP adjustments: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4"/>
                <w:szCs w:val="14"/>
                <w:color w:val="51555C"/>
              </w:rPr>
              <w:t>Add: Security Incident-related cash fows, net of insurance</w:t>
            </w:r>
          </w:p>
        </w:tc>
        <w:tc>
          <w:tcPr>
            <w:tcW w:w="48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ind w:right="68"/>
              <w:spacing w:after="0"/>
              <w:rPr>
                <w:sz w:val="20"/>
                <w:szCs w:val="20"/>
                <w:color w:val="auto"/>
              </w:rPr>
            </w:pPr>
            <w:r>
              <w:rPr>
                <w:rFonts w:ascii="Calibri" w:cs="Calibri" w:eastAsia="Calibri" w:hAnsi="Calibri"/>
                <w:sz w:val="14"/>
                <w:szCs w:val="14"/>
                <w:color w:val="51555C"/>
              </w:rPr>
              <w:t>78.0</w:t>
            </w:r>
          </w:p>
        </w:tc>
        <w:tc>
          <w:tcPr>
            <w:tcW w:w="48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ind w:right="88"/>
              <w:spacing w:after="0"/>
              <w:rPr>
                <w:sz w:val="20"/>
                <w:szCs w:val="20"/>
                <w:color w:val="auto"/>
              </w:rPr>
            </w:pPr>
            <w:r>
              <w:rPr>
                <w:rFonts w:ascii="Calibri" w:cs="Calibri" w:eastAsia="Calibri" w:hAnsi="Calibri"/>
                <w:sz w:val="14"/>
                <w:szCs w:val="14"/>
                <w:color w:val="51555C"/>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20"/>
              <w:spacing w:after="0" w:line="202" w:lineRule="exact"/>
              <w:rPr>
                <w:sz w:val="20"/>
                <w:szCs w:val="20"/>
                <w:color w:val="auto"/>
              </w:rPr>
            </w:pPr>
            <w:r>
              <w:rPr>
                <w:rFonts w:ascii="Calibri" w:cs="Calibri" w:eastAsia="Calibri" w:hAnsi="Calibri"/>
                <w:sz w:val="14"/>
                <w:szCs w:val="14"/>
                <w:b w:val="1"/>
                <w:bCs w:val="1"/>
                <w:color w:val="51555C"/>
              </w:rPr>
              <w:t>Non-GAAP adjusted free cash fow</w:t>
            </w:r>
            <w:r>
              <w:rPr>
                <w:rFonts w:ascii="Calibri" w:cs="Calibri" w:eastAsia="Calibri" w:hAnsi="Calibri"/>
                <w:sz w:val="18"/>
                <w:szCs w:val="18"/>
                <w:b w:val="1"/>
                <w:bCs w:val="1"/>
                <w:color w:val="51555C"/>
                <w:vertAlign w:val="superscript"/>
              </w:rPr>
              <w:t>(1)</w:t>
            </w: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60" w:type="dxa"/>
            <w:vAlign w:val="bottom"/>
            <w:tcBorders>
              <w:top w:val="single" w:sz="8" w:color="51555C"/>
            </w:tcBorders>
          </w:tcPr>
          <w:p>
            <w:pPr>
              <w:jc w:val="right"/>
              <w:ind w:right="68"/>
              <w:spacing w:after="0"/>
              <w:rPr>
                <w:sz w:val="20"/>
                <w:szCs w:val="20"/>
                <w:color w:val="auto"/>
              </w:rPr>
            </w:pPr>
            <w:r>
              <w:rPr>
                <w:rFonts w:ascii="Calibri" w:cs="Calibri" w:eastAsia="Calibri" w:hAnsi="Calibri"/>
                <w:sz w:val="14"/>
                <w:szCs w:val="14"/>
                <w:color w:val="51555C"/>
              </w:rPr>
              <w:t>213.5</w:t>
            </w:r>
          </w:p>
        </w:tc>
        <w:tc>
          <w:tcPr>
            <w:tcW w:w="480" w:type="dxa"/>
            <w:vAlign w:val="bottom"/>
            <w:tcBorders>
              <w:top w:val="single" w:sz="8" w:color="51555C"/>
            </w:tcBorders>
          </w:tcPr>
          <w:p>
            <w:pPr>
              <w:jc w:val="right"/>
              <w:ind w:right="308"/>
              <w:spacing w:after="0"/>
              <w:rPr>
                <w:sz w:val="20"/>
                <w:szCs w:val="20"/>
                <w:color w:val="auto"/>
              </w:rPr>
            </w:pPr>
            <w:r>
              <w:rPr>
                <w:rFonts w:ascii="Calibri" w:cs="Calibri" w:eastAsia="Calibri" w:hAnsi="Calibri"/>
                <w:sz w:val="14"/>
                <w:szCs w:val="14"/>
                <w:color w:val="51555C"/>
              </w:rPr>
              <w:t>$</w:t>
            </w:r>
          </w:p>
        </w:tc>
        <w:tc>
          <w:tcPr>
            <w:tcW w:w="880" w:type="dxa"/>
            <w:vAlign w:val="bottom"/>
            <w:tcBorders>
              <w:top w:val="single" w:sz="8" w:color="51555C"/>
            </w:tcBorders>
          </w:tcPr>
          <w:p>
            <w:pPr>
              <w:jc w:val="right"/>
              <w:ind w:right="88"/>
              <w:spacing w:after="0"/>
              <w:rPr>
                <w:sz w:val="20"/>
                <w:szCs w:val="20"/>
                <w:color w:val="auto"/>
              </w:rPr>
            </w:pPr>
            <w:r>
              <w:rPr>
                <w:rFonts w:ascii="Calibri" w:cs="Calibri" w:eastAsia="Calibri" w:hAnsi="Calibri"/>
                <w:sz w:val="14"/>
                <w:szCs w:val="14"/>
                <w:color w:val="51555C"/>
              </w:rPr>
              <w:t>153.7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540" w:type="dxa"/>
            <w:vAlign w:val="bottom"/>
            <w:tcBorders>
              <w:bottom w:val="single" w:sz="8" w:color="EBFBFF"/>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60" w:type="dxa"/>
            <w:vAlign w:val="bottom"/>
            <w:tcBorders>
              <w:bottom w:val="single" w:sz="8" w:color="51555C"/>
            </w:tcBorders>
          </w:tcPr>
          <w:p>
            <w:pPr>
              <w:spacing w:after="0" w:line="20" w:lineRule="exact"/>
              <w:rPr>
                <w:sz w:val="1"/>
                <w:szCs w:val="1"/>
                <w:color w:val="auto"/>
              </w:rPr>
            </w:pPr>
          </w:p>
        </w:tc>
        <w:tc>
          <w:tcPr>
            <w:tcW w:w="480" w:type="dxa"/>
            <w:vAlign w:val="bottom"/>
            <w:tcBorders>
              <w:bottom w:val="single" w:sz="8" w:color="51555C"/>
            </w:tcBorders>
          </w:tcPr>
          <w:p>
            <w:pPr>
              <w:spacing w:after="0" w:line="20" w:lineRule="exact"/>
              <w:rPr>
                <w:sz w:val="1"/>
                <w:szCs w:val="1"/>
                <w:color w:val="auto"/>
              </w:rPr>
            </w:pPr>
          </w:p>
        </w:tc>
        <w:tc>
          <w:tcPr>
            <w:tcW w:w="880" w:type="dxa"/>
            <w:vAlign w:val="bottom"/>
            <w:tcBorders>
              <w:bottom w:val="single" w:sz="8" w:color="51555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540" w:type="dxa"/>
            <w:vAlign w:val="bottom"/>
            <w:tcBorders>
              <w:bottom w:val="single" w:sz="8" w:color="EBFBFF"/>
            </w:tcBorders>
            <w:shd w:val="clear" w:color="auto" w:fill="EBFBFF"/>
          </w:tcPr>
          <w:p>
            <w:pPr>
              <w:ind w:left="140"/>
              <w:spacing w:after="0" w:line="163" w:lineRule="exact"/>
              <w:rPr>
                <w:sz w:val="20"/>
                <w:szCs w:val="20"/>
                <w:color w:val="auto"/>
              </w:rPr>
            </w:pPr>
            <w:r>
              <w:rPr>
                <w:rFonts w:ascii="Calibri" w:cs="Calibri" w:eastAsia="Calibri" w:hAnsi="Calibri"/>
                <w:sz w:val="14"/>
                <w:szCs w:val="14"/>
                <w:b w:val="1"/>
                <w:bCs w:val="1"/>
                <w:color w:val="51555C"/>
              </w:rPr>
              <w:t>Non-GAAP adjusted free cash fow margin</w:t>
            </w:r>
          </w:p>
        </w:tc>
        <w:tc>
          <w:tcPr>
            <w:tcW w:w="480" w:type="dxa"/>
            <w:vAlign w:val="bottom"/>
            <w:tcBorders>
              <w:bottom w:val="single" w:sz="8" w:color="EBFBFF"/>
            </w:tcBorders>
            <w:shd w:val="clear" w:color="auto" w:fill="EBFBFF"/>
          </w:tcPr>
          <w:p>
            <w:pPr>
              <w:spacing w:after="0"/>
              <w:rPr>
                <w:sz w:val="17"/>
                <w:szCs w:val="17"/>
                <w:color w:val="auto"/>
              </w:rPr>
            </w:pPr>
          </w:p>
        </w:tc>
        <w:tc>
          <w:tcPr>
            <w:tcW w:w="86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19.3 %</w:t>
            </w:r>
          </w:p>
        </w:tc>
        <w:tc>
          <w:tcPr>
            <w:tcW w:w="480" w:type="dxa"/>
            <w:vAlign w:val="bottom"/>
            <w:tcBorders>
              <w:bottom w:val="single" w:sz="8" w:color="EBFBFF"/>
            </w:tcBorders>
            <w:shd w:val="clear" w:color="auto" w:fill="EBFBFF"/>
          </w:tcPr>
          <w:p>
            <w:pPr>
              <w:spacing w:after="0"/>
              <w:rPr>
                <w:sz w:val="17"/>
                <w:szCs w:val="17"/>
                <w:color w:val="auto"/>
              </w:rPr>
            </w:pPr>
          </w:p>
        </w:tc>
        <w:tc>
          <w:tcPr>
            <w:tcW w:w="880" w:type="dxa"/>
            <w:vAlign w:val="bottom"/>
            <w:tcBorders>
              <w:bottom w:val="single" w:sz="8" w:color="EBFBFF"/>
            </w:tcBorders>
            <w:shd w:val="clear" w:color="auto" w:fill="EBFBFF"/>
          </w:tcPr>
          <w:p>
            <w:pPr>
              <w:jc w:val="right"/>
              <w:spacing w:after="0" w:line="164" w:lineRule="exact"/>
              <w:rPr>
                <w:sz w:val="20"/>
                <w:szCs w:val="20"/>
                <w:color w:val="auto"/>
              </w:rPr>
            </w:pPr>
            <w:r>
              <w:rPr>
                <w:rFonts w:ascii="Calibri" w:cs="Calibri" w:eastAsia="Calibri" w:hAnsi="Calibri"/>
                <w:sz w:val="14"/>
                <w:szCs w:val="14"/>
                <w:color w:val="51555C"/>
              </w:rPr>
              <w:t>14.5 %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4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8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-1807845</wp:posOffset>
            </wp:positionV>
            <wp:extent cx="17227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42"/>
        </w:numPr>
        <w:rPr>
          <w:rFonts w:ascii="Calibri" w:cs="Calibri" w:eastAsia="Calibri" w:hAnsi="Calibri"/>
          <w:sz w:val="14"/>
          <w:szCs w:val="14"/>
          <w:color w:val="51555C"/>
        </w:rPr>
      </w:pPr>
      <w:r>
        <w:rPr>
          <w:rFonts w:ascii="Calibri" w:cs="Calibri" w:eastAsia="Calibri" w:hAnsi="Calibri"/>
          <w:sz w:val="14"/>
          <w:szCs w:val="14"/>
          <w:color w:val="51555C"/>
        </w:rPr>
        <w:t>The individual amounts for each year may not sum to non-GAAP free cash fow or non-GAAP adjusted free cash fow due to rounding.</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Seasonality</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revenues normally fuctuate as a result of certain seasonal variatons in our business. Our frst quarter has historically been the seasonal low for bookings, with the second and fourth quarters historically being seasonally higher, and our bookings tend to be back-end loaded within individual quarters given our quarterly quota plans. Transactonal revenue is non-contractual and less predictable given the susceptbility to certain drivers such as tming and number of events and marketng campaigns, as well as fuctuatons in donaton volumes and tuiton payments. Our transactonal revenue has historically been at its lowest in the frst quarter due to the tming of customer fundraising initatves and events. We have historically experienced seasonal highs during the fourth quarter due to year-end giving campaigns and during the second quarter when a large number of events are held. Our revenue from professional services has historically been lower in the frst quarter when many of those services commence and in the fourth quarter due to the holiday season. As a result of these and other factors, our total revenue has historically been lower in the frst quarter than in the remainder of our fscal year, with the fourth quarter historically achieving the highest total revenue. Our expenses, other than transacton-based costs related to our payments services, do not vary signifcantly as a result of these factors, but do fuctuate on a quarterly basis due to varying tming of expenditures.</w:t>
      </w:r>
    </w:p>
    <w:p>
      <w:pPr>
        <w:spacing w:after="0" w:line="17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cash fow from operatons normally fuctuates quarterly due to the combinaton of the tming of customer contract renewals including renewals associated with customers of acquired companies, delivery of professional services and occurrence of customer events, as well as merit-based salary increases, among other factors. Historically, due to lower revenues in our frst quarter, combined with the payment of certain annual vendor contracts, our cash fow from operatons has been lowest in our frst quarter. Due to the tming of customer contract renewals and student enrollments, many of which take place at or near the beginning of our third quarter, our cash fow from operatons has generally been lower in our second quarter as compared to our third and fourth quarters. Partally ofsetng these favorable drivers of cash fow from operatons in our third and fourth quarters are base salary merit increases, which occur in July. In additon, deferred revenues can vary on a seasonal basis due to the tming of customer contract renewals and student enrollments or signifcant acquisitons. Our cash fow from fnancing is negatvely impacted in our frst quarter when most of our equity awards vest, as we pay taxes on behalf of our employees related to the setlement or exercise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233680</wp:posOffset>
            </wp:positionV>
            <wp:extent cx="7289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53</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These paterns may change as a result of the contnued shif to online giving, growth in volume of transactons for which we process payments, large dollar customer bookings and contract renewals, or as a result of acquisitons, new market opportunites, new soluton introductons or other factors.</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presents selected fnancial informaton about our fnancial positon: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64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Change</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6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16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Cash and cash equivalents</w:t>
            </w:r>
          </w:p>
        </w:tc>
        <w:tc>
          <w:tcPr>
            <w:tcW w:w="400" w:type="dxa"/>
            <w:vAlign w:val="bottom"/>
            <w:tcBorders>
              <w:bottom w:val="single" w:sz="8" w:color="EBFBFF"/>
            </w:tcBorders>
            <w:shd w:val="clear" w:color="auto" w:fill="EBFBFF"/>
          </w:tcPr>
          <w:p>
            <w:pPr>
              <w:jc w:val="right"/>
              <w:ind w:right="210"/>
              <w:spacing w:after="0"/>
              <w:rPr>
                <w:sz w:val="20"/>
                <w:szCs w:val="20"/>
                <w:color w:val="auto"/>
              </w:rPr>
            </w:pPr>
            <w:r>
              <w:rPr>
                <w:rFonts w:ascii="Calibri" w:cs="Calibri" w:eastAsia="Calibri" w:hAnsi="Calibri"/>
                <w:sz w:val="18"/>
                <w:szCs w:val="18"/>
                <w:color w:val="51555C"/>
                <w:w w:val="87"/>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31.3</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31.7</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560" w:type="dxa"/>
            <w:vAlign w:val="bottom"/>
          </w:tcPr>
          <w:p>
            <w:pPr>
              <w:ind w:left="20"/>
              <w:spacing w:after="0"/>
              <w:rPr>
                <w:sz w:val="20"/>
                <w:szCs w:val="20"/>
                <w:color w:val="auto"/>
              </w:rPr>
            </w:pPr>
            <w:r>
              <w:rPr>
                <w:rFonts w:ascii="Calibri" w:cs="Calibri" w:eastAsia="Calibri" w:hAnsi="Calibri"/>
                <w:sz w:val="18"/>
                <w:szCs w:val="18"/>
                <w:color w:val="51555C"/>
              </w:rPr>
              <w:t>Property and equipment, net</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98.7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107.4</w:t>
            </w:r>
          </w:p>
        </w:tc>
        <w:tc>
          <w:tcPr>
            <w:tcW w:w="1640" w:type="dxa"/>
            <w:vAlign w:val="bottom"/>
          </w:tcPr>
          <w:p>
            <w:pPr>
              <w:jc w:val="right"/>
              <w:spacing w:after="0"/>
              <w:rPr>
                <w:sz w:val="20"/>
                <w:szCs w:val="20"/>
                <w:color w:val="auto"/>
              </w:rPr>
            </w:pPr>
            <w:r>
              <w:rPr>
                <w:rFonts w:ascii="Calibri" w:cs="Calibri" w:eastAsia="Calibri" w:hAnsi="Calibri"/>
                <w:sz w:val="18"/>
                <w:szCs w:val="18"/>
                <w:color w:val="51555C"/>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6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Sofware and content development costs, net</w:t>
            </w:r>
          </w:p>
        </w:tc>
        <w:tc>
          <w:tcPr>
            <w:tcW w:w="4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160.2</w:t>
            </w:r>
          </w:p>
        </w:tc>
        <w:tc>
          <w:tcPr>
            <w:tcW w:w="4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141.0</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20"/>
              <w:spacing w:after="0"/>
              <w:rPr>
                <w:sz w:val="20"/>
                <w:szCs w:val="20"/>
                <w:color w:val="auto"/>
              </w:rPr>
            </w:pPr>
            <w:r>
              <w:rPr>
                <w:rFonts w:ascii="Calibri" w:cs="Calibri" w:eastAsia="Calibri" w:hAnsi="Calibri"/>
                <w:sz w:val="18"/>
                <w:szCs w:val="18"/>
                <w:color w:val="51555C"/>
              </w:rPr>
              <w:t>Total carrying value of debt</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779.7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859.0</w:t>
            </w:r>
          </w:p>
        </w:tc>
        <w:tc>
          <w:tcPr>
            <w:tcW w:w="1640" w:type="dxa"/>
            <w:vAlign w:val="bottom"/>
          </w:tcPr>
          <w:p>
            <w:pPr>
              <w:jc w:val="right"/>
              <w:spacing w:after="0"/>
              <w:rPr>
                <w:sz w:val="20"/>
                <w:szCs w:val="20"/>
                <w:color w:val="auto"/>
              </w:rPr>
            </w:pPr>
            <w:r>
              <w:rPr>
                <w:rFonts w:ascii="Calibri" w:cs="Calibri" w:eastAsia="Calibri" w:hAnsi="Calibri"/>
                <w:sz w:val="18"/>
                <w:szCs w:val="18"/>
                <w:color w:val="51555C"/>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Working capital</w:t>
            </w:r>
          </w:p>
        </w:tc>
        <w:tc>
          <w:tcPr>
            <w:tcW w:w="400" w:type="dxa"/>
            <w:vAlign w:val="bottom"/>
            <w:tcBorders>
              <w:bottom w:val="single" w:sz="8" w:color="EBFBFF"/>
            </w:tcBorders>
            <w:shd w:val="clear" w:color="auto" w:fill="EBFBFF"/>
          </w:tcPr>
          <w:p>
            <w:pPr>
              <w:spacing w:after="0"/>
              <w:rPr>
                <w:sz w:val="23"/>
                <w:szCs w:val="2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(267.4)</w:t>
            </w:r>
          </w:p>
        </w:tc>
        <w:tc>
          <w:tcPr>
            <w:tcW w:w="400" w:type="dxa"/>
            <w:vAlign w:val="bottom"/>
            <w:tcBorders>
              <w:bottom w:val="single" w:sz="8" w:color="EBFBFF"/>
            </w:tcBorders>
            <w:shd w:val="clear" w:color="auto" w:fill="EBFBFF"/>
          </w:tcPr>
          <w:p>
            <w:pPr>
              <w:spacing w:after="0"/>
              <w:rPr>
                <w:sz w:val="23"/>
                <w:szCs w:val="2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(312.0)</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14.3 %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6560" w:type="dxa"/>
            <w:vAlign w:val="bottom"/>
            <w:tcBorders>
              <w:top w:val="single" w:sz="8" w:color="0CD973"/>
            </w:tcBorders>
          </w:tcPr>
          <w:p>
            <w:pPr>
              <w:spacing w:after="0"/>
              <w:rPr>
                <w:sz w:val="20"/>
                <w:szCs w:val="20"/>
                <w:color w:val="auto"/>
              </w:rPr>
            </w:pPr>
            <w:r>
              <w:rPr>
                <w:rFonts w:ascii="Calibri" w:cs="Calibri" w:eastAsia="Calibri" w:hAnsi="Calibri"/>
                <w:sz w:val="18"/>
                <w:szCs w:val="18"/>
                <w:color w:val="51555C"/>
              </w:rPr>
              <w:t>The following table presents selected fnancial informaton about our cash fows:</w:t>
            </w:r>
          </w:p>
        </w:tc>
        <w:tc>
          <w:tcPr>
            <w:tcW w:w="400" w:type="dxa"/>
            <w:vAlign w:val="bottom"/>
            <w:tcBorders>
              <w:top w:val="single" w:sz="8" w:color="0CD973"/>
            </w:tcBorders>
          </w:tcPr>
          <w:p>
            <w:pPr>
              <w:spacing w:after="0"/>
              <w:rPr>
                <w:sz w:val="24"/>
                <w:szCs w:val="24"/>
                <w:color w:val="auto"/>
              </w:rPr>
            </w:pPr>
          </w:p>
        </w:tc>
        <w:tc>
          <w:tcPr>
            <w:tcW w:w="1120" w:type="dxa"/>
            <w:vAlign w:val="bottom"/>
            <w:tcBorders>
              <w:top w:val="single" w:sz="8" w:color="0CD973"/>
            </w:tcBorders>
          </w:tcPr>
          <w:p>
            <w:pPr>
              <w:spacing w:after="0"/>
              <w:rPr>
                <w:sz w:val="24"/>
                <w:szCs w:val="24"/>
                <w:color w:val="auto"/>
              </w:rPr>
            </w:pPr>
          </w:p>
        </w:tc>
        <w:tc>
          <w:tcPr>
            <w:tcW w:w="400" w:type="dxa"/>
            <w:vAlign w:val="bottom"/>
            <w:tcBorders>
              <w:top w:val="single" w:sz="8" w:color="0CD973"/>
            </w:tcBorders>
          </w:tcPr>
          <w:p>
            <w:pPr>
              <w:spacing w:after="0"/>
              <w:rPr>
                <w:sz w:val="24"/>
                <w:szCs w:val="24"/>
                <w:color w:val="auto"/>
              </w:rPr>
            </w:pPr>
          </w:p>
        </w:tc>
        <w:tc>
          <w:tcPr>
            <w:tcW w:w="1120" w:type="dxa"/>
            <w:vAlign w:val="bottom"/>
            <w:tcBorders>
              <w:top w:val="single" w:sz="8" w:color="0CD973"/>
            </w:tcBorders>
          </w:tcPr>
          <w:p>
            <w:pPr>
              <w:spacing w:after="0"/>
              <w:rPr>
                <w:sz w:val="24"/>
                <w:szCs w:val="24"/>
                <w:color w:val="auto"/>
              </w:rPr>
            </w:pPr>
          </w:p>
        </w:tc>
        <w:tc>
          <w:tcPr>
            <w:tcW w:w="164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56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1120" w:type="dxa"/>
            <w:vAlign w:val="bottom"/>
            <w:shd w:val="clear" w:color="auto" w:fill="004054"/>
          </w:tcPr>
          <w:p>
            <w:pPr>
              <w:spacing w:after="0"/>
              <w:rPr>
                <w:sz w:val="15"/>
                <w:szCs w:val="15"/>
                <w:color w:val="auto"/>
              </w:rPr>
            </w:pP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6560" w:type="dxa"/>
            <w:vAlign w:val="bottom"/>
            <w:vMerge w:val="restart"/>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millions)</w:t>
            </w:r>
          </w:p>
        </w:tc>
        <w:tc>
          <w:tcPr>
            <w:tcW w:w="400" w:type="dxa"/>
            <w:vAlign w:val="bottom"/>
            <w:shd w:val="clear" w:color="auto" w:fill="004054"/>
          </w:tcPr>
          <w:p>
            <w:pPr>
              <w:spacing w:after="0"/>
              <w:rPr>
                <w:sz w:val="5"/>
                <w:szCs w:val="5"/>
                <w:color w:val="auto"/>
              </w:rPr>
            </w:pPr>
          </w:p>
        </w:tc>
        <w:tc>
          <w:tcPr>
            <w:tcW w:w="11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00" w:type="dxa"/>
            <w:vAlign w:val="bottom"/>
            <w:shd w:val="clear" w:color="auto" w:fill="004054"/>
          </w:tcPr>
          <w:p>
            <w:pPr>
              <w:spacing w:after="0"/>
              <w:rPr>
                <w:sz w:val="5"/>
                <w:szCs w:val="5"/>
                <w:color w:val="auto"/>
              </w:rPr>
            </w:pPr>
          </w:p>
        </w:tc>
        <w:tc>
          <w:tcPr>
            <w:tcW w:w="11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164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Change</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560" w:type="dxa"/>
            <w:vAlign w:val="bottom"/>
            <w:vMerge w:val="continue"/>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1120" w:type="dxa"/>
            <w:vAlign w:val="bottom"/>
            <w:vMerge w:val="continue"/>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1120" w:type="dxa"/>
            <w:vAlign w:val="bottom"/>
            <w:vMerge w:val="continue"/>
            <w:shd w:val="clear" w:color="auto" w:fill="004054"/>
          </w:tcPr>
          <w:p>
            <w:pPr>
              <w:spacing w:after="0"/>
              <w:rPr>
                <w:sz w:val="15"/>
                <w:szCs w:val="15"/>
                <w:color w:val="auto"/>
              </w:rPr>
            </w:pPr>
          </w:p>
        </w:tc>
        <w:tc>
          <w:tcPr>
            <w:tcW w:w="1640" w:type="dxa"/>
            <w:vAlign w:val="bottom"/>
            <w:vMerge w:val="continue"/>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6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16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Net cash provided by operatng actvites</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199.6</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203.9</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20"/>
              <w:spacing w:after="0"/>
              <w:rPr>
                <w:sz w:val="20"/>
                <w:szCs w:val="20"/>
                <w:color w:val="auto"/>
              </w:rPr>
            </w:pPr>
            <w:r>
              <w:rPr>
                <w:rFonts w:ascii="Calibri" w:cs="Calibri" w:eastAsia="Calibri" w:hAnsi="Calibri"/>
                <w:sz w:val="18"/>
                <w:szCs w:val="18"/>
                <w:color w:val="51555C"/>
              </w:rPr>
              <w:t>Net cash used in investng actvites</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(64.4)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(85.5)</w:t>
            </w:r>
          </w:p>
        </w:tc>
        <w:tc>
          <w:tcPr>
            <w:tcW w:w="1640" w:type="dxa"/>
            <w:vAlign w:val="bottom"/>
          </w:tcPr>
          <w:p>
            <w:pPr>
              <w:jc w:val="right"/>
              <w:spacing w:after="0"/>
              <w:rPr>
                <w:sz w:val="20"/>
                <w:szCs w:val="20"/>
                <w:color w:val="auto"/>
              </w:rPr>
            </w:pPr>
            <w:r>
              <w:rPr>
                <w:rFonts w:ascii="Calibri" w:cs="Calibri" w:eastAsia="Calibri" w:hAnsi="Calibri"/>
                <w:sz w:val="18"/>
                <w:szCs w:val="18"/>
                <w:color w:val="51555C"/>
              </w:rPr>
              <w:t>(24.7)%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5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Net cash used in fnancing actvites</w:t>
            </w:r>
          </w:p>
        </w:tc>
        <w:tc>
          <w:tcPr>
            <w:tcW w:w="400" w:type="dxa"/>
            <w:vAlign w:val="bottom"/>
            <w:tcBorders>
              <w:bottom w:val="single" w:sz="8" w:color="EBFBFF"/>
            </w:tcBorders>
            <w:shd w:val="clear" w:color="auto" w:fill="EBFBFF"/>
          </w:tcPr>
          <w:p>
            <w:pPr>
              <w:spacing w:after="0"/>
              <w:rPr>
                <w:sz w:val="24"/>
                <w:szCs w:val="24"/>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(143.0)</w:t>
            </w:r>
          </w:p>
        </w:tc>
        <w:tc>
          <w:tcPr>
            <w:tcW w:w="400" w:type="dxa"/>
            <w:vAlign w:val="bottom"/>
            <w:tcBorders>
              <w:bottom w:val="single" w:sz="8" w:color="EBFBFF"/>
            </w:tcBorders>
            <w:shd w:val="clear" w:color="auto" w:fill="EBFBFF"/>
          </w:tcPr>
          <w:p>
            <w:pPr>
              <w:spacing w:after="0"/>
              <w:rPr>
                <w:sz w:val="24"/>
                <w:szCs w:val="24"/>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(25.7)</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456.5 %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16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-719455</wp:posOffset>
            </wp:positionV>
            <wp:extent cx="29743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principal sources of liquidity are our operatng cash fow, funds available under the 2020 Credit Facility and cash on hand. Our operatng cash fow depends on contnued customer renewal of our subscripton and maintenance arrangements, market acceptance of our solutons and services, the volume and size of transactons for which we process payments and our customers' ability to pay. Based on current estmates of revenue and expenses, we believe that the currently available sources of funds and antcipated cash fows from operatons will be adequate for at least the next twelve months to fnance our operatons, fund antcipated capital expenditures and meet our debt obligatons. We also believe that we will be able to contnue to meet our long-term cash requirements due to our antcipated cash fow from operatons, solid fnancial positon and ability to access capital from fnancial markets. To the extent we undertake future material acquisitons, investments or unantcipated capital or operatng expenditures, including in connecton with the Security Incident, we may require additonal capital. In that context, we regularly evaluate opportunites to enhance our capital structure, including through potental debt or equity issuances.</w:t>
      </w:r>
    </w:p>
    <w:p>
      <w:pPr>
        <w:spacing w:after="0" w:line="17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a well-known seasoned issuer, we fled an automatc shelf registraton statement for an undetermined amount of debt and equity securites with the SEC on January 14, 2022. Under this universal shelf registraton statement we may ofer and sell, from tme to tme, debt securites, common stock, preferred stock, depositary shares, warrants, stock purchase contracts and stock purchase units. Subject to certain conditons, this registraton statement will be efectve through January 13, 2025.</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resumed stock repurchases during the fourth quarter of 2023 under our then existng stock repurchase program that authorized us to purchase up to $250.0 million of our outstanding shares of common stock. On January 17, 2024, our Board of Directors reauthorized, expanded and replenished our stock repurchase program by raising the total capacity under the program from $250.0 million to $500.0 million available for repurchases. The remaining amount available to purchase stock under the stock repurchase program was $499.4 million as of February 16, 2024. We plan to repurchase shares going forward to at least ofset the diluton from our annual stock-based compensaton and possibly beyond that amount as market conditons and our strategic plans permit. See additonal details regarding our stock repurchase program below on page 56.</w:t>
      </w:r>
    </w:p>
    <w:p>
      <w:pPr>
        <w:spacing w:after="0" w:line="16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At December 31, 2023, our total cash and cash equivalents balance included approximately $13.2 million of cash that was held by operatons outside the U.S. While these funds may not be needed to fund our U.S. operatons for at least the next twelve months, if we need these funds, we may be required to accrue and pay taxes to repatriate the funds. We currently do not intend nor antcipate a need to repatriate our cash held outside the U.S.</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54</w:t>
      </w:r>
      <w:r>
        <w:rPr>
          <w:sz w:val="20"/>
          <w:szCs w:val="20"/>
          <w:color w:val="auto"/>
        </w:rPr>
        <w:tab/>
      </w:r>
      <w:r>
        <w:rPr>
          <w:sz w:val="1"/>
          <w:szCs w:val="1"/>
          <w:color w:val="auto"/>
        </w:rPr>
        <w:drawing>
          <wp:inline distT="0" distB="0" distL="0" distR="0">
            <wp:extent cx="728345" cy="18859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Operatng Cash Flow</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Throughout 2023 and 2022, our cash fows from operatons were derived principally from: (i) our earnings from on-going operatons prior to non-cash expenses such as depreciaton, amortzaton, stock-based compensaton, deferred income taxes, amortzaton of deferred fnancing costs and debt discount and adjustments to our provision for credit losses and sales returns; and (ii) changes in our working capital.</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Working capital changes are comprised of changes in accounts receivable, prepaid expenses and other assets, trade accounts payable, accrued expenses and other liabilites and deferred revenue.</w:t>
      </w:r>
    </w:p>
    <w:p>
      <w:pPr>
        <w:spacing w:after="0" w:line="26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Net cash provided by operatng actvites decreased by $4.3 million during the year ended December 31, 2023, when compared to the same period in 2022, primarily due to a $71.3 million increase in net income adjusted for non-cash expenses and a $75.5 million decrease in cash fow from operatons associated with working capital.</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The decrease in cash fow from operatons associated with working capital during 2023, when compared to 2022, was primarily due to:</w:t>
      </w:r>
    </w:p>
    <w:p>
      <w:pPr>
        <w:spacing w:after="0" w:line="104" w:lineRule="exact"/>
        <w:rPr>
          <w:sz w:val="20"/>
          <w:szCs w:val="20"/>
          <w:color w:val="auto"/>
        </w:rPr>
      </w:pPr>
    </w:p>
    <w:p>
      <w:pPr>
        <w:ind w:left="640" w:hanging="308"/>
        <w:spacing w:after="0"/>
        <w:tabs>
          <w:tab w:leader="none" w:pos="640" w:val="left"/>
        </w:tabs>
        <w:numPr>
          <w:ilvl w:val="0"/>
          <w:numId w:val="43"/>
        </w:numPr>
        <w:rPr>
          <w:rFonts w:ascii="Calibri" w:cs="Calibri" w:eastAsia="Calibri" w:hAnsi="Calibri"/>
          <w:sz w:val="18"/>
          <w:szCs w:val="18"/>
          <w:color w:val="51555C"/>
        </w:rPr>
      </w:pPr>
      <w:r>
        <w:rPr>
          <w:rFonts w:ascii="Calibri" w:cs="Calibri" w:eastAsia="Calibri" w:hAnsi="Calibri"/>
          <w:sz w:val="18"/>
          <w:szCs w:val="18"/>
          <w:color w:val="51555C"/>
        </w:rPr>
        <w:t>fuctuatons in the tming of vendor payments; and</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43"/>
        </w:numPr>
        <w:rPr>
          <w:rFonts w:ascii="Calibri" w:cs="Calibri" w:eastAsia="Calibri" w:hAnsi="Calibri"/>
          <w:sz w:val="18"/>
          <w:szCs w:val="18"/>
          <w:color w:val="51555C"/>
        </w:rPr>
      </w:pPr>
      <w:r>
        <w:rPr>
          <w:rFonts w:ascii="Calibri" w:cs="Calibri" w:eastAsia="Calibri" w:hAnsi="Calibri"/>
          <w:sz w:val="18"/>
          <w:szCs w:val="18"/>
          <w:color w:val="51555C"/>
        </w:rPr>
        <w:t>a decrease in accrued expenses related to the Security Incident.</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Security Incident update</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As discussed in Note 11 to our consolidated fnancial statements included in this report, total costs related to the Security Incident exceeded the limit of our insurance coverage in the frst quarter of 2022. Accordingly, the Security Incident has negatvely impacted, and we expect it to contnue for the foreseeable future to negatvely impact, our GAAP proftability and GAAP cash fow (see discussion regarding non-GAAP free cash fow and non-GAAP adjusted free cash fow on page 53). For full year 2023, we had net cash outlays of $78.0 million related to the Security Incident, which included ongoing legal fees, the $3.0 million civil penalty paid during the frst quarter of 2023 related to the SEC setlement and the $49.5 million civil penalty paid during the fourth quarter of 2023 related to the mult-state Atorneys General setlement. For full year 2024, we currently expect net pre-tax expense of approximately $5.0 million to $10.0 million and net cash outlays of approximately $8.0 million to $13.0 million for ongoing legal fees related to the Security Incident.</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2023, we have recorded approximately $1.5 million in aggregate liabilites for loss contngencies based primarily on recent negotatons with certain customers related to the Security Incident that we believe we can reasonably estmate in accordance with our loss contngency procedures described in Note 11. It is reasonably possible that our estmated or actual losses may change in the near term for those maters and be materially in excess of the amounts accrued, but we are unable at this tme to reasonably estmate the possible additonal loss.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other Security Incident-related maters, including customer claims, customer consttuent class actons and governmental investgatons, for which we have not recorded a liability for a loss contngency as of December 31, 2023 because we are unable at this tme to reasonably estmate the possible loss or range of loss. Each of these maters could, separately or in the aggregate, result in an adverse judgement, setlement, fne, penalty or other resoluton, the amount, scope and tming of which we are currently unable to predict, but could have a material adverse impact on our results of operatons, cash fows or fnancial conditon.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222885</wp:posOffset>
            </wp:positionV>
            <wp:extent cx="7289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Investng Cash Flow</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2024, we expect our total capital expenditures, including estmated outlays for capitalized sofware development costs, to be between approximately $65.0 million and $75.0 million.</w:t>
      </w:r>
    </w:p>
    <w:p>
      <w:pPr>
        <w:spacing w:after="0" w:line="26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color w:val="51555C"/>
        </w:rPr>
        <w:t>Net cash used in investng actvites of $64.4 million decreased by $21.2 million during 2023, when compared to 2022.</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During 2022, we received net cash of $6.4 million related to our dispositon of Blackbaud FIMS™ and DonorCentral® NXT.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2022, we used $20.9 million of net cash for our acquisitons of EVERFI and Kilter, comprised primarily of (i) $17.4 million that had not been paid by EVERFI to its former opton holders as of December 31, 2021, solely due to the tming of the acquisiton on the last day of 2021; (ii) $2.9 million that was paid to acquire Kilter; and (iii) $2.6 million that was paid to a number of EVERFI's selling shareholders afer determining they would be paid in cash, rather than shares of our common stock.</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2023, we used $59.4 million for sofware and content development costs, which was up $0.7 million from cash spent during 2022. We also spent $4.7 million of cash for purchases of property and equipment during 2023, which was a decrease of $7.6 million from cash spent in 2022.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Financing Cash Flow</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51555C"/>
        </w:rPr>
        <w:t>2023 vs.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2023, we had a net decrease in borrowings of $81.4 million. During 2023, we repurchased $18.8 million of our common stock while we did not repurchase any of our common stock during 2022 (see additonal details below regarding our stock repurchase program).</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paid $35.9 million to satsfy tax obligatons of employees upon setlement or exercise of equity awards during 2023 compared to $36.4 million during 2022. The amount of taxes paid by us on behalf of employees related to the setlement or exercise of equity awards varies from period to period based upon the tming of grants and vestng, as well as the market price for shares of our common stock at the tme of setlement. Most of our equity awards currently vest in our frst quarter.</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2023, cash fow from fnancing actvites associated with changes in restricted cash due to customers decreased $6.8 million, compared to an increase of $111.4 million during 2022. This line in the statement of cash fows represents the change in the amount of restricted cash held and payable by us to customers from one period to the next. This restricted cash due to customers is not available to us for operatonal purposes.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Stock repurchase program</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December 2021, our Board of Directors reauthorized, expanded and replenished our stock repurchase program that authorizes us to purchase up to $250.0 million of our outstanding shares of common stock. The program does not have an expiraton date. Under the stock repurchase program, we are authorized to repurchase shares from tme to tme in accordance with applicable laws both on the open market, including under trading plans established pursuant to Rule 10b5-1 under the Securites Exchange Act of 1934, as amended, and in privately negotated transactons. The tming and amount of repurchases depends on several factors, including market and business conditons, the trading price of our common stock and the nature of other investment opportunites. The repurchase program may be limited, suspended or discontnued at any tme without prior notce. During the year ended December 31, 2023, we repurchased 221,836 shares for $18.8 million. The remaining amount available to purchase stock under the then approved stock repurchase program was $231.2 million as of December 31, 2023.</w:t>
      </w:r>
    </w:p>
    <w:p>
      <w:pPr>
        <w:spacing w:after="0" w:line="16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51555C"/>
        </w:rPr>
        <w:t>On January 17, 2024, our Board of Directors reauthorized, expanded and replenished our stock repurchase program by raising the total capacity under the program from $250.0 million to $500.0 million available for repurchases. Between January 1, 2024 and January 17, 2024, we repurchased $22.3 million under the prior authorizaton. Between January 18, 2024 and February 16, 2024, we repurchased an additonal 7,114 shares for $0.6 million under the new authorizaton. The remaining amount available to purchase stock under the stock repurchase program was $499.4 million as of February 16, 2024. We plan</w:t>
      </w:r>
    </w:p>
    <w:p>
      <w:pPr>
        <w:spacing w:after="0" w:line="315"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56</w:t>
      </w:r>
      <w:r>
        <w:rPr>
          <w:sz w:val="20"/>
          <w:szCs w:val="20"/>
          <w:color w:val="auto"/>
        </w:rPr>
        <w:tab/>
      </w:r>
      <w:r>
        <w:rPr>
          <w:sz w:val="1"/>
          <w:szCs w:val="1"/>
          <w:color w:val="auto"/>
        </w:rPr>
        <w:drawing>
          <wp:inline distT="0" distB="0" distL="0" distR="0">
            <wp:extent cx="728345" cy="18859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to repurchase shares going forward to at least ofset the diluton from our annual stock-based compensaton and possibly beyond that amount as market conditons and our strategic plans permit.</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2020 Credit Facility</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Historically, we have drawn on our credit facility from tme to tme to help us meet fnancial needs primarily due to the seasonality of our cash fows from operatons and fnancing for business acquisitons. At December 31, 2023, our available borrowing capacity under the 2020 Credit Facility was $384.5 million. The 2020 Credit Facility matures in October 2025.</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At December 31, 2023, the carrying amount of our debt under the 2020 Credit Facility was $720.6 million. Our average daily borrowings were $760.2 million during 2023.</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term loans under the 2020 Credit Facility and our other debt require periodic principal payments. The balance of the term loans and any amounts drawn on the revolving credit loans are due upon maturity of the 2020 Credit Facility in October 2025. Certain real estate loans (as described in Note 9 to our audited consolidated fnancial statements included in this report) also require periodic principal payments and the balances of the real estate loans are due upon maturity in April 2038.</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is a summary of the fnancial covenants under the 2020 Credit Facility: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9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Financial Covenant</w:t>
            </w:r>
          </w:p>
        </w:tc>
        <w:tc>
          <w:tcPr>
            <w:tcW w:w="286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w w:val="99"/>
              </w:rPr>
              <w:t>Requirement</w:t>
            </w:r>
          </w:p>
        </w:tc>
        <w:tc>
          <w:tcPr>
            <w:tcW w:w="337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Rato as of December 31, 2023</w:t>
            </w:r>
          </w:p>
        </w:tc>
      </w:tr>
      <w:tr>
        <w:trPr>
          <w:trHeight w:val="67"/>
        </w:trPr>
        <w:tc>
          <w:tcPr>
            <w:tcW w:w="4990" w:type="dxa"/>
            <w:vAlign w:val="bottom"/>
            <w:shd w:val="clear" w:color="auto" w:fill="004054"/>
          </w:tcPr>
          <w:p>
            <w:pPr>
              <w:spacing w:after="0"/>
              <w:rPr>
                <w:sz w:val="5"/>
                <w:szCs w:val="5"/>
                <w:color w:val="auto"/>
              </w:rPr>
            </w:pPr>
          </w:p>
        </w:tc>
        <w:tc>
          <w:tcPr>
            <w:tcW w:w="2860" w:type="dxa"/>
            <w:vAlign w:val="bottom"/>
            <w:shd w:val="clear" w:color="auto" w:fill="004054"/>
          </w:tcPr>
          <w:p>
            <w:pPr>
              <w:spacing w:after="0"/>
              <w:rPr>
                <w:sz w:val="5"/>
                <w:szCs w:val="5"/>
                <w:color w:val="auto"/>
              </w:rPr>
            </w:pPr>
          </w:p>
        </w:tc>
        <w:tc>
          <w:tcPr>
            <w:tcW w:w="3370" w:type="dxa"/>
            <w:vAlign w:val="bottom"/>
            <w:shd w:val="clear" w:color="auto" w:fill="004054"/>
          </w:tcPr>
          <w:p>
            <w:pPr>
              <w:spacing w:after="0"/>
              <w:rPr>
                <w:sz w:val="5"/>
                <w:szCs w:val="5"/>
                <w:color w:val="auto"/>
              </w:rPr>
            </w:pPr>
          </w:p>
        </w:tc>
      </w:tr>
      <w:tr>
        <w:trPr>
          <w:trHeight w:val="324"/>
        </w:trPr>
        <w:tc>
          <w:tcPr>
            <w:tcW w:w="499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Net Leverage Rato</w:t>
            </w:r>
            <w:r>
              <w:rPr>
                <w:rFonts w:ascii="Calibri" w:cs="Calibri" w:eastAsia="Calibri" w:hAnsi="Calibri"/>
                <w:sz w:val="23"/>
                <w:szCs w:val="23"/>
                <w:color w:val="51555C"/>
                <w:vertAlign w:val="superscript"/>
              </w:rPr>
              <w:t>(1)</w:t>
            </w:r>
          </w:p>
        </w:tc>
        <w:tc>
          <w:tcPr>
            <w:tcW w:w="2860" w:type="dxa"/>
            <w:vAlign w:val="bottom"/>
            <w:shd w:val="clear" w:color="auto" w:fill="EBFBFF"/>
          </w:tcPr>
          <w:p>
            <w:pPr>
              <w:jc w:val="center"/>
              <w:spacing w:after="0"/>
              <w:rPr>
                <w:sz w:val="20"/>
                <w:szCs w:val="20"/>
                <w:color w:val="auto"/>
              </w:rPr>
            </w:pPr>
            <w:r>
              <w:rPr>
                <w:rFonts w:ascii="Calibri" w:cs="Calibri" w:eastAsia="Calibri" w:hAnsi="Calibri"/>
                <w:sz w:val="18"/>
                <w:szCs w:val="18"/>
                <w:color w:val="51555C"/>
                <w:w w:val="97"/>
              </w:rPr>
              <w:t>≤ 4.00 to 1.00</w:t>
            </w:r>
          </w:p>
        </w:tc>
        <w:tc>
          <w:tcPr>
            <w:tcW w:w="3370" w:type="dxa"/>
            <w:vAlign w:val="bottom"/>
            <w:shd w:val="clear" w:color="auto" w:fill="EBFBFF"/>
          </w:tcPr>
          <w:p>
            <w:pPr>
              <w:jc w:val="center"/>
              <w:spacing w:after="0"/>
              <w:rPr>
                <w:sz w:val="20"/>
                <w:szCs w:val="20"/>
                <w:color w:val="auto"/>
              </w:rPr>
            </w:pPr>
            <w:r>
              <w:rPr>
                <w:rFonts w:ascii="Calibri" w:cs="Calibri" w:eastAsia="Calibri" w:hAnsi="Calibri"/>
                <w:sz w:val="18"/>
                <w:szCs w:val="18"/>
                <w:color w:val="51555C"/>
                <w:w w:val="98"/>
              </w:rPr>
              <w:t>1.97 to 1.00</w:t>
            </w:r>
          </w:p>
        </w:tc>
      </w:tr>
      <w:tr>
        <w:trPr>
          <w:trHeight w:val="220"/>
        </w:trPr>
        <w:tc>
          <w:tcPr>
            <w:tcW w:w="4990" w:type="dxa"/>
            <w:vAlign w:val="bottom"/>
          </w:tcPr>
          <w:p>
            <w:pPr>
              <w:ind w:left="20"/>
              <w:spacing w:after="0"/>
              <w:rPr>
                <w:sz w:val="20"/>
                <w:szCs w:val="20"/>
                <w:color w:val="auto"/>
              </w:rPr>
            </w:pPr>
            <w:r>
              <w:rPr>
                <w:rFonts w:ascii="Calibri" w:cs="Calibri" w:eastAsia="Calibri" w:hAnsi="Calibri"/>
                <w:sz w:val="18"/>
                <w:szCs w:val="18"/>
                <w:color w:val="51555C"/>
              </w:rPr>
              <w:t>Interest Coverage Rato</w:t>
            </w:r>
          </w:p>
        </w:tc>
        <w:tc>
          <w:tcPr>
            <w:tcW w:w="2860" w:type="dxa"/>
            <w:vAlign w:val="bottom"/>
          </w:tcPr>
          <w:p>
            <w:pPr>
              <w:jc w:val="center"/>
              <w:spacing w:after="0"/>
              <w:rPr>
                <w:sz w:val="20"/>
                <w:szCs w:val="20"/>
                <w:color w:val="auto"/>
              </w:rPr>
            </w:pPr>
            <w:r>
              <w:rPr>
                <w:rFonts w:ascii="Calibri" w:cs="Calibri" w:eastAsia="Calibri" w:hAnsi="Calibri"/>
                <w:sz w:val="18"/>
                <w:szCs w:val="18"/>
                <w:color w:val="51555C"/>
                <w:w w:val="97"/>
              </w:rPr>
              <w:t>≥ 2.50 to 1.00</w:t>
            </w:r>
          </w:p>
        </w:tc>
        <w:tc>
          <w:tcPr>
            <w:tcW w:w="3370" w:type="dxa"/>
            <w:vAlign w:val="bottom"/>
          </w:tcPr>
          <w:p>
            <w:pPr>
              <w:jc w:val="center"/>
              <w:spacing w:after="0"/>
              <w:rPr>
                <w:sz w:val="20"/>
                <w:szCs w:val="20"/>
                <w:color w:val="auto"/>
              </w:rPr>
            </w:pPr>
            <w:r>
              <w:rPr>
                <w:rFonts w:ascii="Calibri" w:cs="Calibri" w:eastAsia="Calibri" w:hAnsi="Calibri"/>
                <w:sz w:val="18"/>
                <w:szCs w:val="18"/>
                <w:color w:val="51555C"/>
                <w:w w:val="98"/>
              </w:rPr>
              <w:t>9.67 to 1.00</w:t>
            </w:r>
          </w:p>
        </w:tc>
      </w:tr>
      <w:tr>
        <w:trPr>
          <w:trHeight w:val="50"/>
        </w:trPr>
        <w:tc>
          <w:tcPr>
            <w:tcW w:w="4990" w:type="dxa"/>
            <w:vAlign w:val="bottom"/>
            <w:tcBorders>
              <w:bottom w:val="single" w:sz="8" w:color="0CD973"/>
            </w:tcBorders>
          </w:tcPr>
          <w:p>
            <w:pPr>
              <w:spacing w:after="0"/>
              <w:rPr>
                <w:sz w:val="4"/>
                <w:szCs w:val="4"/>
                <w:color w:val="auto"/>
              </w:rPr>
            </w:pPr>
          </w:p>
        </w:tc>
        <w:tc>
          <w:tcPr>
            <w:tcW w:w="2860" w:type="dxa"/>
            <w:vAlign w:val="bottom"/>
            <w:tcBorders>
              <w:bottom w:val="single" w:sz="8" w:color="0CD973"/>
            </w:tcBorders>
          </w:tcPr>
          <w:p>
            <w:pPr>
              <w:spacing w:after="0"/>
              <w:rPr>
                <w:sz w:val="4"/>
                <w:szCs w:val="4"/>
                <w:color w:val="auto"/>
              </w:rPr>
            </w:pPr>
          </w:p>
        </w:tc>
        <w:tc>
          <w:tcPr>
            <w:tcW w:w="3370" w:type="dxa"/>
            <w:vAlign w:val="bottom"/>
            <w:tcBorders>
              <w:bottom w:val="single" w:sz="8" w:color="0CD973"/>
            </w:tcBorders>
          </w:tcPr>
          <w:p>
            <w:pPr>
              <w:spacing w:after="0"/>
              <w:rPr>
                <w:sz w:val="4"/>
                <w:szCs w:val="4"/>
                <w:color w:val="auto"/>
              </w:rPr>
            </w:pPr>
          </w:p>
        </w:tc>
      </w:tr>
    </w:tbl>
    <w:p>
      <w:pPr>
        <w:spacing w:after="0" w:line="67" w:lineRule="exact"/>
        <w:rPr>
          <w:sz w:val="20"/>
          <w:szCs w:val="20"/>
          <w:color w:val="auto"/>
        </w:rPr>
      </w:pPr>
    </w:p>
    <w:p>
      <w:pPr>
        <w:ind w:left="340" w:right="20" w:hanging="332"/>
        <w:spacing w:after="0" w:line="233" w:lineRule="auto"/>
        <w:tabs>
          <w:tab w:leader="none" w:pos="338" w:val="left"/>
        </w:tabs>
        <w:numPr>
          <w:ilvl w:val="0"/>
          <w:numId w:val="44"/>
        </w:numPr>
        <w:rPr>
          <w:rFonts w:ascii="Calibri" w:cs="Calibri" w:eastAsia="Calibri" w:hAnsi="Calibri"/>
          <w:sz w:val="14"/>
          <w:szCs w:val="14"/>
          <w:color w:val="51555C"/>
        </w:rPr>
      </w:pPr>
      <w:r>
        <w:rPr>
          <w:rFonts w:ascii="Calibri" w:cs="Calibri" w:eastAsia="Calibri" w:hAnsi="Calibri"/>
          <w:sz w:val="14"/>
          <w:szCs w:val="14"/>
          <w:color w:val="51555C"/>
        </w:rPr>
        <w:t>Under the terms of the 2020 Credit Facility, the Net Leverage Rato requirement may be increased by up to 0.50 provided we satsfy certain requirements, including a permited business acquisiton, and provided that the maximum Net Leverage Rato shall not exceed 4.25 to 1.00.</w:t>
      </w:r>
    </w:p>
    <w:p>
      <w:pPr>
        <w:spacing w:after="0" w:line="173" w:lineRule="exact"/>
        <w:rPr>
          <w:sz w:val="20"/>
          <w:szCs w:val="20"/>
          <w:color w:val="auto"/>
        </w:rPr>
      </w:pPr>
    </w:p>
    <w:p>
      <w:pPr>
        <w:jc w:val="both"/>
        <w:ind w:right="20"/>
        <w:spacing w:after="0" w:line="251" w:lineRule="auto"/>
        <w:rPr>
          <w:sz w:val="20"/>
          <w:szCs w:val="20"/>
          <w:color w:val="auto"/>
        </w:rPr>
      </w:pPr>
      <w:r>
        <w:rPr>
          <w:rFonts w:ascii="Calibri" w:cs="Calibri" w:eastAsia="Calibri" w:hAnsi="Calibri"/>
          <w:sz w:val="17"/>
          <w:szCs w:val="17"/>
          <w:color w:val="51555C"/>
        </w:rPr>
        <w:t>Under the 2020 Credit Facility, we also have restrictons on our ability to declare and pay dividends and our ability to repurchase shares of our common stock. In order to pay any cash dividends and/or repurchase shares of stock: (i) no default or event of default shall have occurred and be contnuing under the 2020 Credit Facility, and (ii) our pro forma net leverage rato, as set forth in the 2020 Credit Facility, must be 0.25 less than the net leverage rato requirement at the tme of dividend declaraton or stock repurchase. At December 31, 2023, we were in compliance with our debt covenants under the 2020 Credit Facility. See Note 9 to our consolidated fnancial statements included in this report for additonal informaton regarding the 2020 Credit Facility.</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Commitments and Contngencies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As of December 31, 2023, we had contractual obligatons with future minimum commitments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2640" w:type="dxa"/>
            <w:vAlign w:val="bottom"/>
            <w:gridSpan w:val="4"/>
            <w:shd w:val="clear" w:color="auto" w:fill="004054"/>
          </w:tcPr>
          <w:p>
            <w:pPr>
              <w:jc w:val="right"/>
              <w:ind w:right="270"/>
              <w:spacing w:after="0"/>
              <w:rPr>
                <w:sz w:val="20"/>
                <w:szCs w:val="20"/>
                <w:color w:val="auto"/>
              </w:rPr>
            </w:pPr>
            <w:r>
              <w:rPr>
                <w:rFonts w:ascii="Calibri" w:cs="Calibri" w:eastAsia="Calibri" w:hAnsi="Calibri"/>
                <w:sz w:val="14"/>
                <w:szCs w:val="14"/>
                <w:b w:val="1"/>
                <w:bCs w:val="1"/>
                <w:color w:val="FFFFFF"/>
              </w:rPr>
              <w:t>Payments due by period</w:t>
            </w:r>
          </w:p>
        </w:tc>
        <w:tc>
          <w:tcPr>
            <w:tcW w:w="9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36"/>
        </w:trPr>
        <w:tc>
          <w:tcPr>
            <w:tcW w:w="7280" w:type="dxa"/>
            <w:vAlign w:val="bottom"/>
            <w:shd w:val="clear" w:color="auto" w:fill="004054"/>
          </w:tcPr>
          <w:p>
            <w:pPr>
              <w:spacing w:after="0"/>
              <w:rPr>
                <w:sz w:val="20"/>
                <w:szCs w:val="20"/>
                <w:color w:val="auto"/>
              </w:rPr>
            </w:pPr>
          </w:p>
        </w:tc>
        <w:tc>
          <w:tcPr>
            <w:tcW w:w="420" w:type="dxa"/>
            <w:vAlign w:val="bottom"/>
            <w:shd w:val="clear" w:color="auto" w:fill="004054"/>
          </w:tcPr>
          <w:p>
            <w:pPr>
              <w:spacing w:after="0"/>
              <w:rPr>
                <w:sz w:val="20"/>
                <w:szCs w:val="20"/>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Less than</w:t>
            </w:r>
          </w:p>
        </w:tc>
        <w:tc>
          <w:tcPr>
            <w:tcW w:w="380" w:type="dxa"/>
            <w:vAlign w:val="bottom"/>
            <w:shd w:val="clear" w:color="auto" w:fill="004054"/>
          </w:tcPr>
          <w:p>
            <w:pPr>
              <w:spacing w:after="0"/>
              <w:rPr>
                <w:sz w:val="20"/>
                <w:szCs w:val="20"/>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More than</w:t>
            </w:r>
          </w:p>
        </w:tc>
        <w:tc>
          <w:tcPr>
            <w:tcW w:w="420" w:type="dxa"/>
            <w:vAlign w:val="bottom"/>
            <w:shd w:val="clear" w:color="auto" w:fill="004054"/>
          </w:tcPr>
          <w:p>
            <w:pPr>
              <w:spacing w:after="0"/>
              <w:rPr>
                <w:sz w:val="20"/>
                <w:szCs w:val="20"/>
                <w:color w:val="auto"/>
              </w:rPr>
            </w:pPr>
          </w:p>
        </w:tc>
        <w:tc>
          <w:tcPr>
            <w:tcW w:w="9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r>
      <w:tr>
        <w:trPr>
          <w:trHeight w:val="230"/>
        </w:trPr>
        <w:tc>
          <w:tcPr>
            <w:tcW w:w="7280" w:type="dxa"/>
            <w:vAlign w:val="bottom"/>
            <w:tcBorders>
              <w:bottom w:val="single" w:sz="8" w:color="004054"/>
            </w:tcBorders>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millions)</w:t>
            </w:r>
          </w:p>
        </w:tc>
        <w:tc>
          <w:tcPr>
            <w:tcW w:w="420" w:type="dxa"/>
            <w:vAlign w:val="bottom"/>
            <w:tcBorders>
              <w:bottom w:val="single" w:sz="8" w:color="004054"/>
            </w:tcBorders>
            <w:shd w:val="clear" w:color="auto" w:fill="004054"/>
          </w:tcPr>
          <w:p>
            <w:pPr>
              <w:spacing w:after="0"/>
              <w:rPr>
                <w:sz w:val="19"/>
                <w:szCs w:val="19"/>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1 year</w:t>
            </w:r>
          </w:p>
        </w:tc>
        <w:tc>
          <w:tcPr>
            <w:tcW w:w="380" w:type="dxa"/>
            <w:vAlign w:val="bottom"/>
            <w:tcBorders>
              <w:bottom w:val="single" w:sz="8" w:color="004054"/>
            </w:tcBorders>
            <w:shd w:val="clear" w:color="auto" w:fill="004054"/>
          </w:tcPr>
          <w:p>
            <w:pPr>
              <w:spacing w:after="0"/>
              <w:rPr>
                <w:sz w:val="19"/>
                <w:szCs w:val="19"/>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1 year</w:t>
            </w:r>
          </w:p>
        </w:tc>
        <w:tc>
          <w:tcPr>
            <w:tcW w:w="420" w:type="dxa"/>
            <w:vAlign w:val="bottom"/>
            <w:tcBorders>
              <w:bottom w:val="single" w:sz="8" w:color="004054"/>
            </w:tcBorders>
            <w:shd w:val="clear" w:color="auto" w:fill="004054"/>
          </w:tcPr>
          <w:p>
            <w:pPr>
              <w:spacing w:after="0"/>
              <w:rPr>
                <w:sz w:val="19"/>
                <w:szCs w:val="19"/>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r>
              <w:rPr>
                <w:rFonts w:ascii="Calibri" w:cs="Calibri" w:eastAsia="Calibri" w:hAnsi="Calibri"/>
                <w:sz w:val="18"/>
                <w:szCs w:val="18"/>
                <w:b w:val="1"/>
                <w:bCs w:val="1"/>
                <w:color w:val="FFFFFF"/>
                <w:vertAlign w:val="superscript"/>
              </w:rPr>
              <w:t>(1)</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72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Recorded contractual obligatons:</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7280" w:type="dxa"/>
            <w:vAlign w:val="bottom"/>
          </w:tcPr>
          <w:p>
            <w:pPr>
              <w:ind w:left="140"/>
              <w:spacing w:after="0"/>
              <w:rPr>
                <w:sz w:val="20"/>
                <w:szCs w:val="20"/>
                <w:color w:val="auto"/>
              </w:rPr>
            </w:pPr>
            <w:r>
              <w:rPr>
                <w:rFonts w:ascii="Calibri" w:cs="Calibri" w:eastAsia="Calibri" w:hAnsi="Calibri"/>
                <w:sz w:val="18"/>
                <w:szCs w:val="18"/>
                <w:color w:val="51555C"/>
              </w:rPr>
              <w:t>Debt</w:t>
            </w:r>
          </w:p>
        </w:tc>
        <w:tc>
          <w:tcPr>
            <w:tcW w:w="420" w:type="dxa"/>
            <w:vAlign w:val="bottom"/>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19.3</w:t>
            </w: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51555C"/>
                <w:w w:val="87"/>
              </w:rPr>
              <w:t>$</w:t>
            </w:r>
          </w:p>
        </w:tc>
        <w:tc>
          <w:tcPr>
            <w:tcW w:w="940" w:type="dxa"/>
            <w:vAlign w:val="bottom"/>
          </w:tcPr>
          <w:p>
            <w:pPr>
              <w:jc w:val="right"/>
              <w:spacing w:after="0"/>
              <w:rPr>
                <w:sz w:val="20"/>
                <w:szCs w:val="20"/>
                <w:color w:val="auto"/>
              </w:rPr>
            </w:pPr>
            <w:r>
              <w:rPr>
                <w:rFonts w:ascii="Calibri" w:cs="Calibri" w:eastAsia="Calibri" w:hAnsi="Calibri"/>
                <w:sz w:val="18"/>
                <w:szCs w:val="18"/>
                <w:color w:val="51555C"/>
              </w:rPr>
              <w:t>761.9</w:t>
            </w:r>
          </w:p>
        </w:tc>
        <w:tc>
          <w:tcPr>
            <w:tcW w:w="420" w:type="dxa"/>
            <w:vAlign w:val="bottom"/>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781.1</w:t>
            </w:r>
          </w:p>
        </w:tc>
        <w:tc>
          <w:tcPr>
            <w:tcW w:w="20" w:type="dxa"/>
            <w:vAlign w:val="bottom"/>
          </w:tcPr>
          <w:p>
            <w:pPr>
              <w:spacing w:after="0"/>
              <w:rPr>
                <w:sz w:val="19"/>
                <w:szCs w:val="19"/>
                <w:color w:val="auto"/>
              </w:rPr>
            </w:pPr>
          </w:p>
        </w:tc>
      </w:tr>
      <w:tr>
        <w:trPr>
          <w:trHeight w:val="50"/>
        </w:trPr>
        <w:tc>
          <w:tcPr>
            <w:tcW w:w="7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Operatng leases</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8.7</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46.8</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55.5</w:t>
            </w:r>
          </w:p>
        </w:tc>
        <w:tc>
          <w:tcPr>
            <w:tcW w:w="20" w:type="dxa"/>
            <w:vAlign w:val="bottom"/>
          </w:tcPr>
          <w:p>
            <w:pPr>
              <w:spacing w:after="0"/>
              <w:rPr>
                <w:sz w:val="21"/>
                <w:szCs w:val="21"/>
                <w:color w:val="auto"/>
              </w:rPr>
            </w:pPr>
          </w:p>
        </w:tc>
      </w:tr>
      <w:tr>
        <w:trPr>
          <w:trHeight w:val="220"/>
        </w:trPr>
        <w:tc>
          <w:tcPr>
            <w:tcW w:w="7280" w:type="dxa"/>
            <w:vAlign w:val="bottom"/>
          </w:tcPr>
          <w:p>
            <w:pPr>
              <w:ind w:left="140"/>
              <w:spacing w:after="0"/>
              <w:rPr>
                <w:sz w:val="20"/>
                <w:szCs w:val="20"/>
                <w:color w:val="auto"/>
              </w:rPr>
            </w:pPr>
            <w:r>
              <w:rPr>
                <w:rFonts w:ascii="Calibri" w:cs="Calibri" w:eastAsia="Calibri" w:hAnsi="Calibri"/>
                <w:sz w:val="18"/>
                <w:szCs w:val="18"/>
                <w:color w:val="51555C"/>
              </w:rPr>
              <w:t>Interest payments on debt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5.5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5.5</w:t>
            </w:r>
          </w:p>
        </w:tc>
        <w:tc>
          <w:tcPr>
            <w:tcW w:w="20" w:type="dxa"/>
            <w:vAlign w:val="bottom"/>
          </w:tcPr>
          <w:p>
            <w:pPr>
              <w:spacing w:after="0"/>
              <w:rPr>
                <w:sz w:val="19"/>
                <w:szCs w:val="19"/>
                <w:color w:val="auto"/>
              </w:rPr>
            </w:pPr>
          </w:p>
        </w:tc>
      </w:tr>
      <w:tr>
        <w:trPr>
          <w:trHeight w:val="50"/>
        </w:trPr>
        <w:tc>
          <w:tcPr>
            <w:tcW w:w="7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Contngent consideraton</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w:t>
            </w:r>
          </w:p>
        </w:tc>
        <w:tc>
          <w:tcPr>
            <w:tcW w:w="20" w:type="dxa"/>
            <w:vAlign w:val="bottom"/>
          </w:tcPr>
          <w:p>
            <w:pPr>
              <w:spacing w:after="0"/>
              <w:rPr>
                <w:sz w:val="21"/>
                <w:szCs w:val="21"/>
                <w:color w:val="auto"/>
              </w:rPr>
            </w:pPr>
          </w:p>
        </w:tc>
      </w:tr>
      <w:tr>
        <w:trPr>
          <w:trHeight w:val="220"/>
        </w:trPr>
        <w:tc>
          <w:tcPr>
            <w:tcW w:w="7280" w:type="dxa"/>
            <w:vAlign w:val="bottom"/>
          </w:tcPr>
          <w:p>
            <w:pPr>
              <w:ind w:left="20"/>
              <w:spacing w:after="0"/>
              <w:rPr>
                <w:sz w:val="20"/>
                <w:szCs w:val="20"/>
                <w:color w:val="auto"/>
              </w:rPr>
            </w:pPr>
            <w:r>
              <w:rPr>
                <w:rFonts w:ascii="Calibri" w:cs="Calibri" w:eastAsia="Calibri" w:hAnsi="Calibri"/>
                <w:sz w:val="18"/>
                <w:szCs w:val="18"/>
                <w:b w:val="1"/>
                <w:bCs w:val="1"/>
                <w:color w:val="51555C"/>
              </w:rPr>
              <w:t>Unrecorded contractual obligatons: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7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Purchase obligatons</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88.1</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169.5</w:t>
            </w:r>
          </w:p>
        </w:tc>
        <w:tc>
          <w:tcPr>
            <w:tcW w:w="4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257.6</w:t>
            </w:r>
          </w:p>
        </w:tc>
        <w:tc>
          <w:tcPr>
            <w:tcW w:w="20" w:type="dxa"/>
            <w:vAlign w:val="bottom"/>
          </w:tcPr>
          <w:p>
            <w:pPr>
              <w:spacing w:after="0"/>
              <w:rPr>
                <w:sz w:val="21"/>
                <w:szCs w:val="21"/>
                <w:color w:val="auto"/>
              </w:rPr>
            </w:pPr>
          </w:p>
        </w:tc>
      </w:tr>
      <w:tr>
        <w:trPr>
          <w:trHeight w:val="220"/>
        </w:trPr>
        <w:tc>
          <w:tcPr>
            <w:tcW w:w="7280" w:type="dxa"/>
            <w:vAlign w:val="bottom"/>
          </w:tcPr>
          <w:p>
            <w:pPr>
              <w:ind w:left="140"/>
              <w:spacing w:after="0"/>
              <w:rPr>
                <w:sz w:val="20"/>
                <w:szCs w:val="20"/>
                <w:color w:val="auto"/>
              </w:rPr>
            </w:pPr>
            <w:r>
              <w:rPr>
                <w:rFonts w:ascii="Calibri" w:cs="Calibri" w:eastAsia="Calibri" w:hAnsi="Calibri"/>
                <w:sz w:val="18"/>
                <w:szCs w:val="18"/>
                <w:color w:val="51555C"/>
              </w:rPr>
              <w:t>Interest payments on debt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35.1</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55.9</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90.9</w:t>
            </w:r>
          </w:p>
        </w:tc>
        <w:tc>
          <w:tcPr>
            <w:tcW w:w="20" w:type="dxa"/>
            <w:vAlign w:val="bottom"/>
          </w:tcPr>
          <w:p>
            <w:pPr>
              <w:spacing w:after="0"/>
              <w:rPr>
                <w:sz w:val="19"/>
                <w:szCs w:val="19"/>
                <w:color w:val="auto"/>
              </w:rPr>
            </w:pPr>
          </w:p>
        </w:tc>
      </w:tr>
      <w:tr>
        <w:trPr>
          <w:trHeight w:val="50"/>
        </w:trPr>
        <w:tc>
          <w:tcPr>
            <w:tcW w:w="7280" w:type="dxa"/>
            <w:vAlign w:val="bottom"/>
            <w:tcBorders>
              <w:bottom w:val="single" w:sz="8" w:color="EBFBFF"/>
            </w:tcBorders>
          </w:tcPr>
          <w:p>
            <w:pPr>
              <w:spacing w:after="0"/>
              <w:rPr>
                <w:sz w:val="4"/>
                <w:szCs w:val="4"/>
                <w:color w:val="auto"/>
              </w:rPr>
            </w:pPr>
          </w:p>
        </w:tc>
        <w:tc>
          <w:tcPr>
            <w:tcW w:w="420" w:type="dxa"/>
            <w:vAlign w:val="bottom"/>
            <w:tcBorders>
              <w:bottom w:val="single" w:sz="8" w:color="51555C"/>
            </w:tcBorders>
          </w:tcPr>
          <w:p>
            <w:pPr>
              <w:spacing w:after="0"/>
              <w:rPr>
                <w:sz w:val="4"/>
                <w:szCs w:val="4"/>
                <w:color w:val="auto"/>
              </w:rPr>
            </w:pPr>
          </w:p>
        </w:tc>
        <w:tc>
          <w:tcPr>
            <w:tcW w:w="900" w:type="dxa"/>
            <w:vAlign w:val="bottom"/>
            <w:tcBorders>
              <w:bottom w:val="single" w:sz="8" w:color="51555C"/>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940" w:type="dxa"/>
            <w:vAlign w:val="bottom"/>
            <w:tcBorders>
              <w:bottom w:val="single" w:sz="8" w:color="51555C"/>
            </w:tcBorders>
          </w:tcPr>
          <w:p>
            <w:pPr>
              <w:spacing w:after="0"/>
              <w:rPr>
                <w:sz w:val="4"/>
                <w:szCs w:val="4"/>
                <w:color w:val="auto"/>
              </w:rPr>
            </w:pPr>
          </w:p>
        </w:tc>
        <w:tc>
          <w:tcPr>
            <w:tcW w:w="420" w:type="dxa"/>
            <w:vAlign w:val="bottom"/>
            <w:tcBorders>
              <w:bottom w:val="single" w:sz="8" w:color="51555C"/>
            </w:tcBorders>
          </w:tcPr>
          <w:p>
            <w:pPr>
              <w:spacing w:after="0"/>
              <w:rPr>
                <w:sz w:val="4"/>
                <w:szCs w:val="4"/>
                <w:color w:val="auto"/>
              </w:rPr>
            </w:pPr>
          </w:p>
        </w:tc>
        <w:tc>
          <w:tcPr>
            <w:tcW w:w="90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280" w:type="dxa"/>
            <w:vAlign w:val="bottom"/>
            <w:tcBorders>
              <w:bottom w:val="single" w:sz="8" w:color="0CD973"/>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Total contractual obligatons</w:t>
            </w:r>
            <w:r>
              <w:rPr>
                <w:rFonts w:ascii="Calibri" w:cs="Calibri" w:eastAsia="Calibri" w:hAnsi="Calibri"/>
                <w:sz w:val="23"/>
                <w:szCs w:val="23"/>
                <w:b w:val="1"/>
                <w:bCs w:val="1"/>
                <w:color w:val="51555C"/>
                <w:vertAlign w:val="superscript"/>
              </w:rPr>
              <w:t>(1)</w:t>
            </w:r>
          </w:p>
        </w:tc>
        <w:tc>
          <w:tcPr>
            <w:tcW w:w="420" w:type="dxa"/>
            <w:vAlign w:val="bottom"/>
            <w:tcBorders>
              <w:bottom w:val="single" w:sz="8" w:color="0CD973"/>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151.1</w:t>
            </w:r>
          </w:p>
        </w:tc>
        <w:tc>
          <w:tcPr>
            <w:tcW w:w="380" w:type="dxa"/>
            <w:vAlign w:val="bottom"/>
            <w:tcBorders>
              <w:bottom w:val="single" w:sz="8" w:color="0CD973"/>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w w:val="87"/>
              </w:rPr>
              <w:t>$</w:t>
            </w:r>
          </w:p>
        </w:tc>
        <w:tc>
          <w:tcPr>
            <w:tcW w:w="94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1,040.9</w:t>
            </w:r>
          </w:p>
        </w:tc>
        <w:tc>
          <w:tcPr>
            <w:tcW w:w="420" w:type="dxa"/>
            <w:vAlign w:val="bottom"/>
            <w:tcBorders>
              <w:bottom w:val="single" w:sz="8" w:color="0CD973"/>
            </w:tcBorders>
            <w:shd w:val="clear" w:color="auto" w:fill="EBFBFF"/>
          </w:tcPr>
          <w:p>
            <w:pPr>
              <w:jc w:val="right"/>
              <w:ind w:right="230"/>
              <w:spacing w:after="0"/>
              <w:rPr>
                <w:sz w:val="20"/>
                <w:szCs w:val="20"/>
                <w:color w:val="auto"/>
              </w:rPr>
            </w:pPr>
            <w:r>
              <w:rPr>
                <w:rFonts w:ascii="Calibri" w:cs="Calibri" w:eastAsia="Calibri" w:hAnsi="Calibri"/>
                <w:sz w:val="18"/>
                <w:szCs w:val="18"/>
                <w:color w:val="51555C"/>
                <w:w w:val="87"/>
              </w:rPr>
              <w:t>$</w:t>
            </w:r>
          </w:p>
        </w:tc>
        <w:tc>
          <w:tcPr>
            <w:tcW w:w="900" w:type="dxa"/>
            <w:vAlign w:val="bottom"/>
            <w:tcBorders>
              <w:bottom w:val="single" w:sz="8" w:color="0CD973"/>
            </w:tcBorders>
            <w:shd w:val="clear" w:color="auto" w:fill="EBFBFF"/>
          </w:tcPr>
          <w:p>
            <w:pPr>
              <w:jc w:val="right"/>
              <w:spacing w:after="0"/>
              <w:rPr>
                <w:sz w:val="20"/>
                <w:szCs w:val="20"/>
                <w:color w:val="auto"/>
              </w:rPr>
            </w:pPr>
            <w:r>
              <w:rPr>
                <w:rFonts w:ascii="Calibri" w:cs="Calibri" w:eastAsia="Calibri" w:hAnsi="Calibri"/>
                <w:sz w:val="18"/>
                <w:szCs w:val="18"/>
                <w:color w:val="51555C"/>
              </w:rPr>
              <w:t>1,192.0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-1859915</wp:posOffset>
            </wp:positionV>
            <wp:extent cx="25285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45"/>
        </w:numPr>
        <w:rPr>
          <w:rFonts w:ascii="Calibri" w:cs="Calibri" w:eastAsia="Calibri" w:hAnsi="Calibri"/>
          <w:sz w:val="14"/>
          <w:szCs w:val="14"/>
          <w:color w:val="51555C"/>
        </w:rPr>
      </w:pPr>
      <w:r>
        <w:rPr>
          <w:rFonts w:ascii="Calibri" w:cs="Calibri" w:eastAsia="Calibri" w:hAnsi="Calibri"/>
          <w:sz w:val="14"/>
          <w:szCs w:val="14"/>
          <w:color w:val="51555C"/>
        </w:rPr>
        <w:t>The individual amounts may not sum to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483870</wp:posOffset>
            </wp:positionV>
            <wp:extent cx="7289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Debt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2023, we had total remaining principal payments of $781.1 million. These payments represent principal payments only, under the following assumptons: (i) that the amounts outstanding under the 2020 Credit Facility, our real estate loans and our other debt at December 31, 2023 will remain outstanding untl maturity, with minimum payments occurring as currently scheduled, and (ii) that there are no assumed future borrowings on the 2020 Revolving Facility for the purposes of determining minimum commitment amounts. See Note 9 to our consolidated fnancial statements in this report for more informaton.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Interest payments on debt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additon to principal payments, as of December 31, 2023, we expect to pay interest expense over the life of our debt obligatons of approximately $96.4 million. These payments represent our estmated future interest payments on debt using our debt balances and the related weighted average efectve interest rates as of December 31, 2023, which includes the efect of interest rate swap agreements. The actual interest expense recognized in our consolidated statements of comprehensive income will depend on the amount of debt, the length of tme the debt is outstanding and the interest rate, which could be diferent from our assumptons on our remaining principal payments described above.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Operatng leases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2023, we had remaining operatng lease payments of $55.5 million. These payments have not been reduced by sublease income, incentve payments, reimbursement of leasehold improvements or the amount representng imputed interest of $8.7 million. Our operatng leases are generally for corporate ofces, subleased ofces and certain equipment and furniture. Given our remote-frst workforce strategy and real estate footprint optmizaton eforts, as discussed above, we do not antcipate entering any new, material operatng leases for ofces for the foreseeable future. See Note 11 to our consolidated fnancial statements in this report for more informaton.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Purchase obligatons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2023, we had remaining purchase obligatons of $257.6 million. These purchase obligatons are for third-party technology used in our solutons and for other services we purchase as part of our normal operatons. In certain cases, these arrangements require a minimum annual purchase commitment by us. Our purchase obligatons are not recorded as liabilites on our consolidated balance sheets as of December 31, 2023, as we had not received the related services. See Note 11 to our consolidated fnancial statements in this report for more informaton.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total liability for uncertain tax positons as of December 31, 2023 was $3.2 million. Our accrued interest and penaltes related to tax positons taken on our tax returns was insignifcant as of December 31, 2023.</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the setlement of the mult-state Atorneys General investgaton relatng to the Security Incident, as discussed in Note 11 to our consolidated fnancial statements in this report, we have agreed to implement and improve certain of our cybersecurity programs and tools through October 2030. The currently antcipated costs in connecton with these eforts are expected to be expensed as incurred.</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Contngent consideraton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our acquisiton of Kilter, we are obligated to pay contngent consideraton upon the achievement of certain milestones. For informaton regarding our contngent consideraton obligatons, see Note 3 to our consolidated fnancial statements in this report.</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58</w:t>
      </w:r>
      <w:r>
        <w:rPr>
          <w:sz w:val="20"/>
          <w:szCs w:val="20"/>
          <w:color w:val="auto"/>
        </w:rPr>
        <w:tab/>
      </w:r>
      <w:r>
        <w:rPr>
          <w:sz w:val="1"/>
          <w:szCs w:val="1"/>
          <w:color w:val="auto"/>
        </w:rPr>
        <w:drawing>
          <wp:inline distT="0" distB="0" distL="0" distR="0">
            <wp:extent cx="728345" cy="18859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Approximately 14% of our total revenue for 2023 was generated from operatons outside the U.S. We do not have signifcant operatons in countries in which the economy is considered to be highly infatonary. Our consolidated fnancial statements are denominated in U.S. dollars and, accordingly, changes in the exchange rate between foreign currencies and the U.S. dollar will afect the translaton of our subsidiaries’ fnancial results into U.S. dollars for purposes of reportng our consolidated fnancial results. The accumulated currency translaton adjustment, recorded within accumulated other comprehensive (loss) income as a component of stockholders’ equity, was a loss of $9.8 million as of December 31, 2023 and a loss of $14.9 million as of December 31, 2022. We have entered into foreign currency forward contracts to hedge a porton of the foreign currency exposure that arises on translaton of our investments denominated in Britsh Pounds into U.S. dollars.</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vast majority of our contracts are entered into by our U.S. or U.K. enttes. The contracts entered into by the U.S. entty are almost always denominated in U.S. dollars or Canadian dollars, and contracts entered into by our U.K., Australian and Irish subsidiaries are generally denominated in Britsh Pounds, Australian dollars and Euros, respectvely. Historically, as the U.S. dollar weakened, foreign currency translaton resulted in an increase in our revenues and expenses denominated in non-U.S. currencies. Conversely, as the U.S. dollar strengthened, foreign currency translaton resulted in a decrease in our revenues and expenses denominated in non-U.S. currencies. During 2023, foreign translaton had an insignifcant impact on our revenues and expenses denominated in non-U.S. currencies. Though we have exposure to fuctuatons in currency exchange rates, primarily those between the U.S. dollar and both the Britsh Pound and Canadian dollar, the impact has generally not been material to our consolidated results of operatons or fnancial positon. During 2023, the fuctuaton in foreign currency exchange rates impacted our total revenue and our income from operatons by insignifcant amounts. We have entered into foreign currency forward contracts to hedge revenues denominated in the Canadian dollar against changes in the exchange rate with the U.S. dollar. We will contnue monitoring such exposure and take acton as appropriate. To determine the impacts on revenue (or income from operatons) from fuctuatons in currency exchange rates, current period revenues (or income from operatons) from enttes reportng in foreign currencies were translated into U.S. dollars using the comparable prior year period's weighted average foreign currency exchange rates. These impacts are non-GAAP fnancial informaton and are not in accordance with, or an alternatve to, informaton prepared in accordance with GAAP.</w:t>
      </w:r>
    </w:p>
    <w:p>
      <w:pPr>
        <w:spacing w:after="0" w:line="21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Critcal Accountng Estmates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discussion and analysis of fnancial conditon and results of operatons are based upon our consolidated fnancial statements, which have been prepared in accordance with accountng principles generally accepted in the United States ("GAAP"). The preparaton of these fnancial statements requires us to make estmates and assumptons that afect the reported amounts of assets and liabilites and disclosure of contngent assets and liabilites at the date of the fnancial statements, as well as the reported amounts of revenues and expenses during the reportng periods. On an ongoing basis, we reconsider and evaluate our estmates and assumptons.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base our estmates on historical experience, current trends and various other assumptons that we believe to be reasonable under the circumstances, the results of which form the basis for making judgments about the carrying values of assets and liabilites that are not readily apparent from other sources. Actual results could materially difer from any of our estmates under diferent assumptons or conditons. Our signifcant accountng policies are discussed in Note 2 to our consolidated fnancial statements in this report. We believe the accountng estmates listed below are the most critcal to aid in fully understanding and evaluatng our reported fnancial results, and they require our most difcult, subjectve or complex judgments, resultng from the need to make estmates about the efect of maters that are inherently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231775</wp:posOffset>
            </wp:positionV>
            <wp:extent cx="7289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59</w:t>
            </w:r>
          </w:p>
        </w:tc>
      </w:tr>
      <w:tr>
        <w:trPr>
          <w:trHeight w:val="337"/>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Revenue Recogniton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Efect if Actual Results Difer</w:t>
            </w:r>
          </w:p>
        </w:tc>
      </w:tr>
      <w:tr>
        <w:trPr>
          <w:trHeight w:val="170"/>
        </w:trPr>
        <w:tc>
          <w:tcPr>
            <w:tcW w:w="3540" w:type="dxa"/>
            <w:vAlign w:val="bottom"/>
            <w:shd w:val="clear" w:color="auto" w:fill="004054"/>
          </w:tcPr>
          <w:p>
            <w:pPr>
              <w:ind w:left="1440"/>
              <w:spacing w:after="0"/>
              <w:rPr>
                <w:sz w:val="20"/>
                <w:szCs w:val="20"/>
                <w:color w:val="auto"/>
              </w:rPr>
            </w:pPr>
            <w:r>
              <w:rPr>
                <w:rFonts w:ascii="Calibri" w:cs="Calibri" w:eastAsia="Calibri" w:hAnsi="Calibri"/>
                <w:sz w:val="14"/>
                <w:szCs w:val="14"/>
                <w:b w:val="1"/>
                <w:bCs w:val="1"/>
                <w:color w:val="FFFFFF"/>
              </w:rPr>
              <w:t>Descripton</w:t>
            </w:r>
          </w:p>
        </w:tc>
        <w:tc>
          <w:tcPr>
            <w:tcW w:w="4110" w:type="dxa"/>
            <w:vAlign w:val="bottom"/>
            <w:shd w:val="clear" w:color="auto" w:fill="004054"/>
          </w:tcPr>
          <w:p>
            <w:pPr>
              <w:ind w:left="1200"/>
              <w:spacing w:after="0"/>
              <w:rPr>
                <w:sz w:val="20"/>
                <w:szCs w:val="20"/>
                <w:color w:val="auto"/>
              </w:rPr>
            </w:pPr>
            <w:r>
              <w:rPr>
                <w:rFonts w:ascii="Calibri" w:cs="Calibri" w:eastAsia="Calibri" w:hAnsi="Calibri"/>
                <w:sz w:val="14"/>
                <w:szCs w:val="14"/>
                <w:b w:val="1"/>
                <w:bCs w:val="1"/>
                <w:color w:val="FFFFFF"/>
              </w:rPr>
              <w:t>Judgments and Uncertaintes</w:t>
            </w: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From Assumptons</w:t>
            </w:r>
          </w:p>
        </w:tc>
      </w:tr>
      <w:tr>
        <w:trPr>
          <w:trHeight w:val="74"/>
        </w:trPr>
        <w:tc>
          <w:tcPr>
            <w:tcW w:w="3540" w:type="dxa"/>
            <w:vAlign w:val="bottom"/>
            <w:shd w:val="clear" w:color="auto" w:fill="004054"/>
          </w:tcPr>
          <w:p>
            <w:pPr>
              <w:spacing w:after="0"/>
              <w:rPr>
                <w:sz w:val="6"/>
                <w:szCs w:val="6"/>
                <w:color w:val="auto"/>
              </w:rPr>
            </w:pPr>
          </w:p>
        </w:tc>
        <w:tc>
          <w:tcPr>
            <w:tcW w:w="4110" w:type="dxa"/>
            <w:vAlign w:val="bottom"/>
            <w:shd w:val="clear" w:color="auto" w:fill="004054"/>
          </w:tcPr>
          <w:p>
            <w:pPr>
              <w:spacing w:after="0"/>
              <w:rPr>
                <w:sz w:val="6"/>
                <w:szCs w:val="6"/>
                <w:color w:val="auto"/>
              </w:rPr>
            </w:pPr>
          </w:p>
        </w:tc>
        <w:tc>
          <w:tcPr>
            <w:tcW w:w="3610" w:type="dxa"/>
            <w:vAlign w:val="bottom"/>
            <w:shd w:val="clear" w:color="auto" w:fill="004054"/>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1">
            <w:col w:w="11260"/>
          </w:cols>
          <w:pgMar w:left="320" w:top="111" w:right="319" w:bottom="1440" w:gutter="0" w:footer="0" w:header="0"/>
        </w:sectPr>
      </w:pPr>
    </w:p>
    <w:p>
      <w:pPr>
        <w:ind w:left="20" w:right="20"/>
        <w:spacing w:after="0" w:line="245" w:lineRule="auto"/>
        <w:rPr>
          <w:sz w:val="20"/>
          <w:szCs w:val="20"/>
          <w:color w:val="auto"/>
        </w:rPr>
      </w:pPr>
      <w:r>
        <w:rPr>
          <w:rFonts w:ascii="Calibri" w:cs="Calibri" w:eastAsia="Calibri" w:hAnsi="Calibri"/>
          <w:sz w:val="14"/>
          <w:szCs w:val="14"/>
          <w:color w:val="51555C"/>
        </w:rPr>
        <w:t>See Note 2 to our consolidated fnancial statements in this report for a complete discussion of our revenue recogniton policies.</w:t>
      </w:r>
    </w:p>
    <w:p>
      <w:pPr>
        <w:spacing w:after="0" w:line="232" w:lineRule="exact"/>
        <w:rPr>
          <w:sz w:val="20"/>
          <w:szCs w:val="20"/>
          <w:color w:val="auto"/>
        </w:rPr>
      </w:pPr>
    </w:p>
    <w:p>
      <w:pPr>
        <w:ind w:left="20"/>
        <w:spacing w:after="0" w:line="246" w:lineRule="auto"/>
        <w:rPr>
          <w:sz w:val="20"/>
          <w:szCs w:val="20"/>
          <w:color w:val="auto"/>
        </w:rPr>
      </w:pPr>
      <w:r>
        <w:rPr>
          <w:rFonts w:ascii="Calibri" w:cs="Calibri" w:eastAsia="Calibri" w:hAnsi="Calibri"/>
          <w:sz w:val="14"/>
          <w:szCs w:val="14"/>
          <w:color w:val="51555C"/>
        </w:rPr>
        <w:t>Revenues are recognized when control of our services is transferred to our customers, in an amount that refects the consideraton we expect to be enttled to in exchange for those services.</w:t>
      </w:r>
    </w:p>
    <w:p>
      <w:pPr>
        <w:spacing w:after="0" w:line="244" w:lineRule="exact"/>
        <w:rPr>
          <w:sz w:val="20"/>
          <w:szCs w:val="20"/>
          <w:color w:val="auto"/>
        </w:rPr>
      </w:pPr>
    </w:p>
    <w:p>
      <w:pPr>
        <w:ind w:left="20" w:right="160"/>
        <w:spacing w:after="0" w:line="233" w:lineRule="auto"/>
        <w:rPr>
          <w:sz w:val="20"/>
          <w:szCs w:val="20"/>
          <w:color w:val="auto"/>
        </w:rPr>
      </w:pPr>
      <w:r>
        <w:rPr>
          <w:rFonts w:ascii="Calibri" w:cs="Calibri" w:eastAsia="Calibri" w:hAnsi="Calibri"/>
          <w:sz w:val="14"/>
          <w:szCs w:val="14"/>
          <w:color w:val="51555C"/>
        </w:rPr>
        <w:t>We determine revenue recogniton through the following steps:</w:t>
      </w:r>
    </w:p>
    <w:p>
      <w:pPr>
        <w:spacing w:after="0" w:line="249" w:lineRule="exact"/>
        <w:rPr>
          <w:sz w:val="20"/>
          <w:szCs w:val="20"/>
          <w:color w:val="auto"/>
        </w:rPr>
      </w:pPr>
    </w:p>
    <w:p>
      <w:pPr>
        <w:ind w:left="20" w:right="440" w:firstLine="6"/>
        <w:spacing w:after="0" w:line="245" w:lineRule="auto"/>
        <w:tabs>
          <w:tab w:leader="none" w:pos="213" w:val="left"/>
        </w:tabs>
        <w:numPr>
          <w:ilvl w:val="0"/>
          <w:numId w:val="46"/>
        </w:numPr>
        <w:rPr>
          <w:rFonts w:ascii="Calibri" w:cs="Calibri" w:eastAsia="Calibri" w:hAnsi="Calibri"/>
          <w:sz w:val="14"/>
          <w:szCs w:val="14"/>
          <w:color w:val="51555C"/>
        </w:rPr>
      </w:pPr>
      <w:r>
        <w:rPr>
          <w:rFonts w:ascii="Calibri" w:cs="Calibri" w:eastAsia="Calibri" w:hAnsi="Calibri"/>
          <w:sz w:val="14"/>
          <w:szCs w:val="14"/>
          <w:color w:val="51555C"/>
        </w:rPr>
        <w:t>Identfcaton of the contract, or contracts, with a customer;</w:t>
      </w:r>
    </w:p>
    <w:p>
      <w:pPr>
        <w:spacing w:after="0" w:line="245" w:lineRule="exact"/>
        <w:rPr>
          <w:rFonts w:ascii="Calibri" w:cs="Calibri" w:eastAsia="Calibri" w:hAnsi="Calibri"/>
          <w:sz w:val="14"/>
          <w:szCs w:val="14"/>
          <w:color w:val="51555C"/>
        </w:rPr>
      </w:pPr>
    </w:p>
    <w:p>
      <w:pPr>
        <w:ind w:left="20" w:right="320" w:firstLine="6"/>
        <w:spacing w:after="0" w:line="245" w:lineRule="auto"/>
        <w:tabs>
          <w:tab w:leader="none" w:pos="213" w:val="left"/>
        </w:tabs>
        <w:numPr>
          <w:ilvl w:val="0"/>
          <w:numId w:val="46"/>
        </w:numPr>
        <w:rPr>
          <w:rFonts w:ascii="Calibri" w:cs="Calibri" w:eastAsia="Calibri" w:hAnsi="Calibri"/>
          <w:sz w:val="14"/>
          <w:szCs w:val="14"/>
          <w:color w:val="51555C"/>
        </w:rPr>
      </w:pPr>
      <w:r>
        <w:rPr>
          <w:rFonts w:ascii="Calibri" w:cs="Calibri" w:eastAsia="Calibri" w:hAnsi="Calibri"/>
          <w:sz w:val="14"/>
          <w:szCs w:val="14"/>
          <w:color w:val="51555C"/>
        </w:rPr>
        <w:t>Identfcaton of the performance obligatons in the contract;</w:t>
      </w:r>
    </w:p>
    <w:p>
      <w:pPr>
        <w:spacing w:after="0" w:line="230" w:lineRule="exact"/>
        <w:rPr>
          <w:rFonts w:ascii="Calibri" w:cs="Calibri" w:eastAsia="Calibri" w:hAnsi="Calibri"/>
          <w:sz w:val="14"/>
          <w:szCs w:val="14"/>
          <w:color w:val="51555C"/>
        </w:rPr>
      </w:pPr>
    </w:p>
    <w:p>
      <w:pPr>
        <w:ind w:left="220" w:hanging="194"/>
        <w:spacing w:after="0"/>
        <w:tabs>
          <w:tab w:leader="none" w:pos="220" w:val="left"/>
        </w:tabs>
        <w:numPr>
          <w:ilvl w:val="0"/>
          <w:numId w:val="46"/>
        </w:numPr>
        <w:rPr>
          <w:rFonts w:ascii="Calibri" w:cs="Calibri" w:eastAsia="Calibri" w:hAnsi="Calibri"/>
          <w:sz w:val="14"/>
          <w:szCs w:val="14"/>
          <w:color w:val="51555C"/>
        </w:rPr>
      </w:pPr>
      <w:r>
        <w:rPr>
          <w:rFonts w:ascii="Calibri" w:cs="Calibri" w:eastAsia="Calibri" w:hAnsi="Calibri"/>
          <w:sz w:val="14"/>
          <w:szCs w:val="14"/>
          <w:color w:val="51555C"/>
        </w:rPr>
        <w:t>Determinaton of the transacton price;</w:t>
      </w:r>
    </w:p>
    <w:p>
      <w:pPr>
        <w:spacing w:after="0" w:line="248" w:lineRule="exact"/>
        <w:rPr>
          <w:rFonts w:ascii="Calibri" w:cs="Calibri" w:eastAsia="Calibri" w:hAnsi="Calibri"/>
          <w:sz w:val="14"/>
          <w:szCs w:val="14"/>
          <w:color w:val="51555C"/>
        </w:rPr>
      </w:pPr>
    </w:p>
    <w:p>
      <w:pPr>
        <w:ind w:left="20" w:right="160" w:firstLine="6"/>
        <w:spacing w:after="0" w:line="245" w:lineRule="auto"/>
        <w:tabs>
          <w:tab w:leader="none" w:pos="213" w:val="left"/>
        </w:tabs>
        <w:numPr>
          <w:ilvl w:val="0"/>
          <w:numId w:val="46"/>
        </w:numPr>
        <w:rPr>
          <w:rFonts w:ascii="Calibri" w:cs="Calibri" w:eastAsia="Calibri" w:hAnsi="Calibri"/>
          <w:sz w:val="14"/>
          <w:szCs w:val="14"/>
          <w:color w:val="51555C"/>
        </w:rPr>
      </w:pPr>
      <w:r>
        <w:rPr>
          <w:rFonts w:ascii="Calibri" w:cs="Calibri" w:eastAsia="Calibri" w:hAnsi="Calibri"/>
          <w:sz w:val="14"/>
          <w:szCs w:val="14"/>
          <w:color w:val="51555C"/>
        </w:rPr>
        <w:t>Allocaton of the transacton price to the performance obligatons in the contract; and</w:t>
      </w:r>
    </w:p>
    <w:p>
      <w:pPr>
        <w:spacing w:after="0" w:line="245" w:lineRule="exact"/>
        <w:rPr>
          <w:rFonts w:ascii="Calibri" w:cs="Calibri" w:eastAsia="Calibri" w:hAnsi="Calibri"/>
          <w:sz w:val="14"/>
          <w:szCs w:val="14"/>
          <w:color w:val="51555C"/>
        </w:rPr>
      </w:pPr>
    </w:p>
    <w:p>
      <w:pPr>
        <w:ind w:left="20" w:right="500" w:firstLine="6"/>
        <w:spacing w:after="0" w:line="245" w:lineRule="auto"/>
        <w:tabs>
          <w:tab w:leader="none" w:pos="213" w:val="left"/>
        </w:tabs>
        <w:numPr>
          <w:ilvl w:val="0"/>
          <w:numId w:val="46"/>
        </w:numPr>
        <w:rPr>
          <w:rFonts w:ascii="Calibri" w:cs="Calibri" w:eastAsia="Calibri" w:hAnsi="Calibri"/>
          <w:sz w:val="14"/>
          <w:szCs w:val="14"/>
          <w:color w:val="51555C"/>
        </w:rPr>
      </w:pPr>
      <w:r>
        <w:rPr>
          <w:rFonts w:ascii="Calibri" w:cs="Calibri" w:eastAsia="Calibri" w:hAnsi="Calibri"/>
          <w:sz w:val="14"/>
          <w:szCs w:val="14"/>
          <w:color w:val="51555C"/>
        </w:rPr>
        <w:t>Recogniton of revenue when, or as, we satsfy a performance obligaton.</w:t>
      </w:r>
    </w:p>
    <w:p>
      <w:pPr>
        <w:spacing w:after="0" w:line="151" w:lineRule="exact"/>
        <w:rPr>
          <w:sz w:val="20"/>
          <w:szCs w:val="20"/>
          <w:color w:val="auto"/>
        </w:rPr>
      </w:pPr>
    </w:p>
    <w:p>
      <w:pPr>
        <w:jc w:val="both"/>
        <w:ind w:left="20" w:right="80"/>
        <w:spacing w:after="0" w:line="245" w:lineRule="auto"/>
        <w:rPr>
          <w:sz w:val="20"/>
          <w:szCs w:val="20"/>
          <w:color w:val="auto"/>
        </w:rPr>
      </w:pPr>
      <w:r>
        <w:rPr>
          <w:rFonts w:ascii="Calibri" w:cs="Calibri" w:eastAsia="Calibri" w:hAnsi="Calibri"/>
          <w:sz w:val="14"/>
          <w:szCs w:val="14"/>
          <w:color w:val="51555C"/>
        </w:rPr>
        <w:t>We have not made any material changes in the accountng methodology we use to recognize revenue during the year ended December 31, 2023.</w:t>
      </w:r>
    </w:p>
    <w:p>
      <w:pPr>
        <w:spacing w:after="0" w:line="20" w:lineRule="exact"/>
        <w:rPr>
          <w:sz w:val="20"/>
          <w:szCs w:val="20"/>
          <w:color w:val="auto"/>
        </w:rPr>
      </w:pPr>
      <w:r>
        <w:rPr>
          <w:sz w:val="20"/>
          <w:szCs w:val="20"/>
          <w:color w:val="auto"/>
        </w:rPr>
        <w:br w:type="column"/>
      </w:r>
    </w:p>
    <w:p>
      <w:pPr>
        <w:ind w:right="380"/>
        <w:spacing w:after="0" w:line="239" w:lineRule="auto"/>
        <w:rPr>
          <w:sz w:val="20"/>
          <w:szCs w:val="20"/>
          <w:color w:val="auto"/>
        </w:rPr>
      </w:pPr>
      <w:r>
        <w:rPr>
          <w:rFonts w:ascii="Calibri" w:cs="Calibri" w:eastAsia="Calibri" w:hAnsi="Calibri"/>
          <w:sz w:val="14"/>
          <w:szCs w:val="14"/>
          <w:color w:val="51555C"/>
        </w:rPr>
        <w:t>Our revenue recogniton accountng methodology may contain uncertaintes because it could require us to make signifcant estmates and assumptons, and to apply judgment for certain customer contracts.</w:t>
      </w:r>
    </w:p>
    <w:p>
      <w:pPr>
        <w:spacing w:after="0" w:line="169" w:lineRule="exact"/>
        <w:rPr>
          <w:sz w:val="20"/>
          <w:szCs w:val="20"/>
          <w:color w:val="auto"/>
        </w:rPr>
      </w:pPr>
    </w:p>
    <w:p>
      <w:pPr>
        <w:spacing w:after="0" w:line="243" w:lineRule="auto"/>
        <w:rPr>
          <w:sz w:val="20"/>
          <w:szCs w:val="20"/>
          <w:color w:val="auto"/>
        </w:rPr>
      </w:pPr>
      <w:r>
        <w:rPr>
          <w:rFonts w:ascii="Calibri" w:cs="Calibri" w:eastAsia="Calibri" w:hAnsi="Calibri"/>
          <w:sz w:val="14"/>
          <w:szCs w:val="14"/>
          <w:color w:val="51555C"/>
        </w:rPr>
        <w:t>For example, for certain arrangements that have multple performance obligatons, we may need to exercise judgment and use estmates in order to (1) determine whether performance obligatons are distnct and should be accounted for separately; (2) determine the standalone selling price of each performance obligaton; (3) allocate the transacton price among the various performance obligatons on a relatve standalone selling price basis; and (4) determine whether revenue for each performance obligaton should be recognized at a point in tme or over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1995170</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39" w:lineRule="auto"/>
        <w:rPr>
          <w:sz w:val="20"/>
          <w:szCs w:val="20"/>
          <w:color w:val="auto"/>
        </w:rPr>
      </w:pPr>
      <w:r>
        <w:rPr>
          <w:rFonts w:ascii="Calibri" w:cs="Calibri" w:eastAsia="Calibri" w:hAnsi="Calibri"/>
          <w:sz w:val="14"/>
          <w:szCs w:val="14"/>
          <w:color w:val="51555C"/>
        </w:rPr>
        <w:t>If we were to change any of these judgments or estmates, it could cause a material increase or decrease in the amount of revenue or deferred revenue that we report in a partcular period.</w:t>
      </w:r>
    </w:p>
    <w:p>
      <w:pPr>
        <w:spacing w:after="0" w:line="5009" w:lineRule="exact"/>
        <w:rPr>
          <w:sz w:val="20"/>
          <w:szCs w:val="20"/>
          <w:color w:val="auto"/>
        </w:rPr>
      </w:pPr>
    </w:p>
    <w:p>
      <w:pPr>
        <w:sectPr>
          <w:pgSz w:w="11900" w:h="16838" w:orient="portrait"/>
          <w:cols w:equalWidth="0" w:num="3">
            <w:col w:w="3520" w:space="20"/>
            <w:col w:w="4040" w:space="80"/>
            <w:col w:w="3600"/>
          </w:cols>
          <w:pgMar w:left="320" w:top="11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60</w:t>
      </w:r>
      <w:r>
        <w:rPr>
          <w:sz w:val="20"/>
          <w:szCs w:val="20"/>
          <w:color w:val="auto"/>
        </w:rPr>
        <w:tab/>
      </w:r>
      <w:r>
        <w:rPr>
          <w:sz w:val="1"/>
          <w:szCs w:val="1"/>
          <w:color w:val="auto"/>
        </w:rPr>
        <w:drawing>
          <wp:inline distT="0" distB="0" distL="0" distR="0">
            <wp:extent cx="728345" cy="18859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Business Combinatons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Efect if Actual Results Difer</w:t>
            </w:r>
          </w:p>
        </w:tc>
      </w:tr>
      <w:tr>
        <w:trPr>
          <w:trHeight w:val="170"/>
        </w:trPr>
        <w:tc>
          <w:tcPr>
            <w:tcW w:w="3540" w:type="dxa"/>
            <w:vAlign w:val="bottom"/>
            <w:shd w:val="clear" w:color="auto" w:fill="004054"/>
          </w:tcPr>
          <w:p>
            <w:pPr>
              <w:ind w:left="1440"/>
              <w:spacing w:after="0"/>
              <w:rPr>
                <w:sz w:val="20"/>
                <w:szCs w:val="20"/>
                <w:color w:val="auto"/>
              </w:rPr>
            </w:pPr>
            <w:r>
              <w:rPr>
                <w:rFonts w:ascii="Calibri" w:cs="Calibri" w:eastAsia="Calibri" w:hAnsi="Calibri"/>
                <w:sz w:val="14"/>
                <w:szCs w:val="14"/>
                <w:b w:val="1"/>
                <w:bCs w:val="1"/>
                <w:color w:val="FFFFFF"/>
              </w:rPr>
              <w:t>Descripton</w:t>
            </w:r>
          </w:p>
        </w:tc>
        <w:tc>
          <w:tcPr>
            <w:tcW w:w="4110" w:type="dxa"/>
            <w:vAlign w:val="bottom"/>
            <w:shd w:val="clear" w:color="auto" w:fill="004054"/>
          </w:tcPr>
          <w:p>
            <w:pPr>
              <w:ind w:left="1200"/>
              <w:spacing w:after="0"/>
              <w:rPr>
                <w:sz w:val="20"/>
                <w:szCs w:val="20"/>
                <w:color w:val="auto"/>
              </w:rPr>
            </w:pPr>
            <w:r>
              <w:rPr>
                <w:rFonts w:ascii="Calibri" w:cs="Calibri" w:eastAsia="Calibri" w:hAnsi="Calibri"/>
                <w:sz w:val="14"/>
                <w:szCs w:val="14"/>
                <w:b w:val="1"/>
                <w:bCs w:val="1"/>
                <w:color w:val="FFFFFF"/>
              </w:rPr>
              <w:t>Judgments and Uncertaintes</w:t>
            </w: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From Assumptons</w:t>
            </w:r>
          </w:p>
        </w:tc>
      </w:tr>
      <w:tr>
        <w:trPr>
          <w:trHeight w:val="74"/>
        </w:trPr>
        <w:tc>
          <w:tcPr>
            <w:tcW w:w="3540" w:type="dxa"/>
            <w:vAlign w:val="bottom"/>
            <w:shd w:val="clear" w:color="auto" w:fill="004054"/>
          </w:tcPr>
          <w:p>
            <w:pPr>
              <w:spacing w:after="0"/>
              <w:rPr>
                <w:sz w:val="6"/>
                <w:szCs w:val="6"/>
                <w:color w:val="auto"/>
              </w:rPr>
            </w:pPr>
          </w:p>
        </w:tc>
        <w:tc>
          <w:tcPr>
            <w:tcW w:w="4110" w:type="dxa"/>
            <w:vAlign w:val="bottom"/>
            <w:shd w:val="clear" w:color="auto" w:fill="004054"/>
          </w:tcPr>
          <w:p>
            <w:pPr>
              <w:spacing w:after="0"/>
              <w:rPr>
                <w:sz w:val="6"/>
                <w:szCs w:val="6"/>
                <w:color w:val="auto"/>
              </w:rPr>
            </w:pPr>
          </w:p>
        </w:tc>
        <w:tc>
          <w:tcPr>
            <w:tcW w:w="3610" w:type="dxa"/>
            <w:vAlign w:val="bottom"/>
            <w:shd w:val="clear" w:color="auto" w:fill="004054"/>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1">
            <w:col w:w="11260"/>
          </w:cols>
          <w:pgMar w:left="320" w:top="111" w:right="319" w:bottom="1440" w:gutter="0" w:footer="0" w:header="0"/>
        </w:sectPr>
      </w:pPr>
    </w:p>
    <w:p>
      <w:pPr>
        <w:ind w:left="20"/>
        <w:spacing w:after="0" w:line="242" w:lineRule="auto"/>
        <w:rPr>
          <w:sz w:val="20"/>
          <w:szCs w:val="20"/>
          <w:color w:val="auto"/>
        </w:rPr>
      </w:pPr>
      <w:r>
        <w:rPr>
          <w:rFonts w:ascii="Calibri" w:cs="Calibri" w:eastAsia="Calibri" w:hAnsi="Calibri"/>
          <w:sz w:val="14"/>
          <w:szCs w:val="14"/>
          <w:color w:val="51555C"/>
        </w:rPr>
        <w:t>We allocate the purchase price of an acquired business to its identfable assets acquired and liabilites assumed at the acquisiton date based upon their estmated fair values. The excess of the purchase price over the amount allocated to the identfable assets acquired and liabilites assumed, if any, is recorded as goodwill.</w:t>
      </w:r>
    </w:p>
    <w:p>
      <w:pPr>
        <w:spacing w:after="0" w:line="248" w:lineRule="exact"/>
        <w:rPr>
          <w:sz w:val="20"/>
          <w:szCs w:val="20"/>
          <w:color w:val="auto"/>
        </w:rPr>
      </w:pPr>
    </w:p>
    <w:p>
      <w:pPr>
        <w:ind w:left="20"/>
        <w:spacing w:after="0"/>
        <w:rPr>
          <w:sz w:val="20"/>
          <w:szCs w:val="20"/>
          <w:color w:val="auto"/>
        </w:rPr>
      </w:pPr>
      <w:r>
        <w:rPr>
          <w:rFonts w:ascii="Calibri" w:cs="Calibri" w:eastAsia="Calibri" w:hAnsi="Calibri"/>
          <w:sz w:val="14"/>
          <w:szCs w:val="14"/>
          <w:color w:val="51555C"/>
        </w:rPr>
        <w:t>We use available informaton to estmate fair values. We typically engage outside appraisal frms to assist in the fair value determinaton of long-lived and identfable intangible assets, and any other signifcant assets or liabilites. We adjust the preliminary purchase price allocaton, as necessary, up to one year afer the acquisiton closing date as we obtain new informaton about facts and circumstances that existed as of the closing date.</w:t>
      </w:r>
    </w:p>
    <w:p>
      <w:pPr>
        <w:spacing w:after="0" w:line="172" w:lineRule="exact"/>
        <w:rPr>
          <w:sz w:val="20"/>
          <w:szCs w:val="20"/>
          <w:color w:val="auto"/>
        </w:rPr>
      </w:pPr>
    </w:p>
    <w:p>
      <w:pPr>
        <w:jc w:val="both"/>
        <w:ind w:left="20" w:right="60"/>
        <w:spacing w:after="0" w:line="245" w:lineRule="auto"/>
        <w:rPr>
          <w:sz w:val="20"/>
          <w:szCs w:val="20"/>
          <w:color w:val="auto"/>
        </w:rPr>
      </w:pPr>
      <w:r>
        <w:rPr>
          <w:rFonts w:ascii="Calibri" w:cs="Calibri" w:eastAsia="Calibri" w:hAnsi="Calibri"/>
          <w:sz w:val="14"/>
          <w:szCs w:val="14"/>
          <w:color w:val="51555C"/>
        </w:rPr>
        <w:t>We have not made any material changes in the accountng methodology we use for business combinatons during the year ended December 31, 2023.</w:t>
      </w:r>
    </w:p>
    <w:p>
      <w:pPr>
        <w:spacing w:after="0" w:line="20" w:lineRule="exact"/>
        <w:rPr>
          <w:sz w:val="20"/>
          <w:szCs w:val="20"/>
          <w:color w:val="auto"/>
        </w:rPr>
      </w:pPr>
      <w:r>
        <w:rPr>
          <w:sz w:val="20"/>
          <w:szCs w:val="20"/>
          <w:color w:val="auto"/>
        </w:rPr>
        <w:br w:type="column"/>
      </w:r>
    </w:p>
    <w:p>
      <w:pPr>
        <w:ind w:right="20"/>
        <w:spacing w:after="0" w:line="241" w:lineRule="auto"/>
        <w:rPr>
          <w:sz w:val="20"/>
          <w:szCs w:val="20"/>
          <w:color w:val="auto"/>
        </w:rPr>
      </w:pPr>
      <w:r>
        <w:rPr>
          <w:rFonts w:ascii="Calibri" w:cs="Calibri" w:eastAsia="Calibri" w:hAnsi="Calibri"/>
          <w:sz w:val="14"/>
          <w:szCs w:val="14"/>
          <w:color w:val="51555C"/>
        </w:rPr>
        <w:t>Our purchase price allocaton methodology contains uncertaintes because it requires us to make signifcant estmates and assumptons, and to apply judgment to estmate the fair value of assets acquired and liabilites assumed, especially with respect to long-lived and intangible assets.</w:t>
      </w:r>
    </w:p>
    <w:p>
      <w:pPr>
        <w:spacing w:after="0" w:line="248" w:lineRule="exact"/>
        <w:rPr>
          <w:sz w:val="20"/>
          <w:szCs w:val="20"/>
          <w:color w:val="auto"/>
        </w:rPr>
      </w:pPr>
    </w:p>
    <w:p>
      <w:pPr>
        <w:spacing w:after="0" w:line="241" w:lineRule="auto"/>
        <w:rPr>
          <w:sz w:val="20"/>
          <w:szCs w:val="20"/>
          <w:color w:val="auto"/>
        </w:rPr>
      </w:pPr>
      <w:r>
        <w:rPr>
          <w:rFonts w:ascii="Calibri" w:cs="Calibri" w:eastAsia="Calibri" w:hAnsi="Calibri"/>
          <w:sz w:val="14"/>
          <w:szCs w:val="14"/>
          <w:color w:val="51555C"/>
        </w:rPr>
        <w:t>Management estmates the fair value of assets acquired and liabilites assumed based on quoted market prices, the carrying value of the acquired assets and widely accepted valuaton techniques, including discounted cash fows, market multple analyses and replacement cost.</w:t>
      </w:r>
    </w:p>
    <w:p>
      <w:pPr>
        <w:spacing w:after="0" w:line="200" w:lineRule="exact"/>
        <w:rPr>
          <w:sz w:val="20"/>
          <w:szCs w:val="20"/>
          <w:color w:val="auto"/>
        </w:rPr>
      </w:pPr>
    </w:p>
    <w:p>
      <w:pPr>
        <w:spacing w:after="0" w:line="221" w:lineRule="exact"/>
        <w:rPr>
          <w:sz w:val="20"/>
          <w:szCs w:val="20"/>
          <w:color w:val="auto"/>
        </w:rPr>
      </w:pPr>
    </w:p>
    <w:p>
      <w:pPr>
        <w:spacing w:after="0" w:line="242" w:lineRule="auto"/>
        <w:rPr>
          <w:sz w:val="20"/>
          <w:szCs w:val="20"/>
          <w:color w:val="auto"/>
        </w:rPr>
      </w:pPr>
      <w:r>
        <w:rPr>
          <w:rFonts w:ascii="Calibri" w:cs="Calibri" w:eastAsia="Calibri" w:hAnsi="Calibri"/>
          <w:sz w:val="14"/>
          <w:szCs w:val="14"/>
          <w:color w:val="51555C"/>
        </w:rPr>
        <w:t>We apply signifcant judgement in estmatng the fair value of intangible assets acquired, which involves the use of signifcant assumptons. Signifcant assumptons used in the valuaton of customer relatonships include future revenue and operatng expenses, customer atriton rates, contributory asset charges, tax amortzaton beneft, and discount rates. Signifcant assumptons used in the valuaton of certain developed technology assets include future revenue, proprietary technology obsolescence curve, royalty rate, and discount rate. Signifcant assumptons used in the valuaton of marketng assets include assumptons about the period of tme the brand will contnue to be valuable, royalty rate, and discount rate. Signifcant assumptons used in the valuaton of content intangible assets include cost-based assumptons. Our estmates of fair value are based upon assumptons we believe to be reasonable, but which are inherently uncertain and unpredictable, and unantcipated events and changes in circumstances may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41275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43" w:lineRule="auto"/>
        <w:rPr>
          <w:sz w:val="20"/>
          <w:szCs w:val="20"/>
          <w:color w:val="auto"/>
        </w:rPr>
      </w:pPr>
      <w:r>
        <w:rPr>
          <w:rFonts w:ascii="Calibri" w:cs="Calibri" w:eastAsia="Calibri" w:hAnsi="Calibri"/>
          <w:sz w:val="14"/>
          <w:szCs w:val="14"/>
          <w:color w:val="51555C"/>
        </w:rPr>
        <w:t>If actual results are materially diferent than the assumptons we used to determine fair value of the assets acquired and liabilites assumed through a business combinaton as well as the estmated useful lives of the acquired intangible assets, it is possible that adjustments to the carrying values of such assets and liabilites will have a material impact on our fnancial positon and results of operatons.</w:t>
      </w:r>
    </w:p>
    <w:p>
      <w:pPr>
        <w:spacing w:after="0" w:line="200" w:lineRule="exact"/>
        <w:rPr>
          <w:sz w:val="20"/>
          <w:szCs w:val="20"/>
          <w:color w:val="auto"/>
        </w:rPr>
      </w:pPr>
    </w:p>
    <w:p>
      <w:pPr>
        <w:spacing w:after="0" w:line="208" w:lineRule="exact"/>
        <w:rPr>
          <w:sz w:val="20"/>
          <w:szCs w:val="20"/>
          <w:color w:val="auto"/>
        </w:rPr>
      </w:pPr>
    </w:p>
    <w:p>
      <w:pPr>
        <w:jc w:val="both"/>
        <w:ind w:right="180"/>
        <w:spacing w:after="0" w:line="245" w:lineRule="auto"/>
        <w:rPr>
          <w:sz w:val="20"/>
          <w:szCs w:val="20"/>
          <w:color w:val="auto"/>
        </w:rPr>
      </w:pPr>
      <w:r>
        <w:rPr>
          <w:rFonts w:ascii="Calibri" w:cs="Calibri" w:eastAsia="Calibri" w:hAnsi="Calibri"/>
          <w:sz w:val="14"/>
          <w:szCs w:val="14"/>
          <w:color w:val="51555C"/>
        </w:rPr>
        <w:t>See Note 3 to our consolidated fnancial statements in this report for informaton regarding our business acquisitons.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2222500</wp:posOffset>
            </wp:positionV>
            <wp:extent cx="72898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202" w:lineRule="exact"/>
        <w:rPr>
          <w:sz w:val="20"/>
          <w:szCs w:val="20"/>
          <w:color w:val="auto"/>
        </w:rPr>
      </w:pPr>
    </w:p>
    <w:p>
      <w:pPr>
        <w:sectPr>
          <w:pgSz w:w="11900" w:h="16838" w:orient="portrait"/>
          <w:cols w:equalWidth="0" w:num="3">
            <w:col w:w="3500" w:space="40"/>
            <w:col w:w="4080" w:space="40"/>
            <w:col w:w="3600"/>
          </w:cols>
          <w:pgMar w:left="320" w:top="111" w:right="319" w:bottom="1440" w:gutter="0" w:footer="0" w:header="0"/>
          <w:type w:val="continuous"/>
        </w:sect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61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Income Taxes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Efect if Actual Results Difer</w:t>
            </w:r>
          </w:p>
        </w:tc>
      </w:tr>
      <w:tr>
        <w:trPr>
          <w:trHeight w:val="170"/>
        </w:trPr>
        <w:tc>
          <w:tcPr>
            <w:tcW w:w="3540" w:type="dxa"/>
            <w:vAlign w:val="bottom"/>
            <w:shd w:val="clear" w:color="auto" w:fill="004054"/>
          </w:tcPr>
          <w:p>
            <w:pPr>
              <w:ind w:left="1440"/>
              <w:spacing w:after="0"/>
              <w:rPr>
                <w:sz w:val="20"/>
                <w:szCs w:val="20"/>
                <w:color w:val="auto"/>
              </w:rPr>
            </w:pPr>
            <w:r>
              <w:rPr>
                <w:rFonts w:ascii="Calibri" w:cs="Calibri" w:eastAsia="Calibri" w:hAnsi="Calibri"/>
                <w:sz w:val="14"/>
                <w:szCs w:val="14"/>
                <w:b w:val="1"/>
                <w:bCs w:val="1"/>
                <w:color w:val="FFFFFF"/>
              </w:rPr>
              <w:t>Descripton</w:t>
            </w:r>
          </w:p>
        </w:tc>
        <w:tc>
          <w:tcPr>
            <w:tcW w:w="4110" w:type="dxa"/>
            <w:vAlign w:val="bottom"/>
            <w:shd w:val="clear" w:color="auto" w:fill="004054"/>
          </w:tcPr>
          <w:p>
            <w:pPr>
              <w:ind w:left="1200"/>
              <w:spacing w:after="0"/>
              <w:rPr>
                <w:sz w:val="20"/>
                <w:szCs w:val="20"/>
                <w:color w:val="auto"/>
              </w:rPr>
            </w:pPr>
            <w:r>
              <w:rPr>
                <w:rFonts w:ascii="Calibri" w:cs="Calibri" w:eastAsia="Calibri" w:hAnsi="Calibri"/>
                <w:sz w:val="14"/>
                <w:szCs w:val="14"/>
                <w:b w:val="1"/>
                <w:bCs w:val="1"/>
                <w:color w:val="FFFFFF"/>
              </w:rPr>
              <w:t>Judgments and Uncertaintes</w:t>
            </w: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From Assumptons</w:t>
            </w:r>
          </w:p>
        </w:tc>
      </w:tr>
      <w:tr>
        <w:trPr>
          <w:trHeight w:val="74"/>
        </w:trPr>
        <w:tc>
          <w:tcPr>
            <w:tcW w:w="3540" w:type="dxa"/>
            <w:vAlign w:val="bottom"/>
            <w:shd w:val="clear" w:color="auto" w:fill="004054"/>
          </w:tcPr>
          <w:p>
            <w:pPr>
              <w:spacing w:after="0"/>
              <w:rPr>
                <w:sz w:val="6"/>
                <w:szCs w:val="6"/>
                <w:color w:val="auto"/>
              </w:rPr>
            </w:pPr>
          </w:p>
        </w:tc>
        <w:tc>
          <w:tcPr>
            <w:tcW w:w="4110" w:type="dxa"/>
            <w:vAlign w:val="bottom"/>
            <w:shd w:val="clear" w:color="auto" w:fill="004054"/>
          </w:tcPr>
          <w:p>
            <w:pPr>
              <w:spacing w:after="0"/>
              <w:rPr>
                <w:sz w:val="6"/>
                <w:szCs w:val="6"/>
                <w:color w:val="auto"/>
              </w:rPr>
            </w:pPr>
          </w:p>
        </w:tc>
        <w:tc>
          <w:tcPr>
            <w:tcW w:w="3610" w:type="dxa"/>
            <w:vAlign w:val="bottom"/>
            <w:shd w:val="clear" w:color="auto" w:fill="004054"/>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1">
            <w:col w:w="11260"/>
          </w:cols>
          <w:pgMar w:left="320" w:top="111" w:right="319" w:bottom="1440" w:gutter="0" w:footer="0" w:header="0"/>
        </w:sectPr>
      </w:pPr>
    </w:p>
    <w:p>
      <w:pPr>
        <w:ind w:left="20" w:right="160"/>
        <w:spacing w:after="0" w:line="239" w:lineRule="auto"/>
        <w:rPr>
          <w:sz w:val="20"/>
          <w:szCs w:val="20"/>
          <w:color w:val="auto"/>
        </w:rPr>
      </w:pPr>
      <w:r>
        <w:rPr>
          <w:rFonts w:ascii="Calibri" w:cs="Calibri" w:eastAsia="Calibri" w:hAnsi="Calibri"/>
          <w:sz w:val="14"/>
          <w:szCs w:val="14"/>
          <w:color w:val="51555C"/>
        </w:rPr>
        <w:t>We make estmates and judgments in accountng for income taxes. Our income tax returns, like those of most companies, are periodically audited by domestc and foreign tax authorites.</w:t>
      </w:r>
    </w:p>
    <w:p>
      <w:pPr>
        <w:spacing w:after="0" w:line="250" w:lineRule="exact"/>
        <w:rPr>
          <w:sz w:val="20"/>
          <w:szCs w:val="20"/>
          <w:color w:val="auto"/>
        </w:rPr>
      </w:pPr>
    </w:p>
    <w:p>
      <w:pPr>
        <w:ind w:left="20" w:right="40"/>
        <w:spacing w:after="0" w:line="242" w:lineRule="auto"/>
        <w:rPr>
          <w:sz w:val="20"/>
          <w:szCs w:val="20"/>
          <w:color w:val="auto"/>
        </w:rPr>
      </w:pPr>
      <w:r>
        <w:rPr>
          <w:rFonts w:ascii="Calibri" w:cs="Calibri" w:eastAsia="Calibri" w:hAnsi="Calibri"/>
          <w:sz w:val="14"/>
          <w:szCs w:val="14"/>
          <w:color w:val="51555C"/>
        </w:rPr>
        <w:t>We measure and recognize uncertain tax positons. To recognize uncertain tax positons, we must frst determine if it is more likely than not that the positon will be sustained upon audit. We must then measure the beneft as the largest amount that is more than 50% likely of being realized upon ultmate setlement.</w:t>
      </w:r>
    </w:p>
    <w:p>
      <w:pPr>
        <w:spacing w:after="0" w:line="249" w:lineRule="exact"/>
        <w:rPr>
          <w:sz w:val="20"/>
          <w:szCs w:val="20"/>
          <w:color w:val="auto"/>
        </w:rPr>
      </w:pPr>
    </w:p>
    <w:p>
      <w:pPr>
        <w:ind w:left="20"/>
        <w:spacing w:after="0" w:line="241" w:lineRule="auto"/>
        <w:rPr>
          <w:sz w:val="20"/>
          <w:szCs w:val="20"/>
          <w:color w:val="auto"/>
        </w:rPr>
      </w:pPr>
      <w:r>
        <w:rPr>
          <w:rFonts w:ascii="Calibri" w:cs="Calibri" w:eastAsia="Calibri" w:hAnsi="Calibri"/>
          <w:sz w:val="14"/>
          <w:szCs w:val="14"/>
          <w:color w:val="51555C"/>
        </w:rPr>
        <w:t>We make estmates in determining tax assets and liabilites, which arise from diferences in the tming of recogniton of revenue and expense for tax and fnancial reportng purposes. We record valuaton allowances to reduce our deferred tax assets to the amount expected to be realized.</w:t>
      </w:r>
    </w:p>
    <w:p>
      <w:pPr>
        <w:spacing w:after="0" w:line="168" w:lineRule="exact"/>
        <w:rPr>
          <w:sz w:val="20"/>
          <w:szCs w:val="20"/>
          <w:color w:val="auto"/>
        </w:rPr>
      </w:pPr>
    </w:p>
    <w:p>
      <w:pPr>
        <w:jc w:val="both"/>
        <w:ind w:left="20" w:right="40"/>
        <w:spacing w:after="0" w:line="245" w:lineRule="auto"/>
        <w:rPr>
          <w:sz w:val="20"/>
          <w:szCs w:val="20"/>
          <w:color w:val="auto"/>
        </w:rPr>
      </w:pPr>
      <w:r>
        <w:rPr>
          <w:rFonts w:ascii="Calibri" w:cs="Calibri" w:eastAsia="Calibri" w:hAnsi="Calibri"/>
          <w:sz w:val="14"/>
          <w:szCs w:val="14"/>
          <w:color w:val="51555C"/>
        </w:rPr>
        <w:t>We have not made any material changes in the accountng methodology we use to assess income tax during the year ended December 31, 2023.</w:t>
      </w:r>
    </w:p>
    <w:p>
      <w:pPr>
        <w:spacing w:after="0" w:line="20" w:lineRule="exact"/>
        <w:rPr>
          <w:sz w:val="20"/>
          <w:szCs w:val="20"/>
          <w:color w:val="auto"/>
        </w:rPr>
      </w:pPr>
      <w:r>
        <w:rPr>
          <w:sz w:val="20"/>
          <w:szCs w:val="20"/>
          <w:color w:val="auto"/>
        </w:rPr>
        <w:br w:type="column"/>
      </w:r>
    </w:p>
    <w:p>
      <w:pPr>
        <w:ind w:right="20"/>
        <w:spacing w:after="0" w:line="242" w:lineRule="auto"/>
        <w:rPr>
          <w:sz w:val="20"/>
          <w:szCs w:val="20"/>
          <w:color w:val="auto"/>
        </w:rPr>
      </w:pPr>
      <w:r>
        <w:rPr>
          <w:rFonts w:ascii="Calibri" w:cs="Calibri" w:eastAsia="Calibri" w:hAnsi="Calibri"/>
          <w:sz w:val="14"/>
          <w:szCs w:val="14"/>
          <w:color w:val="51555C"/>
        </w:rPr>
        <w:t>The calculaton of our income tax provision requires estmates due to transactons, credits and calculatons where the ultmate tax determinaton is uncertain. Uncertaintes arise as a consequence of the actual source of taxable income between domestc and foreign locatons, the outcome of tax audits and the ultmate utlizaton of tax credits.</w:t>
      </w:r>
    </w:p>
    <w:p>
      <w:pPr>
        <w:spacing w:after="0" w:line="167" w:lineRule="exact"/>
        <w:rPr>
          <w:sz w:val="20"/>
          <w:szCs w:val="20"/>
          <w:color w:val="auto"/>
        </w:rPr>
      </w:pPr>
    </w:p>
    <w:p>
      <w:pPr>
        <w:spacing w:after="0" w:line="237" w:lineRule="auto"/>
        <w:rPr>
          <w:sz w:val="20"/>
          <w:szCs w:val="20"/>
          <w:color w:val="auto"/>
        </w:rPr>
      </w:pPr>
      <w:r>
        <w:rPr>
          <w:rFonts w:ascii="Calibri" w:cs="Calibri" w:eastAsia="Calibri" w:hAnsi="Calibri"/>
          <w:sz w:val="14"/>
          <w:szCs w:val="14"/>
          <w:color w:val="51555C"/>
        </w:rPr>
        <w:t>Our efectve income tax rate is also afected by changes in the geographic distributon of our earnings or losses, changes in tax law in jurisdictons where we conduct business.</w:t>
      </w:r>
    </w:p>
    <w:p>
      <w:pPr>
        <w:spacing w:after="0" w:line="169" w:lineRule="exact"/>
        <w:rPr>
          <w:sz w:val="20"/>
          <w:szCs w:val="20"/>
          <w:color w:val="auto"/>
        </w:rPr>
      </w:pPr>
    </w:p>
    <w:p>
      <w:pPr>
        <w:ind w:right="40"/>
        <w:spacing w:after="0" w:line="241" w:lineRule="auto"/>
        <w:rPr>
          <w:sz w:val="20"/>
          <w:szCs w:val="20"/>
          <w:color w:val="auto"/>
        </w:rPr>
      </w:pPr>
      <w:r>
        <w:rPr>
          <w:rFonts w:ascii="Calibri" w:cs="Calibri" w:eastAsia="Calibri" w:hAnsi="Calibri"/>
          <w:sz w:val="14"/>
          <w:szCs w:val="14"/>
          <w:color w:val="51555C"/>
        </w:rPr>
        <w:t>Signifcant judgment is required in the identfcaton and measurement of uncertain tax positons. Our liability for unrecognized tax benefts contains uncertaintes because management is required to make assumptons and to apply judgment to estmate the exposures associated with our various fling positons.</w:t>
      </w:r>
    </w:p>
    <w:p>
      <w:pPr>
        <w:spacing w:after="0" w:line="168" w:lineRule="exact"/>
        <w:rPr>
          <w:sz w:val="20"/>
          <w:szCs w:val="20"/>
          <w:color w:val="auto"/>
        </w:rPr>
      </w:pPr>
    </w:p>
    <w:p>
      <w:pPr>
        <w:ind w:right="20"/>
        <w:spacing w:after="0" w:line="241" w:lineRule="auto"/>
        <w:rPr>
          <w:sz w:val="20"/>
          <w:szCs w:val="20"/>
          <w:color w:val="auto"/>
        </w:rPr>
      </w:pPr>
      <w:r>
        <w:rPr>
          <w:rFonts w:ascii="Calibri" w:cs="Calibri" w:eastAsia="Calibri" w:hAnsi="Calibri"/>
          <w:sz w:val="14"/>
          <w:szCs w:val="14"/>
          <w:color w:val="51555C"/>
        </w:rPr>
        <w:t>In assessing the adequacy of a recorded valuaton allowance signifcant judgment is required. We consider all positve and negatve evidence and a variety of factors including the scheduled reversal of deferred tax liabilites, historical and projected future taxable income, and prudent and feasible tax planning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38735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39" w:lineRule="auto"/>
        <w:rPr>
          <w:sz w:val="20"/>
          <w:szCs w:val="20"/>
          <w:color w:val="auto"/>
        </w:rPr>
      </w:pPr>
      <w:r>
        <w:rPr>
          <w:rFonts w:ascii="Calibri" w:cs="Calibri" w:eastAsia="Calibri" w:hAnsi="Calibri"/>
          <w:sz w:val="14"/>
          <w:szCs w:val="14"/>
          <w:color w:val="51555C"/>
        </w:rPr>
        <w:t>Although we believe that the judgments and estmates discussed herein are reasonable, actual results could difer, and we may be exposed to losses or gains that could be material.</w:t>
      </w:r>
    </w:p>
    <w:p>
      <w:pPr>
        <w:spacing w:after="0" w:line="169" w:lineRule="exact"/>
        <w:rPr>
          <w:sz w:val="20"/>
          <w:szCs w:val="20"/>
          <w:color w:val="auto"/>
        </w:rPr>
      </w:pPr>
    </w:p>
    <w:p>
      <w:pPr>
        <w:ind w:right="140"/>
        <w:spacing w:after="0" w:line="245" w:lineRule="auto"/>
        <w:rPr>
          <w:sz w:val="20"/>
          <w:szCs w:val="20"/>
          <w:color w:val="auto"/>
        </w:rPr>
      </w:pPr>
      <w:r>
        <w:rPr>
          <w:rFonts w:ascii="Calibri" w:cs="Calibri" w:eastAsia="Calibri" w:hAnsi="Calibri"/>
          <w:sz w:val="14"/>
          <w:szCs w:val="14"/>
          <w:color w:val="51555C"/>
        </w:rPr>
        <w:t>To the extent actual results difer from estmated amounts recorded, such diferences will impact the income tax provision in the period in which the determinaton is made.</w:t>
      </w:r>
    </w:p>
    <w:p>
      <w:pPr>
        <w:spacing w:after="0" w:line="165" w:lineRule="exact"/>
        <w:rPr>
          <w:sz w:val="20"/>
          <w:szCs w:val="20"/>
          <w:color w:val="auto"/>
        </w:rPr>
      </w:pPr>
    </w:p>
    <w:p>
      <w:pPr>
        <w:ind w:right="40"/>
        <w:spacing w:after="0" w:line="242" w:lineRule="auto"/>
        <w:rPr>
          <w:sz w:val="20"/>
          <w:szCs w:val="20"/>
          <w:color w:val="auto"/>
        </w:rPr>
      </w:pPr>
      <w:r>
        <w:rPr>
          <w:rFonts w:ascii="Calibri" w:cs="Calibri" w:eastAsia="Calibri" w:hAnsi="Calibri"/>
          <w:sz w:val="14"/>
          <w:szCs w:val="14"/>
          <w:color w:val="51555C"/>
        </w:rPr>
        <w:t>If we determine there is less than a 50% likelihood that we will be able to use a deferred tax asset in the future in excess of its net carrying value, then an adjustment to the deferred tax asset valuaton allowance is made to increase income tax expense, thereby reducing net income in the period such determinaton was made.</w:t>
      </w:r>
    </w:p>
    <w:p>
      <w:pPr>
        <w:spacing w:after="0" w:line="1390" w:lineRule="exact"/>
        <w:rPr>
          <w:sz w:val="20"/>
          <w:szCs w:val="20"/>
          <w:color w:val="auto"/>
        </w:rPr>
      </w:pPr>
    </w:p>
    <w:p>
      <w:pPr>
        <w:sectPr>
          <w:pgSz w:w="11900" w:h="16838" w:orient="portrait"/>
          <w:cols w:equalWidth="0" w:num="3">
            <w:col w:w="3480" w:space="60"/>
            <w:col w:w="4100" w:space="20"/>
            <w:col w:w="3600"/>
          </w:cols>
          <w:pgMar w:left="320" w:top="111" w:right="319" w:bottom="1440" w:gutter="0" w:footer="0" w:header="0"/>
          <w:type w:val="continuous"/>
        </w:sectPr>
      </w:pPr>
    </w:p>
    <w:p>
      <w:pPr>
        <w:spacing w:after="0" w:line="1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Long-lived Assets and Intangible Assets Other Than Goodwill</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shd w:val="clear" w:color="auto" w:fill="004054"/>
          </w:tcPr>
          <w:p>
            <w:pPr>
              <w:spacing w:after="0"/>
              <w:rPr>
                <w:sz w:val="15"/>
                <w:szCs w:val="15"/>
                <w:color w:val="auto"/>
              </w:rPr>
            </w:pPr>
          </w:p>
        </w:tc>
        <w:tc>
          <w:tcPr>
            <w:tcW w:w="4110" w:type="dxa"/>
            <w:vAlign w:val="bottom"/>
            <w:shd w:val="clear" w:color="auto" w:fill="004054"/>
          </w:tcPr>
          <w:p>
            <w:pPr>
              <w:spacing w:after="0"/>
              <w:rPr>
                <w:sz w:val="15"/>
                <w:szCs w:val="15"/>
                <w:color w:val="auto"/>
              </w:rPr>
            </w:pP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Efect if Actual Results Difer</w:t>
            </w:r>
          </w:p>
        </w:tc>
      </w:tr>
      <w:tr>
        <w:trPr>
          <w:trHeight w:val="183"/>
        </w:trPr>
        <w:tc>
          <w:tcPr>
            <w:tcW w:w="3540" w:type="dxa"/>
            <w:vAlign w:val="bottom"/>
            <w:shd w:val="clear" w:color="auto" w:fill="004054"/>
          </w:tcPr>
          <w:p>
            <w:pPr>
              <w:ind w:left="1440"/>
              <w:spacing w:after="0"/>
              <w:rPr>
                <w:sz w:val="20"/>
                <w:szCs w:val="20"/>
                <w:color w:val="auto"/>
              </w:rPr>
            </w:pPr>
            <w:r>
              <w:rPr>
                <w:rFonts w:ascii="Calibri" w:cs="Calibri" w:eastAsia="Calibri" w:hAnsi="Calibri"/>
                <w:sz w:val="14"/>
                <w:szCs w:val="14"/>
                <w:b w:val="1"/>
                <w:bCs w:val="1"/>
                <w:color w:val="FFFFFF"/>
              </w:rPr>
              <w:t>Descripton</w:t>
            </w:r>
          </w:p>
        </w:tc>
        <w:tc>
          <w:tcPr>
            <w:tcW w:w="4110" w:type="dxa"/>
            <w:vAlign w:val="bottom"/>
            <w:shd w:val="clear" w:color="auto" w:fill="004054"/>
          </w:tcPr>
          <w:p>
            <w:pPr>
              <w:ind w:left="1200"/>
              <w:spacing w:after="0"/>
              <w:rPr>
                <w:sz w:val="20"/>
                <w:szCs w:val="20"/>
                <w:color w:val="auto"/>
              </w:rPr>
            </w:pPr>
            <w:r>
              <w:rPr>
                <w:rFonts w:ascii="Calibri" w:cs="Calibri" w:eastAsia="Calibri" w:hAnsi="Calibri"/>
                <w:sz w:val="14"/>
                <w:szCs w:val="14"/>
                <w:b w:val="1"/>
                <w:bCs w:val="1"/>
                <w:color w:val="FFFFFF"/>
              </w:rPr>
              <w:t>Judgments and Uncertaintes</w:t>
            </w: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From Assumptons</w:t>
            </w:r>
          </w:p>
        </w:tc>
      </w:tr>
      <w:tr>
        <w:trPr>
          <w:trHeight w:val="74"/>
        </w:trPr>
        <w:tc>
          <w:tcPr>
            <w:tcW w:w="3540" w:type="dxa"/>
            <w:vAlign w:val="bottom"/>
            <w:shd w:val="clear" w:color="auto" w:fill="004054"/>
          </w:tcPr>
          <w:p>
            <w:pPr>
              <w:spacing w:after="0"/>
              <w:rPr>
                <w:sz w:val="6"/>
                <w:szCs w:val="6"/>
                <w:color w:val="auto"/>
              </w:rPr>
            </w:pPr>
          </w:p>
        </w:tc>
        <w:tc>
          <w:tcPr>
            <w:tcW w:w="4110" w:type="dxa"/>
            <w:vAlign w:val="bottom"/>
            <w:shd w:val="clear" w:color="auto" w:fill="004054"/>
          </w:tcPr>
          <w:p>
            <w:pPr>
              <w:spacing w:after="0"/>
              <w:rPr>
                <w:sz w:val="6"/>
                <w:szCs w:val="6"/>
                <w:color w:val="auto"/>
              </w:rPr>
            </w:pPr>
          </w:p>
        </w:tc>
        <w:tc>
          <w:tcPr>
            <w:tcW w:w="3610" w:type="dxa"/>
            <w:vAlign w:val="bottom"/>
            <w:shd w:val="clear" w:color="auto" w:fill="004054"/>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1">
            <w:col w:w="11260"/>
          </w:cols>
          <w:pgMar w:left="320" w:top="111" w:right="319" w:bottom="1440" w:gutter="0" w:footer="0" w:header="0"/>
          <w:type w:val="continuous"/>
        </w:sectPr>
      </w:pPr>
    </w:p>
    <w:p>
      <w:pPr>
        <w:ind w:left="20"/>
        <w:spacing w:after="0" w:line="242" w:lineRule="auto"/>
        <w:rPr>
          <w:sz w:val="20"/>
          <w:szCs w:val="20"/>
          <w:color w:val="auto"/>
        </w:rPr>
      </w:pPr>
      <w:r>
        <w:rPr>
          <w:rFonts w:ascii="Calibri" w:cs="Calibri" w:eastAsia="Calibri" w:hAnsi="Calibri"/>
          <w:sz w:val="14"/>
          <w:szCs w:val="14"/>
          <w:color w:val="51555C"/>
        </w:rPr>
        <w:t>We review our long-lived assets and intangible assets other than goodwill for impairment when events or changes in circumstances indicate the carrying amount may not be recoverable. If such events or changes in circumstances occur, we use the undiscounted cash fow method to determine whether our long-lived and intangible assets other than goodwill are impaired. To the extent that the carrying value of the asset or asset group exceeds the undiscounted cash fows over the estmated remaining life of the asset, we measure the impairment using discounted cash fows.</w:t>
      </w:r>
    </w:p>
    <w:p>
      <w:pPr>
        <w:spacing w:after="0" w:line="156" w:lineRule="exact"/>
        <w:rPr>
          <w:sz w:val="20"/>
          <w:szCs w:val="20"/>
          <w:color w:val="auto"/>
        </w:rPr>
      </w:pPr>
    </w:p>
    <w:p>
      <w:pPr>
        <w:jc w:val="both"/>
        <w:ind w:left="20" w:right="40"/>
        <w:spacing w:after="0" w:line="245" w:lineRule="auto"/>
        <w:rPr>
          <w:sz w:val="20"/>
          <w:szCs w:val="20"/>
          <w:color w:val="auto"/>
        </w:rPr>
      </w:pPr>
      <w:r>
        <w:rPr>
          <w:rFonts w:ascii="Calibri" w:cs="Calibri" w:eastAsia="Calibri" w:hAnsi="Calibri"/>
          <w:sz w:val="14"/>
          <w:szCs w:val="14"/>
          <w:color w:val="51555C"/>
        </w:rPr>
        <w:t>We have not made any material changes in the accountng methodology we use to assess impairment loss during the year ended December 31, 2023.</w:t>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Calibri" w:cs="Calibri" w:eastAsia="Calibri" w:hAnsi="Calibri"/>
          <w:sz w:val="14"/>
          <w:szCs w:val="14"/>
          <w:color w:val="51555C"/>
        </w:rPr>
        <w:t>In estmatng future cash fows, assets are grouped at the lowest level for which there is identfable cash fows that are largely independent of cash fows from other asset groups.</w:t>
      </w:r>
    </w:p>
    <w:p>
      <w:pPr>
        <w:spacing w:after="0" w:line="168" w:lineRule="exact"/>
        <w:rPr>
          <w:sz w:val="20"/>
          <w:szCs w:val="20"/>
          <w:color w:val="auto"/>
        </w:rPr>
      </w:pPr>
    </w:p>
    <w:p>
      <w:pPr>
        <w:ind w:right="80"/>
        <w:spacing w:after="0" w:line="242" w:lineRule="auto"/>
        <w:rPr>
          <w:sz w:val="20"/>
          <w:szCs w:val="20"/>
          <w:color w:val="auto"/>
        </w:rPr>
      </w:pPr>
      <w:r>
        <w:rPr>
          <w:rFonts w:ascii="Calibri" w:cs="Calibri" w:eastAsia="Calibri" w:hAnsi="Calibri"/>
          <w:sz w:val="14"/>
          <w:szCs w:val="14"/>
          <w:color w:val="51555C"/>
        </w:rPr>
        <w:t>When measuring impairment of an asset or asset group using discounted cash fows, we make assumptons and apply judgment in estmatng future cash fows and asset or asset group fair values, including annual revenue growth rates, a terminal year growth rate and selectng a discount rate that refects the risk inherent in future cash fows.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587375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180"/>
        <w:spacing w:after="0" w:line="241" w:lineRule="auto"/>
        <w:rPr>
          <w:sz w:val="20"/>
          <w:szCs w:val="20"/>
          <w:color w:val="auto"/>
        </w:rPr>
      </w:pPr>
      <w:r>
        <w:rPr>
          <w:rFonts w:ascii="Calibri" w:cs="Calibri" w:eastAsia="Calibri" w:hAnsi="Calibri"/>
          <w:sz w:val="14"/>
          <w:szCs w:val="14"/>
          <w:color w:val="51555C"/>
        </w:rPr>
        <w:t>During 2023, we recorded immaterial noncash impairment charges against certain operatng lease ROU assets and certain property and equipment assets. For additonal informaton, see Notes 7 and 11 to our consolidated fnancial statements in this report.</w:t>
      </w:r>
    </w:p>
    <w:p>
      <w:pPr>
        <w:spacing w:after="0" w:line="168" w:lineRule="exact"/>
        <w:rPr>
          <w:sz w:val="20"/>
          <w:szCs w:val="20"/>
          <w:color w:val="auto"/>
        </w:rPr>
      </w:pPr>
    </w:p>
    <w:p>
      <w:pPr>
        <w:ind w:right="40"/>
        <w:spacing w:after="0" w:line="239" w:lineRule="auto"/>
        <w:rPr>
          <w:sz w:val="20"/>
          <w:szCs w:val="20"/>
          <w:color w:val="auto"/>
        </w:rPr>
      </w:pPr>
      <w:r>
        <w:rPr>
          <w:rFonts w:ascii="Calibri" w:cs="Calibri" w:eastAsia="Calibri" w:hAnsi="Calibri"/>
          <w:sz w:val="14"/>
          <w:szCs w:val="14"/>
          <w:color w:val="51555C"/>
        </w:rPr>
        <w:t>We do not believe there is a reasonable likelihood that there will be a material change in the future estmates or assumptons we use to assess impairment losses. However, if actual results are not consistent with our estmates or assumptons, we may be exposed to an impairment charge that could materially adversely impact our consolidated fnancial positon and results of operatons.</w:t>
      </w:r>
    </w:p>
    <w:p>
      <w:pPr>
        <w:spacing w:after="0" w:line="396" w:lineRule="exact"/>
        <w:rPr>
          <w:sz w:val="20"/>
          <w:szCs w:val="20"/>
          <w:color w:val="auto"/>
        </w:rPr>
      </w:pPr>
    </w:p>
    <w:p>
      <w:pPr>
        <w:sectPr>
          <w:pgSz w:w="11900" w:h="16838" w:orient="portrait"/>
          <w:cols w:equalWidth="0" w:num="3">
            <w:col w:w="3480" w:space="60"/>
            <w:col w:w="4060" w:space="60"/>
            <w:col w:w="3600"/>
          </w:cols>
          <w:pgMar w:left="320" w:top="111" w:right="319" w:bottom="1440" w:gutter="0" w:footer="0" w:header="0"/>
          <w:type w:val="continuous"/>
        </w:sectPr>
      </w:pPr>
    </w:p>
    <w:p>
      <w:pPr>
        <w:spacing w:after="0" w:line="25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62</w:t>
      </w:r>
      <w:r>
        <w:rPr>
          <w:sz w:val="20"/>
          <w:szCs w:val="20"/>
          <w:color w:val="auto"/>
        </w:rPr>
        <w:tab/>
      </w:r>
      <w:r>
        <w:rPr>
          <w:sz w:val="1"/>
          <w:szCs w:val="1"/>
          <w:color w:val="auto"/>
        </w:rPr>
        <w:drawing>
          <wp:inline distT="0" distB="0" distL="0" distR="0">
            <wp:extent cx="728345" cy="18859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51555C"/>
        </w:rPr>
        <w:t>Loss Contngencies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Efect if Actual Results Difer</w:t>
            </w:r>
          </w:p>
        </w:tc>
      </w:tr>
      <w:tr>
        <w:trPr>
          <w:trHeight w:val="170"/>
        </w:trPr>
        <w:tc>
          <w:tcPr>
            <w:tcW w:w="3540" w:type="dxa"/>
            <w:vAlign w:val="bottom"/>
            <w:shd w:val="clear" w:color="auto" w:fill="004054"/>
          </w:tcPr>
          <w:p>
            <w:pPr>
              <w:ind w:left="1440"/>
              <w:spacing w:after="0"/>
              <w:rPr>
                <w:sz w:val="20"/>
                <w:szCs w:val="20"/>
                <w:color w:val="auto"/>
              </w:rPr>
            </w:pPr>
            <w:r>
              <w:rPr>
                <w:rFonts w:ascii="Calibri" w:cs="Calibri" w:eastAsia="Calibri" w:hAnsi="Calibri"/>
                <w:sz w:val="14"/>
                <w:szCs w:val="14"/>
                <w:b w:val="1"/>
                <w:bCs w:val="1"/>
                <w:color w:val="FFFFFF"/>
              </w:rPr>
              <w:t>Descripton</w:t>
            </w:r>
          </w:p>
        </w:tc>
        <w:tc>
          <w:tcPr>
            <w:tcW w:w="4110" w:type="dxa"/>
            <w:vAlign w:val="bottom"/>
            <w:shd w:val="clear" w:color="auto" w:fill="004054"/>
          </w:tcPr>
          <w:p>
            <w:pPr>
              <w:ind w:left="1200"/>
              <w:spacing w:after="0"/>
              <w:rPr>
                <w:sz w:val="20"/>
                <w:szCs w:val="20"/>
                <w:color w:val="auto"/>
              </w:rPr>
            </w:pPr>
            <w:r>
              <w:rPr>
                <w:rFonts w:ascii="Calibri" w:cs="Calibri" w:eastAsia="Calibri" w:hAnsi="Calibri"/>
                <w:sz w:val="14"/>
                <w:szCs w:val="14"/>
                <w:b w:val="1"/>
                <w:bCs w:val="1"/>
                <w:color w:val="FFFFFF"/>
              </w:rPr>
              <w:t>Judgments and Uncertaintes</w:t>
            </w:r>
          </w:p>
        </w:tc>
        <w:tc>
          <w:tcPr>
            <w:tcW w:w="361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From Assumptons</w:t>
            </w:r>
          </w:p>
        </w:tc>
      </w:tr>
      <w:tr>
        <w:trPr>
          <w:trHeight w:val="74"/>
        </w:trPr>
        <w:tc>
          <w:tcPr>
            <w:tcW w:w="3540" w:type="dxa"/>
            <w:vAlign w:val="bottom"/>
            <w:shd w:val="clear" w:color="auto" w:fill="004054"/>
          </w:tcPr>
          <w:p>
            <w:pPr>
              <w:spacing w:after="0"/>
              <w:rPr>
                <w:sz w:val="6"/>
                <w:szCs w:val="6"/>
                <w:color w:val="auto"/>
              </w:rPr>
            </w:pPr>
          </w:p>
        </w:tc>
        <w:tc>
          <w:tcPr>
            <w:tcW w:w="4110" w:type="dxa"/>
            <w:vAlign w:val="bottom"/>
            <w:shd w:val="clear" w:color="auto" w:fill="004054"/>
          </w:tcPr>
          <w:p>
            <w:pPr>
              <w:spacing w:after="0"/>
              <w:rPr>
                <w:sz w:val="6"/>
                <w:szCs w:val="6"/>
                <w:color w:val="auto"/>
              </w:rPr>
            </w:pPr>
          </w:p>
        </w:tc>
        <w:tc>
          <w:tcPr>
            <w:tcW w:w="3610" w:type="dxa"/>
            <w:vAlign w:val="bottom"/>
            <w:shd w:val="clear" w:color="auto" w:fill="004054"/>
          </w:tcPr>
          <w:p>
            <w:pPr>
              <w:spacing w:after="0"/>
              <w:rPr>
                <w:sz w:val="6"/>
                <w:szCs w:val="6"/>
                <w:color w:val="auto"/>
              </w:rPr>
            </w:pPr>
          </w:p>
        </w:tc>
      </w:tr>
    </w:tbl>
    <w:p>
      <w:pPr>
        <w:spacing w:after="0" w:line="1" w:lineRule="exact"/>
        <w:rPr>
          <w:sz w:val="20"/>
          <w:szCs w:val="20"/>
          <w:color w:val="auto"/>
        </w:rPr>
      </w:pPr>
    </w:p>
    <w:p>
      <w:pPr>
        <w:sectPr>
          <w:pgSz w:w="11900" w:h="16838" w:orient="portrait"/>
          <w:cols w:equalWidth="0" w:num="1">
            <w:col w:w="11260"/>
          </w:cols>
          <w:pgMar w:left="320" w:top="111" w:right="319" w:bottom="1440" w:gutter="0" w:footer="0" w:header="0"/>
        </w:sectPr>
      </w:pPr>
    </w:p>
    <w:p>
      <w:pPr>
        <w:ind w:left="20"/>
        <w:spacing w:after="0" w:line="242" w:lineRule="auto"/>
        <w:rPr>
          <w:sz w:val="20"/>
          <w:szCs w:val="20"/>
          <w:color w:val="auto"/>
        </w:rPr>
      </w:pPr>
      <w:r>
        <w:rPr>
          <w:rFonts w:ascii="Calibri" w:cs="Calibri" w:eastAsia="Calibri" w:hAnsi="Calibri"/>
          <w:sz w:val="14"/>
          <w:szCs w:val="14"/>
          <w:color w:val="51555C"/>
        </w:rPr>
        <w:t>We are subject to the possibility of various loss contngencies, including legal proceedings and claims, that arise in the normal course of business, as well as certain other non-ordinary course proceedings, claims and investgatons, as described in Note 11 to the consolidated fnancial statements in this report. We record an accrual for a loss contngency when it is both probable that a material liability has been incurred and the amount of the loss can be reasonably estmated. If only a range of estmated losses can be determined, we accrue an amount within the range that, in our judgment, refects the most likely outcome; if none of the estmates within that range is a beter estmate than any other amount, we accrue the low end of the range. For proceedings in which an unfavorable outcome is reasonably possible but not probable and an estmate of the loss or range of losses arising from the proceeding can be made, we disclose such an estmate, if material. If such a loss or range of losses is not reasonably estmable, we disclose that fact.</w:t>
      </w:r>
    </w:p>
    <w:p>
      <w:pPr>
        <w:spacing w:after="0" w:line="340" w:lineRule="exact"/>
        <w:rPr>
          <w:sz w:val="20"/>
          <w:szCs w:val="20"/>
          <w:color w:val="auto"/>
        </w:rPr>
      </w:pPr>
    </w:p>
    <w:p>
      <w:pPr>
        <w:ind w:left="20" w:right="60"/>
        <w:spacing w:after="0" w:line="245" w:lineRule="auto"/>
        <w:rPr>
          <w:sz w:val="20"/>
          <w:szCs w:val="20"/>
          <w:color w:val="auto"/>
        </w:rPr>
      </w:pPr>
      <w:r>
        <w:rPr>
          <w:rFonts w:ascii="Calibri" w:cs="Calibri" w:eastAsia="Calibri" w:hAnsi="Calibri"/>
          <w:sz w:val="14"/>
          <w:szCs w:val="14"/>
          <w:color w:val="51555C"/>
        </w:rPr>
        <w:t>We have not made any material changes in the accountng methodology we use to assess loss contngencies during the year ended December 31, 2023.</w:t>
      </w:r>
    </w:p>
    <w:p>
      <w:pPr>
        <w:spacing w:after="0" w:line="20" w:lineRule="exact"/>
        <w:rPr>
          <w:sz w:val="20"/>
          <w:szCs w:val="20"/>
          <w:color w:val="auto"/>
        </w:rPr>
      </w:pPr>
      <w:r>
        <w:rPr>
          <w:sz w:val="20"/>
          <w:szCs w:val="20"/>
          <w:color w:val="auto"/>
        </w:rPr>
        <w:br w:type="column"/>
      </w:r>
    </w:p>
    <w:p>
      <w:pPr>
        <w:ind w:right="120"/>
        <w:spacing w:after="0" w:line="239" w:lineRule="auto"/>
        <w:rPr>
          <w:sz w:val="20"/>
          <w:szCs w:val="20"/>
          <w:color w:val="auto"/>
        </w:rPr>
      </w:pPr>
      <w:r>
        <w:rPr>
          <w:rFonts w:ascii="Calibri" w:cs="Calibri" w:eastAsia="Calibri" w:hAnsi="Calibri"/>
          <w:sz w:val="14"/>
          <w:szCs w:val="14"/>
          <w:color w:val="51555C"/>
        </w:rPr>
        <w:t>We review any such loss contngency accruals at least quarterly and adjust them to refect the impacts of negotatons, setlements, rulings, advice of legal counsel and other informaton and events pertaining to a partcular case.</w:t>
      </w:r>
    </w:p>
    <w:p>
      <w:pPr>
        <w:spacing w:after="0" w:line="250" w:lineRule="exact"/>
        <w:rPr>
          <w:sz w:val="20"/>
          <w:szCs w:val="20"/>
          <w:color w:val="auto"/>
        </w:rPr>
      </w:pPr>
    </w:p>
    <w:p>
      <w:pPr>
        <w:spacing w:after="0" w:line="241" w:lineRule="auto"/>
        <w:rPr>
          <w:sz w:val="20"/>
          <w:szCs w:val="20"/>
          <w:color w:val="auto"/>
        </w:rPr>
      </w:pPr>
      <w:r>
        <w:rPr>
          <w:rFonts w:ascii="Calibri" w:cs="Calibri" w:eastAsia="Calibri" w:hAnsi="Calibri"/>
          <w:sz w:val="14"/>
          <w:szCs w:val="14"/>
          <w:color w:val="51555C"/>
        </w:rPr>
        <w:t>Ofen these issues are subject to substantal uncertaintes and, therefore, the probability of loss and the estmaton of damages are difcult to ascertain. These assessments can involve a series of complex judgments about future events and can rely heavily on estmates and assumptons that have been deemed reasonable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1418590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100"/>
        <w:spacing w:after="0" w:line="243" w:lineRule="auto"/>
        <w:rPr>
          <w:sz w:val="20"/>
          <w:szCs w:val="20"/>
          <w:color w:val="auto"/>
        </w:rPr>
      </w:pPr>
      <w:r>
        <w:rPr>
          <w:rFonts w:ascii="Calibri" w:cs="Calibri" w:eastAsia="Calibri" w:hAnsi="Calibri"/>
          <w:sz w:val="14"/>
          <w:szCs w:val="14"/>
          <w:color w:val="51555C"/>
        </w:rPr>
        <w:t>With the excepton of the 2020 Security Incident, we do not believe there is a reasonable likelihood that there will be a material change in the future estmates or assumptons we use to determine loss contngencies. However, if facts and circumstances change in the future that change our belief regarding assumptons used to determine our estmates, we may be exposed to losses that could be material.</w:t>
      </w:r>
    </w:p>
    <w:p>
      <w:pPr>
        <w:spacing w:after="0" w:line="166" w:lineRule="exact"/>
        <w:rPr>
          <w:sz w:val="20"/>
          <w:szCs w:val="20"/>
          <w:color w:val="auto"/>
        </w:rPr>
      </w:pPr>
    </w:p>
    <w:p>
      <w:pPr>
        <w:ind w:right="80"/>
        <w:spacing w:after="0" w:line="239" w:lineRule="auto"/>
        <w:rPr>
          <w:sz w:val="20"/>
          <w:szCs w:val="20"/>
          <w:color w:val="auto"/>
        </w:rPr>
      </w:pPr>
      <w:r>
        <w:rPr>
          <w:rFonts w:ascii="Calibri" w:cs="Calibri" w:eastAsia="Calibri" w:hAnsi="Calibri"/>
          <w:sz w:val="14"/>
          <w:szCs w:val="14"/>
          <w:color w:val="51555C"/>
        </w:rPr>
        <w:t>Although we believe we have substantal defenses in these maters, we could incur judgments or enter into setlements of claims that could have a material adverse efect on our consolidated fnancial positon, results of operatons or cash fows in any partcular period. For additonal informaton, see Note 11 to our consolidated fnancial statements in this report.</w:t>
      </w:r>
    </w:p>
    <w:p>
      <w:pPr>
        <w:spacing w:after="0" w:line="1435" w:lineRule="exact"/>
        <w:rPr>
          <w:sz w:val="20"/>
          <w:szCs w:val="20"/>
          <w:color w:val="auto"/>
        </w:rPr>
      </w:pPr>
    </w:p>
    <w:p>
      <w:pPr>
        <w:sectPr>
          <w:pgSz w:w="11900" w:h="16838" w:orient="portrait"/>
          <w:cols w:equalWidth="0" w:num="3">
            <w:col w:w="3500" w:space="40"/>
            <w:col w:w="4060" w:space="60"/>
            <w:col w:w="3600"/>
          </w:cols>
          <w:pgMar w:left="320" w:top="111" w:right="319" w:bottom="1440" w:gutter="0" w:footer="0" w:header="0"/>
          <w:type w:val="continuous"/>
        </w:sectPr>
      </w:pPr>
    </w:p>
    <w:p>
      <w:pPr>
        <w:spacing w:after="0" w:line="14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Recently Issued Accountng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For a discussion of the impact that recently issued accountng pronouncements are expected to have on our fnancial positon and results of operatons when adopted in the future, see Note 2 to our consolidated fnancial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229870</wp:posOffset>
            </wp:positionV>
            <wp:extent cx="72898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63</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7A. QUANTITATIVE AND QUALITATIVE DISCLOSURES ABOUT MARKET RISK</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We have market rate sensitvity for interest rates and foreign currency exchange rates.</w:t>
      </w:r>
    </w:p>
    <w:p>
      <w:pPr>
        <w:spacing w:after="0" w:line="19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variable rate debt is our primary fnancial instrument with market risk exposure for changing interest rates. We manage our variable rate interest rate risk through a combinaton of short-term and long-term borrowings and the use of derivatve instruments entered into for hedging purposes. Additonally, our interest income that we primarily earn on restricted cash held and payable by us to customers for our payment processing solutons acts as a partal natural hedge against our interest rate risk. Our interest rate exposure includes SOFR rates. Because the Financial Conduct Authority in the U.K. previously stated that it would phase out all tenors of LIBOR by June 2023, we modifed our fnancial contracts that were indexed to LIBOR to reference SOFR during 2022. These modifcatons did not have a signifcant fnancial impact. Due to the nature of our debt, the materiality of the fair values of the derivatve instruments and the highly liquid, short-term nature and level of our cash and cash equivalents as of December 31, 2023, we believe that the risk of exposure to changing interest rates for those positons is immaterial. There were no signifcant changes in how we manage interest rate risk between December 31, 2022 and December 31, 2023.</w:t>
      </w:r>
    </w:p>
    <w:p>
      <w:pPr>
        <w:spacing w:after="0" w:line="20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a discussion of our exposure to foreign currency exchange rate fuctuatons, see “Management’s Discussion and Analysis of Financial Conditon and Results of Operatons — Foreign Currency Exchange Rates” in Item 7 of this report.</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64</w:t>
      </w:r>
      <w:r>
        <w:rPr>
          <w:sz w:val="20"/>
          <w:szCs w:val="20"/>
          <w:color w:val="auto"/>
        </w:rPr>
        <w:tab/>
      </w:r>
      <w:r>
        <w:rPr>
          <w:sz w:val="1"/>
          <w:szCs w:val="1"/>
          <w:color w:val="auto"/>
        </w:rPr>
        <w:drawing>
          <wp:inline distT="0" distB="0" distL="0" distR="0">
            <wp:extent cx="728345" cy="18859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8. FINANCIAL STATEMENTS AND SUPPLEMENTARY DATA</w:t>
      </w:r>
    </w:p>
    <w:p>
      <w:pPr>
        <w:spacing w:after="0" w:line="173"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15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Index to Consolidated Financial Statements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60" w:type="dxa"/>
            <w:vAlign w:val="bottom"/>
            <w:shd w:val="clear" w:color="auto" w:fill="004054"/>
          </w:tcPr>
          <w:p>
            <w:pPr>
              <w:spacing w:after="0"/>
              <w:rPr>
                <w:sz w:val="16"/>
                <w:szCs w:val="16"/>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Page No.</w:t>
            </w:r>
          </w:p>
        </w:tc>
        <w:tc>
          <w:tcPr>
            <w:tcW w:w="20" w:type="dxa"/>
            <w:vAlign w:val="bottom"/>
            <w:shd w:val="clear" w:color="auto" w:fill="004054"/>
          </w:tcPr>
          <w:p>
            <w:pPr>
              <w:spacing w:after="0"/>
              <w:rPr>
                <w:sz w:val="16"/>
                <w:szCs w:val="16"/>
                <w:color w:val="auto"/>
              </w:rPr>
            </w:pPr>
          </w:p>
        </w:tc>
      </w:tr>
      <w:tr>
        <w:trPr>
          <w:trHeight w:val="67"/>
        </w:trPr>
        <w:tc>
          <w:tcPr>
            <w:tcW w:w="1026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r>
      <w:tr>
        <w:trPr>
          <w:trHeight w:val="250"/>
        </w:trPr>
        <w:tc>
          <w:tcPr>
            <w:tcW w:w="102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Reports of Independent Registered Public Accountng Firms (PCAOB IDs 42 and 238)</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66</w:t>
            </w:r>
          </w:p>
        </w:tc>
        <w:tc>
          <w:tcPr>
            <w:tcW w:w="20" w:type="dxa"/>
            <w:vAlign w:val="bottom"/>
          </w:tcPr>
          <w:p>
            <w:pPr>
              <w:spacing w:after="0"/>
              <w:rPr>
                <w:sz w:val="21"/>
                <w:szCs w:val="21"/>
                <w:color w:val="auto"/>
              </w:rPr>
            </w:pPr>
          </w:p>
        </w:tc>
      </w:tr>
      <w:tr>
        <w:trPr>
          <w:trHeight w:val="220"/>
        </w:trPr>
        <w:tc>
          <w:tcPr>
            <w:tcW w:w="10260" w:type="dxa"/>
            <w:vAlign w:val="bottom"/>
          </w:tcPr>
          <w:p>
            <w:pPr>
              <w:ind w:left="20"/>
              <w:spacing w:after="0"/>
              <w:rPr>
                <w:sz w:val="20"/>
                <w:szCs w:val="20"/>
                <w:color w:val="auto"/>
              </w:rPr>
            </w:pPr>
            <w:r>
              <w:rPr>
                <w:rFonts w:ascii="Calibri" w:cs="Calibri" w:eastAsia="Calibri" w:hAnsi="Calibri"/>
                <w:sz w:val="18"/>
                <w:szCs w:val="18"/>
                <w:color w:val="51555C"/>
              </w:rPr>
              <w:t>Consolidated Balance Sheets</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70</w:t>
            </w:r>
          </w:p>
        </w:tc>
        <w:tc>
          <w:tcPr>
            <w:tcW w:w="20" w:type="dxa"/>
            <w:vAlign w:val="bottom"/>
          </w:tcPr>
          <w:p>
            <w:pPr>
              <w:spacing w:after="0"/>
              <w:rPr>
                <w:sz w:val="19"/>
                <w:szCs w:val="19"/>
                <w:color w:val="auto"/>
              </w:rPr>
            </w:pPr>
          </w:p>
        </w:tc>
      </w:tr>
      <w:tr>
        <w:trPr>
          <w:trHeight w:val="50"/>
        </w:trPr>
        <w:tc>
          <w:tcPr>
            <w:tcW w:w="10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2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Consolidated Statements of Comprehensive (Loss) Income</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71</w:t>
            </w:r>
          </w:p>
        </w:tc>
        <w:tc>
          <w:tcPr>
            <w:tcW w:w="20" w:type="dxa"/>
            <w:vAlign w:val="bottom"/>
          </w:tcPr>
          <w:p>
            <w:pPr>
              <w:spacing w:after="0"/>
              <w:rPr>
                <w:sz w:val="21"/>
                <w:szCs w:val="21"/>
                <w:color w:val="auto"/>
              </w:rPr>
            </w:pPr>
          </w:p>
        </w:tc>
      </w:tr>
      <w:tr>
        <w:trPr>
          <w:trHeight w:val="220"/>
        </w:trPr>
        <w:tc>
          <w:tcPr>
            <w:tcW w:w="10260" w:type="dxa"/>
            <w:vAlign w:val="bottom"/>
          </w:tcPr>
          <w:p>
            <w:pPr>
              <w:ind w:left="20"/>
              <w:spacing w:after="0"/>
              <w:rPr>
                <w:sz w:val="20"/>
                <w:szCs w:val="20"/>
                <w:color w:val="auto"/>
              </w:rPr>
            </w:pPr>
            <w:r>
              <w:rPr>
                <w:rFonts w:ascii="Calibri" w:cs="Calibri" w:eastAsia="Calibri" w:hAnsi="Calibri"/>
                <w:sz w:val="18"/>
                <w:szCs w:val="18"/>
                <w:color w:val="51555C"/>
              </w:rPr>
              <w:t>Consolidated Statements of Cash Flows</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72</w:t>
            </w:r>
          </w:p>
        </w:tc>
        <w:tc>
          <w:tcPr>
            <w:tcW w:w="20" w:type="dxa"/>
            <w:vAlign w:val="bottom"/>
          </w:tcPr>
          <w:p>
            <w:pPr>
              <w:spacing w:after="0"/>
              <w:rPr>
                <w:sz w:val="19"/>
                <w:szCs w:val="19"/>
                <w:color w:val="auto"/>
              </w:rPr>
            </w:pPr>
          </w:p>
        </w:tc>
      </w:tr>
      <w:tr>
        <w:trPr>
          <w:trHeight w:val="50"/>
        </w:trPr>
        <w:tc>
          <w:tcPr>
            <w:tcW w:w="10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2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Consolidated Statements of Stockholders’ Equity</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73</w:t>
            </w:r>
          </w:p>
        </w:tc>
        <w:tc>
          <w:tcPr>
            <w:tcW w:w="20" w:type="dxa"/>
            <w:vAlign w:val="bottom"/>
          </w:tcPr>
          <w:p>
            <w:pPr>
              <w:spacing w:after="0"/>
              <w:rPr>
                <w:sz w:val="21"/>
                <w:szCs w:val="21"/>
                <w:color w:val="auto"/>
              </w:rPr>
            </w:pPr>
          </w:p>
        </w:tc>
      </w:tr>
      <w:tr>
        <w:trPr>
          <w:trHeight w:val="220"/>
        </w:trPr>
        <w:tc>
          <w:tcPr>
            <w:tcW w:w="10260" w:type="dxa"/>
            <w:vAlign w:val="bottom"/>
          </w:tcPr>
          <w:p>
            <w:pPr>
              <w:ind w:left="20"/>
              <w:spacing w:after="0"/>
              <w:rPr>
                <w:sz w:val="20"/>
                <w:szCs w:val="20"/>
                <w:color w:val="auto"/>
              </w:rPr>
            </w:pPr>
            <w:r>
              <w:rPr>
                <w:rFonts w:ascii="Calibri" w:cs="Calibri" w:eastAsia="Calibri" w:hAnsi="Calibri"/>
                <w:sz w:val="18"/>
                <w:szCs w:val="18"/>
                <w:color w:val="51555C"/>
              </w:rPr>
              <w:t>Notes to Consolidated Financial Statements</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74</w:t>
            </w:r>
          </w:p>
        </w:tc>
        <w:tc>
          <w:tcPr>
            <w:tcW w:w="20" w:type="dxa"/>
            <w:vAlign w:val="bottom"/>
          </w:tcPr>
          <w:p>
            <w:pPr>
              <w:spacing w:after="0"/>
              <w:rPr>
                <w:sz w:val="19"/>
                <w:szCs w:val="19"/>
                <w:color w:val="auto"/>
              </w:rPr>
            </w:pPr>
          </w:p>
        </w:tc>
      </w:tr>
      <w:tr>
        <w:trPr>
          <w:trHeight w:val="50"/>
        </w:trPr>
        <w:tc>
          <w:tcPr>
            <w:tcW w:w="10260" w:type="dxa"/>
            <w:vAlign w:val="bottom"/>
            <w:tcBorders>
              <w:bottom w:val="single" w:sz="8" w:color="0CD973"/>
            </w:tcBorders>
          </w:tcPr>
          <w:p>
            <w:pPr>
              <w:spacing w:after="0"/>
              <w:rPr>
                <w:sz w:val="4"/>
                <w:szCs w:val="4"/>
                <w:color w:val="auto"/>
              </w:rPr>
            </w:pPr>
          </w:p>
        </w:tc>
        <w:tc>
          <w:tcPr>
            <w:tcW w:w="9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r>
        <w:trPr>
          <w:trHeight w:val="662"/>
        </w:trPr>
        <w:tc>
          <w:tcPr>
            <w:tcW w:w="1026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80" w:type="dxa"/>
            <w:vAlign w:val="bottom"/>
          </w:tcPr>
          <w:p>
            <w:pPr>
              <w:jc w:val="right"/>
              <w:spacing w:after="0"/>
              <w:rPr>
                <w:sz w:val="20"/>
                <w:szCs w:val="20"/>
                <w:color w:val="auto"/>
              </w:rPr>
            </w:pPr>
            <w:r>
              <w:rPr>
                <w:rFonts w:ascii="Calibri" w:cs="Calibri" w:eastAsia="Calibri" w:hAnsi="Calibri"/>
                <w:sz w:val="14"/>
                <w:szCs w:val="14"/>
                <w:color w:val="51555C"/>
              </w:rPr>
              <w:t>65</w:t>
            </w:r>
          </w:p>
        </w:tc>
        <w:tc>
          <w:tcPr>
            <w:tcW w:w="20" w:type="dxa"/>
            <w:vAlign w:val="bottom"/>
          </w:tcPr>
          <w:p>
            <w:pPr>
              <w:spacing w:after="0"/>
              <w:rPr>
                <w:sz w:val="24"/>
                <w:szCs w:val="24"/>
                <w:color w:val="auto"/>
              </w:rPr>
            </w:pPr>
          </w:p>
        </w:tc>
      </w:tr>
      <w:tr>
        <w:trPr>
          <w:trHeight w:val="338"/>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-385445</wp:posOffset>
            </wp:positionV>
            <wp:extent cx="72898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67" w:name="page68"/>
    <w:bookmarkEnd w:id="67"/>
    <w:p>
      <w:pPr>
        <w:ind w:left="3540"/>
        <w:spacing w:after="0"/>
        <w:rPr>
          <w:sz w:val="20"/>
          <w:szCs w:val="20"/>
          <w:color w:val="auto"/>
        </w:rPr>
      </w:pPr>
      <w:r>
        <w:rPr>
          <w:rFonts w:ascii="Calibri" w:cs="Calibri" w:eastAsia="Calibri" w:hAnsi="Calibri"/>
          <w:sz w:val="18"/>
          <w:szCs w:val="18"/>
          <w:b w:val="1"/>
          <w:bCs w:val="1"/>
          <w:color w:val="51555C"/>
        </w:rPr>
        <w:t>Report of Independent Registered Public Accountng Firm</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To the Stockholders and the Board of Directors of Blackbaud, Inc.</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Opinion on the Financial Statements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audited the accompanying consolidated balance sheets of Blackbaud, Inc. (the Company) as of December 31, 2023 and 2022, the related consolidated statements of comprehensive loss, cash fows, and stockholders’ equity for each of the two years in the period ended December 31, 2023, and the related notes (collectvely referred to as the “consolidated fnancial statements”). In our opinion, the consolidated fnancial statements present fairly, in all material respects, the fnancial positon of the Company at December 31, 2023 and 2022, and the results of its operatons and its cash fows for each of the two years in the period ended December 31, 2023, in conformity with U.S. generally accepted accountng principles.</w:t>
      </w:r>
    </w:p>
    <w:p>
      <w:pPr>
        <w:spacing w:after="0" w:line="166"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We also have audited, in accordance with the standards of the Public Company Accountng Oversight Board (United States) (PCAOB), the Company's internal control over fnancial reportng as of December 31, 2023, based on criteria established in Internal Control-Integrated Framework issued by the Commitee of Sponsoring Organizatons of the Treadway Commission (2013 framework) and our report dated February 21, 2024, expressed an unqualifed opinion thereon.</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Basis for Opinion</w:t>
      </w:r>
    </w:p>
    <w:p>
      <w:pPr>
        <w:spacing w:after="0" w:line="163"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conducted our audits in accordance with the standards of the PCAOB. Those standards require that we plan and perform the audits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Critcal Audit Mater</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the critcal audit mater does not alter in any way our opinion on the consolidated fnancial statements, taken as a whole, and we are not, by communicatng the critcal audit mater below, providing a separate opinion on the critcal audit mater or on the account or disclosure to which it relates.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80" w:type="dxa"/>
            <w:vAlign w:val="bottom"/>
          </w:tcPr>
          <w:p>
            <w:pPr>
              <w:spacing w:after="0"/>
              <w:rPr>
                <w:sz w:val="19"/>
                <w:szCs w:val="19"/>
                <w:color w:val="auto"/>
              </w:rPr>
            </w:pPr>
          </w:p>
        </w:tc>
        <w:tc>
          <w:tcPr>
            <w:tcW w:w="9860" w:type="dxa"/>
            <w:vAlign w:val="bottom"/>
          </w:tcPr>
          <w:p>
            <w:pPr>
              <w:ind w:left="880"/>
              <w:spacing w:after="0"/>
              <w:rPr>
                <w:sz w:val="20"/>
                <w:szCs w:val="20"/>
                <w:color w:val="auto"/>
              </w:rPr>
            </w:pPr>
            <w:r>
              <w:rPr>
                <w:rFonts w:ascii="Calibri" w:cs="Calibri" w:eastAsia="Calibri" w:hAnsi="Calibri"/>
                <w:sz w:val="18"/>
                <w:szCs w:val="18"/>
                <w:b w:val="1"/>
                <w:bCs w:val="1"/>
                <w:i w:val="1"/>
                <w:iCs w:val="1"/>
                <w:color w:val="51555C"/>
              </w:rPr>
              <w:t>Revenue Recogniton - Payment Processing Services</w:t>
            </w:r>
          </w:p>
        </w:tc>
      </w:tr>
      <w:tr>
        <w:trPr>
          <w:trHeight w:val="270"/>
        </w:trPr>
        <w:tc>
          <w:tcPr>
            <w:tcW w:w="1380" w:type="dxa"/>
            <w:vAlign w:val="bottom"/>
          </w:tcPr>
          <w:p>
            <w:pPr>
              <w:ind w:left="20"/>
              <w:spacing w:after="0"/>
              <w:rPr>
                <w:sz w:val="20"/>
                <w:szCs w:val="20"/>
                <w:color w:val="auto"/>
              </w:rPr>
            </w:pPr>
            <w:r>
              <w:rPr>
                <w:rFonts w:ascii="Calibri" w:cs="Calibri" w:eastAsia="Calibri" w:hAnsi="Calibri"/>
                <w:sz w:val="18"/>
                <w:szCs w:val="18"/>
                <w:i w:val="1"/>
                <w:iCs w:val="1"/>
                <w:color w:val="51555C"/>
              </w:rPr>
              <w:t>Descripton of</w:t>
            </w:r>
          </w:p>
        </w:tc>
        <w:tc>
          <w:tcPr>
            <w:tcW w:w="9860" w:type="dxa"/>
            <w:vAlign w:val="bottom"/>
          </w:tcPr>
          <w:p>
            <w:pPr>
              <w:ind w:left="880"/>
              <w:spacing w:after="0"/>
              <w:rPr>
                <w:sz w:val="20"/>
                <w:szCs w:val="20"/>
                <w:color w:val="auto"/>
              </w:rPr>
            </w:pPr>
            <w:r>
              <w:rPr>
                <w:rFonts w:ascii="Calibri" w:cs="Calibri" w:eastAsia="Calibri" w:hAnsi="Calibri"/>
                <w:sz w:val="18"/>
                <w:szCs w:val="18"/>
                <w:color w:val="51555C"/>
                <w:w w:val="99"/>
              </w:rPr>
              <w:t>The Company recorded transactonal recurring revenues of $333 million for the year ended December 31, 2023. Included in</w:t>
            </w:r>
          </w:p>
        </w:tc>
      </w:tr>
      <w:tr>
        <w:trPr>
          <w:trHeight w:val="216"/>
        </w:trPr>
        <w:tc>
          <w:tcPr>
            <w:tcW w:w="1380" w:type="dxa"/>
            <w:vAlign w:val="bottom"/>
          </w:tcPr>
          <w:p>
            <w:pPr>
              <w:ind w:left="20"/>
              <w:spacing w:after="0" w:line="216" w:lineRule="exact"/>
              <w:rPr>
                <w:sz w:val="20"/>
                <w:szCs w:val="20"/>
                <w:color w:val="auto"/>
              </w:rPr>
            </w:pPr>
            <w:r>
              <w:rPr>
                <w:rFonts w:ascii="Calibri" w:cs="Calibri" w:eastAsia="Calibri" w:hAnsi="Calibri"/>
                <w:sz w:val="18"/>
                <w:szCs w:val="18"/>
                <w:i w:val="1"/>
                <w:iCs w:val="1"/>
                <w:color w:val="51555C"/>
              </w:rPr>
              <w:t>the Mater</w:t>
            </w: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transactonal recurring revenues are revenues related to payment processing services provided to customers that enable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donatons and the purchase of goods and services. As discussed in Note 2 to the consolidated fnancial statements, the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w w:val="97"/>
              </w:rPr>
              <w:t>Company recognizes revenue for payment processing services over tme based on the amount billable to the customer since it</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has the right to invoice the customer in an amount that directly corresponds with the value to the customer for the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Company’s performance to date. The processing of transactons and recording of revenues for these services involves a</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signifcant volume of transactons that are highly automated and are based on contractual terms with the customer and the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Company’s third-party vendors.</w:t>
            </w:r>
          </w:p>
        </w:tc>
      </w:tr>
      <w:tr>
        <w:trPr>
          <w:trHeight w:val="324"/>
        </w:trPr>
        <w:tc>
          <w:tcPr>
            <w:tcW w:w="1380" w:type="dxa"/>
            <w:vAlign w:val="bottom"/>
          </w:tcPr>
          <w:p>
            <w:pPr>
              <w:spacing w:after="0"/>
              <w:rPr>
                <w:sz w:val="24"/>
                <w:szCs w:val="24"/>
                <w:color w:val="auto"/>
              </w:rPr>
            </w:pPr>
          </w:p>
        </w:tc>
        <w:tc>
          <w:tcPr>
            <w:tcW w:w="9860" w:type="dxa"/>
            <w:vAlign w:val="bottom"/>
          </w:tcPr>
          <w:p>
            <w:pPr>
              <w:ind w:left="880"/>
              <w:spacing w:after="0"/>
              <w:rPr>
                <w:sz w:val="20"/>
                <w:szCs w:val="20"/>
                <w:color w:val="auto"/>
              </w:rPr>
            </w:pPr>
            <w:r>
              <w:rPr>
                <w:rFonts w:ascii="Calibri" w:cs="Calibri" w:eastAsia="Calibri" w:hAnsi="Calibri"/>
                <w:sz w:val="18"/>
                <w:szCs w:val="18"/>
                <w:color w:val="51555C"/>
              </w:rPr>
              <w:t>Auditng the revenues for these payment processing services is complex because the processes are highly automated and</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involve multple IT systems with a signifcant volume of transactons and related underlying data. Further, auditng the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revenues for these payment processing services required the involvement of data professionals to assist in validatng the</w:t>
            </w:r>
          </w:p>
        </w:tc>
      </w:tr>
      <w:tr>
        <w:trPr>
          <w:trHeight w:val="216"/>
        </w:trPr>
        <w:tc>
          <w:tcPr>
            <w:tcW w:w="1380" w:type="dxa"/>
            <w:vAlign w:val="bottom"/>
          </w:tcPr>
          <w:p>
            <w:pPr>
              <w:spacing w:after="0"/>
              <w:rPr>
                <w:sz w:val="18"/>
                <w:szCs w:val="18"/>
                <w:color w:val="auto"/>
              </w:rPr>
            </w:pPr>
          </w:p>
        </w:tc>
        <w:tc>
          <w:tcPr>
            <w:tcW w:w="9860" w:type="dxa"/>
            <w:vAlign w:val="bottom"/>
          </w:tcPr>
          <w:p>
            <w:pPr>
              <w:ind w:left="880"/>
              <w:spacing w:after="0" w:line="216" w:lineRule="exact"/>
              <w:rPr>
                <w:sz w:val="20"/>
                <w:szCs w:val="20"/>
                <w:color w:val="auto"/>
              </w:rPr>
            </w:pPr>
            <w:r>
              <w:rPr>
                <w:rFonts w:ascii="Calibri" w:cs="Calibri" w:eastAsia="Calibri" w:hAnsi="Calibri"/>
                <w:sz w:val="18"/>
                <w:szCs w:val="18"/>
                <w:color w:val="51555C"/>
              </w:rPr>
              <w:t>integrity of the underlying data and recalculatng the revenues recorded during the period.</w:t>
            </w:r>
          </w:p>
        </w:tc>
      </w:tr>
      <w:tr>
        <w:trPr>
          <w:trHeight w:val="719"/>
        </w:trPr>
        <w:tc>
          <w:tcPr>
            <w:tcW w:w="1380" w:type="dxa"/>
            <w:vAlign w:val="bottom"/>
          </w:tcPr>
          <w:p>
            <w:pPr>
              <w:ind w:left="20"/>
              <w:spacing w:after="0"/>
              <w:rPr>
                <w:sz w:val="20"/>
                <w:szCs w:val="20"/>
                <w:color w:val="auto"/>
              </w:rPr>
            </w:pPr>
            <w:r>
              <w:rPr>
                <w:rFonts w:ascii="Calibri" w:cs="Calibri" w:eastAsia="Calibri" w:hAnsi="Calibri"/>
                <w:sz w:val="14"/>
                <w:szCs w:val="14"/>
                <w:color w:val="51555C"/>
              </w:rPr>
              <w:t>66</w:t>
            </w:r>
          </w:p>
        </w:tc>
        <w:tc>
          <w:tcPr>
            <w:tcW w:w="9860" w:type="dxa"/>
            <w:vAlign w:val="bottom"/>
          </w:tcPr>
          <w:p>
            <w:pPr>
              <w:ind w:left="380"/>
              <w:spacing w:after="0"/>
              <w:rPr>
                <w:sz w:val="20"/>
                <w:szCs w:val="20"/>
                <w:color w:val="auto"/>
              </w:rPr>
            </w:pPr>
            <w:r>
              <w:rPr>
                <w:rFonts w:ascii="Calibri" w:cs="Calibri" w:eastAsia="Calibri" w:hAnsi="Calibri"/>
                <w:sz w:val="14"/>
                <w:szCs w:val="14"/>
                <w:color w:val="51555C"/>
              </w:rPr>
              <w:t>2023 Form 10-K</w:t>
            </w:r>
          </w:p>
        </w:tc>
      </w:tr>
      <w:tr>
        <w:trPr>
          <w:trHeight w:val="351"/>
        </w:trPr>
        <w:tc>
          <w:tcPr>
            <w:tcW w:w="1380" w:type="dxa"/>
            <w:vAlign w:val="bottom"/>
            <w:tcBorders>
              <w:bottom w:val="single" w:sz="8" w:color="9A9A9A"/>
            </w:tcBorders>
          </w:tcPr>
          <w:p>
            <w:pPr>
              <w:spacing w:after="0"/>
              <w:rPr>
                <w:sz w:val="24"/>
                <w:szCs w:val="24"/>
                <w:color w:val="auto"/>
              </w:rPr>
            </w:pPr>
          </w:p>
        </w:tc>
        <w:tc>
          <w:tcPr>
            <w:tcW w:w="9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68" w:name="page69"/>
    <w:bookmarkEnd w:id="68"/>
    <w:p>
      <w:pPr>
        <w:ind w:left="20"/>
        <w:spacing w:after="0" w:line="235" w:lineRule="auto"/>
        <w:rPr>
          <w:sz w:val="20"/>
          <w:szCs w:val="20"/>
          <w:color w:val="auto"/>
        </w:rPr>
      </w:pPr>
      <w:r>
        <w:rPr>
          <w:rFonts w:ascii="Calibri" w:cs="Calibri" w:eastAsia="Calibri" w:hAnsi="Calibri"/>
          <w:sz w:val="18"/>
          <w:szCs w:val="18"/>
          <w:i w:val="1"/>
          <w:iCs w:val="1"/>
          <w:color w:val="51555C"/>
        </w:rPr>
        <w:t>How We Addressed the Mater in Our Audit</w:t>
      </w:r>
    </w:p>
    <w:p>
      <w:pPr>
        <w:spacing w:after="0" w:line="20" w:lineRule="exact"/>
        <w:rPr>
          <w:sz w:val="20"/>
          <w:szCs w:val="20"/>
          <w:color w:val="auto"/>
        </w:rPr>
      </w:pPr>
      <w:r>
        <w:rPr>
          <w:sz w:val="20"/>
          <w:szCs w:val="20"/>
          <w:color w:val="auto"/>
        </w:rPr>
        <w:br w:type="column"/>
      </w:r>
    </w:p>
    <w:p>
      <w:pPr>
        <w:jc w:val="both"/>
        <w:ind w:right="20"/>
        <w:spacing w:after="0" w:line="235" w:lineRule="auto"/>
        <w:rPr>
          <w:sz w:val="20"/>
          <w:szCs w:val="20"/>
          <w:color w:val="auto"/>
        </w:rPr>
      </w:pPr>
      <w:r>
        <w:rPr>
          <w:rFonts w:ascii="Calibri" w:cs="Calibri" w:eastAsia="Calibri" w:hAnsi="Calibri"/>
          <w:sz w:val="18"/>
          <w:szCs w:val="18"/>
          <w:color w:val="51555C"/>
        </w:rPr>
        <w:t>We obtained an understanding, evaluated the design, and tested the operatng efectveness of the Company’s controls over its payment processing services provided to customers that enable donatons and the purchase of goods and services. We identfed the relevant systems used in these payment processing services, including relevant third-party service organizaton systems, and evaluated the IT general controls over each of these systems. We also tested the relevant automated controls and other business processes controls.</w:t>
      </w:r>
    </w:p>
    <w:p>
      <w:pPr>
        <w:spacing w:after="0" w:line="112" w:lineRule="exact"/>
        <w:rPr>
          <w:sz w:val="20"/>
          <w:szCs w:val="20"/>
          <w:color w:val="auto"/>
        </w:rPr>
      </w:pPr>
    </w:p>
    <w:p>
      <w:pPr>
        <w:sectPr>
          <w:pgSz w:w="11900" w:h="16838" w:orient="portrait"/>
          <w:cols w:equalWidth="0" w:num="2">
            <w:col w:w="1680" w:space="580"/>
            <w:col w:w="8980"/>
          </w:cols>
          <w:pgMar w:left="320" w:top="1359" w:right="339" w:bottom="1440" w:gutter="0" w:footer="0" w:header="0"/>
        </w:sectPr>
      </w:pPr>
    </w:p>
    <w:p>
      <w:pPr>
        <w:jc w:val="both"/>
        <w:ind w:left="2260" w:right="20"/>
        <w:spacing w:after="0" w:line="235" w:lineRule="auto"/>
        <w:rPr>
          <w:sz w:val="20"/>
          <w:szCs w:val="20"/>
          <w:color w:val="auto"/>
        </w:rPr>
      </w:pPr>
      <w:r>
        <w:rPr>
          <w:rFonts w:ascii="Calibri" w:cs="Calibri" w:eastAsia="Calibri" w:hAnsi="Calibri"/>
          <w:sz w:val="18"/>
          <w:szCs w:val="18"/>
          <w:color w:val="51555C"/>
        </w:rPr>
        <w:t>To test revenue recognized for payment processing services, our procedures included, among others, the involvement of data professionals to recalculate the revenue recognized. For a selecton of payment processing transactons, we also agreed the amount of revenues recognized for processing fees retained by the Company to source documents and tested the mathematcal accuracy of the recorded revenue. We also evaluated if the transactons were processed, and funds received prior to December 31, 2023, including sending confrmatons directly to fnancial insttutons.</w:t>
      </w:r>
    </w:p>
    <w:p>
      <w:pPr>
        <w:sectPr>
          <w:pgSz w:w="11900" w:h="16838" w:orient="portrait"/>
          <w:cols w:equalWidth="0" w:num="1">
            <w:col w:w="11240"/>
          </w:cols>
          <w:pgMar w:left="320" w:top="1359" w:right="339" w:bottom="1440" w:gutter="0" w:footer="0" w:header="0"/>
          <w:type w:val="continuous"/>
        </w:sect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color w:val="51555C"/>
        </w:rPr>
        <w:t>/s/ Ernst &amp; Young LLP</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We have served as the Company's auditor since 2021.</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Raleigh, North Carolina</w:t>
      </w:r>
    </w:p>
    <w:p>
      <w:pPr>
        <w:spacing w:after="0" w:line="235" w:lineRule="auto"/>
        <w:rPr>
          <w:sz w:val="20"/>
          <w:szCs w:val="20"/>
          <w:color w:val="auto"/>
        </w:rPr>
      </w:pPr>
      <w:r>
        <w:rPr>
          <w:rFonts w:ascii="Calibri" w:cs="Calibri" w:eastAsia="Calibri" w:hAnsi="Calibri"/>
          <w:sz w:val="18"/>
          <w:szCs w:val="18"/>
          <w:color w:val="51555C"/>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3049905</wp:posOffset>
            </wp:positionV>
            <wp:extent cx="72898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67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69" w:name="page70"/>
    <w:bookmarkEnd w:id="69"/>
    <w:p>
      <w:pPr>
        <w:jc w:val="center"/>
        <w:spacing w:after="0"/>
        <w:rPr>
          <w:sz w:val="20"/>
          <w:szCs w:val="20"/>
          <w:color w:val="auto"/>
        </w:rPr>
      </w:pPr>
      <w:r>
        <w:rPr>
          <w:rFonts w:ascii="Calibri" w:cs="Calibri" w:eastAsia="Calibri" w:hAnsi="Calibri"/>
          <w:sz w:val="18"/>
          <w:szCs w:val="18"/>
          <w:b w:val="1"/>
          <w:bCs w:val="1"/>
          <w:color w:val="51555C"/>
        </w:rPr>
        <w:t>Report of Independent Registered Public Accountng Firm</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alibri" w:cs="Calibri" w:eastAsia="Calibri" w:hAnsi="Calibri"/>
          <w:sz w:val="18"/>
          <w:szCs w:val="18"/>
          <w:color w:val="51555C"/>
        </w:rPr>
        <w:t>To the Stockholders and the Board of Directors of Blackbaud, Inc.</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Opinion on Internal Control Over Financial Reportng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audited Blackbaud, Inc.’s internal control over fnancial reportng as of December 31, 2023, based on criteria established in Internal Control— Integrated Framework issued by the Commitee of Sponsoring Organizatons of the Treadway Commission (2013 Framework) (the COSO criteria). In our opinion, Blackbaud, Inc. (the Company) maintained, in all material respects, efectve internal control over fnancial reportng as of December 31, 2023, based on the COSO criteria.</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also have audited, in accordance with the standards of the Public Company Accountng Oversight Board (United States) (PCAOB), the consolidated balance sheets of the Company as of December 31, 2023 and 2022, and the related consolidated statements of comprehensive loss, cash fows, and stockholders' equity for the two years in the period ended December 31, 2023, and the related notes and our report dated February 21, 2024 expressed an unqualifed opinion thereon.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Basis for Opinion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Company’s management is responsible for maintaining efectve internal control over fnancial reportng and for its assessment of the efectveness of internal control over fnancial reportng included in the accompanying Management’s Annual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Defniton and Limitatons of Internal Control Over Financial Reportng</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alibri" w:cs="Calibri" w:eastAsia="Calibri" w:hAnsi="Calibri"/>
          <w:sz w:val="18"/>
          <w:szCs w:val="18"/>
          <w:color w:val="51555C"/>
        </w:rPr>
        <w:t>/s/ Ernst &amp; Young LLP</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Raleigh, North Carolina</w:t>
      </w:r>
    </w:p>
    <w:p>
      <w:pPr>
        <w:spacing w:after="0" w:line="235" w:lineRule="auto"/>
        <w:rPr>
          <w:sz w:val="20"/>
          <w:szCs w:val="20"/>
          <w:color w:val="auto"/>
        </w:rPr>
      </w:pPr>
      <w:r>
        <w:rPr>
          <w:rFonts w:ascii="Calibri" w:cs="Calibri" w:eastAsia="Calibri" w:hAnsi="Calibri"/>
          <w:sz w:val="18"/>
          <w:szCs w:val="18"/>
          <w:color w:val="51555C"/>
        </w:rPr>
        <w:t>February 21,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68</w:t>
      </w:r>
      <w:r>
        <w:rPr>
          <w:sz w:val="20"/>
          <w:szCs w:val="20"/>
          <w:color w:val="auto"/>
        </w:rPr>
        <w:tab/>
      </w:r>
      <w:r>
        <w:rPr>
          <w:sz w:val="1"/>
          <w:szCs w:val="1"/>
          <w:color w:val="auto"/>
        </w:rPr>
        <w:drawing>
          <wp:inline distT="0" distB="0" distL="0" distR="0">
            <wp:extent cx="728345" cy="18859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70" w:name="page71"/>
    <w:bookmarkEnd w:id="70"/>
    <w:p>
      <w:pPr>
        <w:jc w:val="center"/>
        <w:ind w:right="-19"/>
        <w:spacing w:after="0"/>
        <w:rPr>
          <w:sz w:val="20"/>
          <w:szCs w:val="20"/>
          <w:color w:val="auto"/>
        </w:rPr>
      </w:pPr>
      <w:r>
        <w:rPr>
          <w:rFonts w:ascii="Calibri" w:cs="Calibri" w:eastAsia="Calibri" w:hAnsi="Calibri"/>
          <w:sz w:val="18"/>
          <w:szCs w:val="18"/>
          <w:b w:val="1"/>
          <w:bCs w:val="1"/>
          <w:color w:val="51555C"/>
        </w:rPr>
        <w:t>Report of Independent Registered Public Accountng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color w:val="51555C"/>
        </w:rPr>
        <w:t>To the Board of Directors and Stockholders of Blackbaud,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Opinion on the Financial Statements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audited the consolidated statements of comprehensive (loss) income, of stockholders' equity and of cash fows of Blackbaud, Inc. and its subsidiaries (the “Company”) for the year ended December 31, 2021 including the related notes (collectvely referred to as the “consolidated fnancial statements”). In our opinion, the consolidated fnancial statements present fairly, in all material respects, the results of operatons and cash fows of the Company for the year ended December 31, 2021 in conformity with accountng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51555C"/>
        </w:rPr>
        <w:t>Basis for Opinion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These consolidated fnancial statements are the responsibility of the Company's management. Our responsibility is to express an opinion on the Company’s consolidated fnancial statements based on our audit.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conducted our audit of these consolidated fnancial statements in accordance with the standards of the PCAOB. Those standards require that we plan and perform the audit to obtain reasonable assurance about whether the consolidated fnancial statements are free of material misstatement, whether due to error or fraud.</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audit included performing procedures to assess the risks of material misstatement of the consolidated fnancial statements, whether due to error or fraud, and performing procedures that respond to those risks. Such procedures included examining, on a test basis, evidence regarding the amounts and disclosures in the consolidated fnancial statements. Our audit also included evaluatng the accountng principles used and signifcant estmates made by management, as well as evaluatng the overall presentaton of the consolidated fnancial statements. We believe that our audit provide a reasonable basis for our opinion.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alibri" w:cs="Calibri" w:eastAsia="Calibri" w:hAnsi="Calibri"/>
          <w:sz w:val="18"/>
          <w:szCs w:val="18"/>
          <w:color w:val="51555C"/>
        </w:rPr>
        <w:t>/s/ PricewaterhouseCoopers LLP</w:t>
      </w:r>
    </w:p>
    <w:p>
      <w:pPr>
        <w:spacing w:after="0" w:line="235" w:lineRule="auto"/>
        <w:rPr>
          <w:sz w:val="20"/>
          <w:szCs w:val="20"/>
          <w:color w:val="auto"/>
        </w:rPr>
      </w:pPr>
      <w:r>
        <w:rPr>
          <w:rFonts w:ascii="Calibri" w:cs="Calibri" w:eastAsia="Calibri" w:hAnsi="Calibri"/>
          <w:sz w:val="18"/>
          <w:szCs w:val="18"/>
          <w:color w:val="51555C"/>
        </w:rPr>
        <w:t>Atlanta, Georgia</w:t>
      </w:r>
    </w:p>
    <w:p>
      <w:pPr>
        <w:spacing w:after="0" w:line="236" w:lineRule="auto"/>
        <w:rPr>
          <w:sz w:val="20"/>
          <w:szCs w:val="20"/>
          <w:color w:val="auto"/>
        </w:rPr>
      </w:pPr>
      <w:r>
        <w:rPr>
          <w:rFonts w:ascii="Calibri" w:cs="Calibri" w:eastAsia="Calibri" w:hAnsi="Calibri"/>
          <w:sz w:val="18"/>
          <w:szCs w:val="18"/>
          <w:color w:val="51555C"/>
        </w:rPr>
        <w:t>March 1, 2022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We served as the Company’s auditor from 2000 to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220345</wp:posOffset>
            </wp:positionV>
            <wp:extent cx="728980"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69</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71" w:name="page72"/>
    <w:bookmarkEnd w:id="71"/>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Consolidated Balance Sheets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50" w:type="dxa"/>
            <w:vAlign w:val="bottom"/>
            <w:shd w:val="clear" w:color="auto" w:fill="004054"/>
          </w:tcPr>
          <w:p>
            <w:pPr>
              <w:spacing w:after="0"/>
              <w:rPr>
                <w:sz w:val="16"/>
                <w:szCs w:val="16"/>
                <w:color w:val="auto"/>
              </w:rPr>
            </w:pP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170"/>
        </w:trPr>
        <w:tc>
          <w:tcPr>
            <w:tcW w:w="795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 except per share amounts)</w:t>
            </w: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6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r>
      <w:tr>
        <w:trPr>
          <w:trHeight w:val="74"/>
        </w:trPr>
        <w:tc>
          <w:tcPr>
            <w:tcW w:w="7950" w:type="dxa"/>
            <w:vAlign w:val="bottom"/>
            <w:shd w:val="clear" w:color="auto" w:fill="004054"/>
          </w:tcPr>
          <w:p>
            <w:pPr>
              <w:spacing w:after="0"/>
              <w:rPr>
                <w:sz w:val="6"/>
                <w:szCs w:val="6"/>
                <w:color w:val="auto"/>
              </w:rPr>
            </w:pPr>
          </w:p>
        </w:tc>
        <w:tc>
          <w:tcPr>
            <w:tcW w:w="1630" w:type="dxa"/>
            <w:vAlign w:val="bottom"/>
            <w:shd w:val="clear" w:color="auto" w:fill="004054"/>
          </w:tcPr>
          <w:p>
            <w:pPr>
              <w:spacing w:after="0"/>
              <w:rPr>
                <w:sz w:val="6"/>
                <w:szCs w:val="6"/>
                <w:color w:val="auto"/>
              </w:rPr>
            </w:pPr>
          </w:p>
        </w:tc>
        <w:tc>
          <w:tcPr>
            <w:tcW w:w="164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115175"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ectPr>
          <w:pgSz w:w="11900" w:h="16838" w:orient="portrait"/>
          <w:cols w:equalWidth="0" w:num="1">
            <w:col w:w="11220"/>
          </w:cols>
          <w:pgMar w:left="340" w:top="274" w:right="339" w:bottom="1440" w:gutter="0" w:footer="0" w:header="0"/>
        </w:sectPr>
      </w:pPr>
    </w:p>
    <w:p>
      <w:pPr>
        <w:spacing w:after="0" w:line="7"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Assets</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Cash and cash equivalents</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283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15175" cy="283210"/>
                    </a:xfrm>
                    <a:prstGeom prst="rect">
                      <a:avLst/>
                    </a:prstGeom>
                    <a:noFill/>
                  </pic:spPr>
                </pic:pic>
              </a:graphicData>
            </a:graphic>
          </wp:anchor>
        </w:drawing>
      </w:r>
    </w:p>
    <w:p>
      <w:pPr>
        <w:spacing w:after="0" w:line="30" w:lineRule="exact"/>
        <w:rPr>
          <w:sz w:val="20"/>
          <w:szCs w:val="20"/>
          <w:color w:val="auto"/>
        </w:rPr>
      </w:pPr>
    </w:p>
    <w:p>
      <w:pPr>
        <w:ind w:left="460" w:right="160"/>
        <w:spacing w:after="0" w:line="235" w:lineRule="auto"/>
        <w:rPr>
          <w:sz w:val="20"/>
          <w:szCs w:val="20"/>
          <w:color w:val="auto"/>
        </w:rPr>
      </w:pPr>
      <w:r>
        <w:rPr>
          <w:rFonts w:ascii="Calibri" w:cs="Calibri" w:eastAsia="Calibri" w:hAnsi="Calibri"/>
          <w:sz w:val="16"/>
          <w:szCs w:val="16"/>
          <w:color w:val="51555C"/>
        </w:rPr>
        <w:t>Accounts receivable, net of allowance of $6,907 and $7,318 at December 31, 2023 and December 31, 2022, respectvely</w:t>
      </w:r>
    </w:p>
    <w:p>
      <w:pPr>
        <w:spacing w:after="0" w:line="61"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Prepaid expenses and other current assets</w:t>
      </w:r>
    </w:p>
    <w:p>
      <w:pPr>
        <w:spacing w:after="0" w:line="48" w:lineRule="exact"/>
        <w:rPr>
          <w:sz w:val="20"/>
          <w:szCs w:val="20"/>
          <w:color w:val="auto"/>
        </w:rPr>
      </w:pPr>
    </w:p>
    <w:p>
      <w:pPr>
        <w:ind w:left="660"/>
        <w:spacing w:after="0"/>
        <w:rPr>
          <w:sz w:val="20"/>
          <w:szCs w:val="20"/>
          <w:color w:val="auto"/>
        </w:rPr>
      </w:pPr>
      <w:r>
        <w:rPr>
          <w:rFonts w:ascii="Calibri" w:cs="Calibri" w:eastAsia="Calibri" w:hAnsi="Calibri"/>
          <w:sz w:val="16"/>
          <w:szCs w:val="16"/>
          <w:color w:val="51555C"/>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7115175"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Property and equipment, net</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Operatng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Sofware and content development costs, net</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Intangible assets, net</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631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8" w:lineRule="exact"/>
        <w:rPr>
          <w:sz w:val="20"/>
          <w:szCs w:val="20"/>
          <w:color w:val="auto"/>
        </w:rPr>
      </w:pPr>
    </w:p>
    <w:p>
      <w:pPr>
        <w:ind w:left="880"/>
        <w:spacing w:after="0"/>
        <w:rPr>
          <w:sz w:val="20"/>
          <w:szCs w:val="20"/>
          <w:color w:val="auto"/>
        </w:rPr>
      </w:pPr>
      <w:r>
        <w:rPr>
          <w:rFonts w:ascii="Calibri" w:cs="Calibri" w:eastAsia="Calibri" w:hAnsi="Calibri"/>
          <w:sz w:val="16"/>
          <w:szCs w:val="16"/>
          <w:b w:val="1"/>
          <w:bCs w:val="1"/>
          <w:color w:val="51555C"/>
        </w:rPr>
        <w:t>Total assets</w:t>
      </w:r>
    </w:p>
    <w:p>
      <w:pPr>
        <w:spacing w:after="0" w:line="6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Liabilites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Current liabilites:</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Accrued expenses and other current liabilites</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Debt, current porton</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Deferred revenue, current porton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8" w:lineRule="exact"/>
        <w:rPr>
          <w:sz w:val="20"/>
          <w:szCs w:val="20"/>
          <w:color w:val="auto"/>
        </w:rPr>
      </w:pPr>
    </w:p>
    <w:p>
      <w:pPr>
        <w:ind w:left="660"/>
        <w:spacing w:after="0"/>
        <w:rPr>
          <w:sz w:val="20"/>
          <w:szCs w:val="20"/>
          <w:color w:val="auto"/>
        </w:rPr>
      </w:pPr>
      <w:r>
        <w:rPr>
          <w:rFonts w:ascii="Calibri" w:cs="Calibri" w:eastAsia="Calibri" w:hAnsi="Calibri"/>
          <w:sz w:val="16"/>
          <w:szCs w:val="16"/>
          <w:color w:val="51555C"/>
        </w:rPr>
        <w:t>Total current liabilites</w:t>
      </w:r>
    </w:p>
    <w:p>
      <w:pPr>
        <w:spacing w:after="0" w:line="61"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Debt, net of current porton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Deferred tax liability</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Deferred revenue, net of current porton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Operatng lease liabilites, net of current porton</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Other liabilites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62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8" w:lineRule="exact"/>
        <w:rPr>
          <w:sz w:val="20"/>
          <w:szCs w:val="20"/>
          <w:color w:val="auto"/>
        </w:rPr>
      </w:pPr>
    </w:p>
    <w:p>
      <w:pPr>
        <w:ind w:left="880"/>
        <w:spacing w:after="0"/>
        <w:rPr>
          <w:sz w:val="20"/>
          <w:szCs w:val="20"/>
          <w:color w:val="auto"/>
        </w:rPr>
      </w:pPr>
      <w:r>
        <w:rPr>
          <w:rFonts w:ascii="Calibri" w:cs="Calibri" w:eastAsia="Calibri" w:hAnsi="Calibri"/>
          <w:sz w:val="16"/>
          <w:szCs w:val="16"/>
          <w:b w:val="1"/>
          <w:bCs w:val="1"/>
          <w:color w:val="51555C"/>
        </w:rPr>
        <w:t>Total liabilites</w:t>
      </w:r>
    </w:p>
    <w:p>
      <w:pPr>
        <w:spacing w:after="0" w:line="61"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Commitments and contngencies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Stockholders’ equity:</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Preferred stock; 20,000,000 shares authorized; none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4032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15175" cy="403225"/>
                    </a:xfrm>
                    <a:prstGeom prst="rect">
                      <a:avLst/>
                    </a:prstGeom>
                    <a:noFill/>
                  </pic:spPr>
                </pic:pic>
              </a:graphicData>
            </a:graphic>
          </wp:anchor>
        </w:drawing>
      </w:r>
    </w:p>
    <w:p>
      <w:pPr>
        <w:spacing w:after="0" w:line="30" w:lineRule="exact"/>
        <w:rPr>
          <w:sz w:val="20"/>
          <w:szCs w:val="20"/>
          <w:color w:val="auto"/>
        </w:rPr>
      </w:pPr>
    </w:p>
    <w:p>
      <w:pPr>
        <w:ind w:left="460"/>
        <w:spacing w:after="0" w:line="239" w:lineRule="auto"/>
        <w:rPr>
          <w:sz w:val="20"/>
          <w:szCs w:val="20"/>
          <w:color w:val="auto"/>
        </w:rPr>
      </w:pPr>
      <w:r>
        <w:rPr>
          <w:rFonts w:ascii="Calibri" w:cs="Calibri" w:eastAsia="Calibri" w:hAnsi="Calibri"/>
          <w:sz w:val="16"/>
          <w:szCs w:val="16"/>
          <w:color w:val="51555C"/>
        </w:rPr>
        <w:t>Common stock, $0.001 par value; 180,000,000 shares authorized; 69,188,304 and 67,814,044 shares issued at December 31, 2023 and December 31, 2022, respectvely; 53,625,440 and 53,068,814 shares outstanding at December 31, 2023 and December 31, 2022, respectvely</w:t>
      </w:r>
    </w:p>
    <w:p>
      <w:pPr>
        <w:spacing w:after="0" w:line="49"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Additonal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2825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30" w:lineRule="exact"/>
        <w:rPr>
          <w:sz w:val="20"/>
          <w:szCs w:val="20"/>
          <w:color w:val="auto"/>
        </w:rPr>
      </w:pPr>
    </w:p>
    <w:p>
      <w:pPr>
        <w:ind w:left="460" w:right="280"/>
        <w:spacing w:after="0" w:line="235" w:lineRule="auto"/>
        <w:rPr>
          <w:sz w:val="20"/>
          <w:szCs w:val="20"/>
          <w:color w:val="auto"/>
        </w:rPr>
      </w:pPr>
      <w:r>
        <w:rPr>
          <w:rFonts w:ascii="Calibri" w:cs="Calibri" w:eastAsia="Calibri" w:hAnsi="Calibri"/>
          <w:sz w:val="16"/>
          <w:szCs w:val="16"/>
          <w:color w:val="51555C"/>
        </w:rPr>
        <w:t>Treasury stock, at cost; 15,562,864 and 14,745,230 shares at December 31, 2023 and December 31, 2022, respectvely</w:t>
      </w:r>
    </w:p>
    <w:p>
      <w:pPr>
        <w:spacing w:after="0" w:line="61"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Accumulated 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Retained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jc w:val="right"/>
              <w:ind w:right="319"/>
              <w:spacing w:after="0"/>
              <w:rPr>
                <w:sz w:val="20"/>
                <w:szCs w:val="20"/>
                <w:color w:val="auto"/>
              </w:rPr>
            </w:pPr>
            <w:r>
              <w:rPr>
                <w:rFonts w:ascii="Calibri" w:cs="Calibri" w:eastAsia="Calibri" w:hAnsi="Calibri"/>
                <w:sz w:val="16"/>
                <w:szCs w:val="16"/>
                <w:color w:val="51555C"/>
                <w:w w:val="97"/>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31,251</w:t>
            </w:r>
          </w:p>
        </w:tc>
        <w:tc>
          <w:tcPr>
            <w:tcW w:w="520" w:type="dxa"/>
            <w:vAlign w:val="bottom"/>
          </w:tcPr>
          <w:p>
            <w:pPr>
              <w:jc w:val="right"/>
              <w:ind w:right="319"/>
              <w:spacing w:after="0"/>
              <w:rPr>
                <w:sz w:val="20"/>
                <w:szCs w:val="20"/>
                <w:color w:val="auto"/>
              </w:rPr>
            </w:pPr>
            <w:r>
              <w:rPr>
                <w:rFonts w:ascii="Calibri" w:cs="Calibri" w:eastAsia="Calibri" w:hAnsi="Calibri"/>
                <w:sz w:val="16"/>
                <w:szCs w:val="16"/>
                <w:color w:val="51555C"/>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31,691</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697,006</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702,240</w:t>
            </w:r>
          </w:p>
        </w:tc>
      </w:tr>
      <w:tr>
        <w:trPr>
          <w:trHeight w:val="445"/>
        </w:trPr>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101,862</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102,809</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353</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249</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99,285</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81,654</w:t>
            </w:r>
          </w:p>
        </w:tc>
      </w:tr>
      <w:tr>
        <w:trPr>
          <w:trHeight w:val="41"/>
        </w:trPr>
        <w:tc>
          <w:tcPr>
            <w:tcW w:w="50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195"/>
        </w:trPr>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929,757</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918,643</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98,689</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107,426</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36,927</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45,899</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160,194</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141,023</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1,053,738</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1,050,272</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581,937</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635,136</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51,037</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94,304</w:t>
            </w:r>
          </w:p>
        </w:tc>
      </w:tr>
      <w:tr>
        <w:trPr>
          <w:trHeight w:val="41"/>
        </w:trPr>
        <w:tc>
          <w:tcPr>
            <w:tcW w:w="50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196"/>
        </w:trPr>
        <w:tc>
          <w:tcPr>
            <w:tcW w:w="500" w:type="dxa"/>
            <w:vAlign w:val="bottom"/>
          </w:tcPr>
          <w:p>
            <w:pPr>
              <w:jc w:val="right"/>
              <w:ind w:right="319"/>
              <w:spacing w:after="0"/>
              <w:rPr>
                <w:sz w:val="20"/>
                <w:szCs w:val="20"/>
                <w:color w:val="auto"/>
              </w:rPr>
            </w:pPr>
            <w:r>
              <w:rPr>
                <w:rFonts w:ascii="Calibri" w:cs="Calibri" w:eastAsia="Calibri" w:hAnsi="Calibri"/>
                <w:sz w:val="16"/>
                <w:szCs w:val="16"/>
                <w:color w:val="51555C"/>
                <w:w w:val="97"/>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2,912,279</w:t>
            </w:r>
          </w:p>
        </w:tc>
        <w:tc>
          <w:tcPr>
            <w:tcW w:w="520" w:type="dxa"/>
            <w:vAlign w:val="bottom"/>
          </w:tcPr>
          <w:p>
            <w:pPr>
              <w:jc w:val="right"/>
              <w:ind w:right="319"/>
              <w:spacing w:after="0"/>
              <w:rPr>
                <w:sz w:val="20"/>
                <w:szCs w:val="20"/>
                <w:color w:val="auto"/>
              </w:rPr>
            </w:pPr>
            <w:r>
              <w:rPr>
                <w:rFonts w:ascii="Calibri" w:cs="Calibri" w:eastAsia="Calibri" w:hAnsi="Calibri"/>
                <w:sz w:val="16"/>
                <w:szCs w:val="16"/>
                <w:color w:val="51555C"/>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2,992,703</w:t>
            </w:r>
          </w:p>
        </w:tc>
      </w:tr>
      <w:tr>
        <w:trPr>
          <w:trHeight w:val="41"/>
        </w:trPr>
        <w:tc>
          <w:tcPr>
            <w:tcW w:w="50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668"/>
        </w:trPr>
        <w:tc>
          <w:tcPr>
            <w:tcW w:w="500" w:type="dxa"/>
            <w:vAlign w:val="bottom"/>
          </w:tcPr>
          <w:p>
            <w:pPr>
              <w:jc w:val="right"/>
              <w:ind w:right="319"/>
              <w:spacing w:after="0"/>
              <w:rPr>
                <w:sz w:val="20"/>
                <w:szCs w:val="20"/>
                <w:color w:val="auto"/>
              </w:rPr>
            </w:pPr>
            <w:r>
              <w:rPr>
                <w:rFonts w:ascii="Calibri" w:cs="Calibri" w:eastAsia="Calibri" w:hAnsi="Calibri"/>
                <w:sz w:val="16"/>
                <w:szCs w:val="16"/>
                <w:color w:val="51555C"/>
                <w:w w:val="97"/>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25,184</w:t>
            </w:r>
          </w:p>
        </w:tc>
        <w:tc>
          <w:tcPr>
            <w:tcW w:w="520" w:type="dxa"/>
            <w:vAlign w:val="bottom"/>
          </w:tcPr>
          <w:p>
            <w:pPr>
              <w:jc w:val="right"/>
              <w:ind w:right="319"/>
              <w:spacing w:after="0"/>
              <w:rPr>
                <w:sz w:val="20"/>
                <w:szCs w:val="20"/>
                <w:color w:val="auto"/>
              </w:rPr>
            </w:pPr>
            <w:r>
              <w:rPr>
                <w:rFonts w:ascii="Calibri" w:cs="Calibri" w:eastAsia="Calibri" w:hAnsi="Calibri"/>
                <w:sz w:val="16"/>
                <w:szCs w:val="16"/>
                <w:color w:val="51555C"/>
              </w:rPr>
              <w:t>$</w:t>
            </w: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42,559</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64,322</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86,002</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695,842</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700,860</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19,259</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18,802</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392,530</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382,419</w:t>
            </w:r>
          </w:p>
        </w:tc>
      </w:tr>
      <w:tr>
        <w:trPr>
          <w:trHeight w:val="41"/>
        </w:trPr>
        <w:tc>
          <w:tcPr>
            <w:tcW w:w="50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195"/>
        </w:trPr>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1,197,137</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1,230,642</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760,405</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840,241</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93,292</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125,759</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2,397</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2,817</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40,085</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44,918</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10,258</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4,294</w:t>
            </w:r>
          </w:p>
        </w:tc>
      </w:tr>
      <w:tr>
        <w:trPr>
          <w:trHeight w:val="41"/>
        </w:trPr>
        <w:tc>
          <w:tcPr>
            <w:tcW w:w="50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195"/>
        </w:trPr>
        <w:tc>
          <w:tcPr>
            <w:tcW w:w="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2,103,574</w:t>
            </w:r>
          </w:p>
        </w:tc>
        <w:tc>
          <w:tcPr>
            <w:tcW w:w="5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2,248,671</w:t>
            </w:r>
          </w:p>
        </w:tc>
      </w:tr>
      <w:tr>
        <w:trPr>
          <w:trHeight w:val="41"/>
        </w:trPr>
        <w:tc>
          <w:tcPr>
            <w:tcW w:w="50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668"/>
        </w:trPr>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635"/>
        </w:trPr>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69</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68</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1,203,012</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1,075,264</w:t>
            </w:r>
          </w:p>
        </w:tc>
      </w:tr>
      <w:tr>
        <w:trPr>
          <w:trHeight w:val="445"/>
        </w:trPr>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(591,557)</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(537,287)</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(1,688)</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8,938</w:t>
            </w:r>
          </w:p>
        </w:tc>
      </w:tr>
      <w:tr>
        <w:trPr>
          <w:trHeight w:val="243"/>
        </w:trPr>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198,869</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197,049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0745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7660" w:space="280"/>
            <w:col w:w="3280"/>
          </w:cols>
          <w:pgMar w:left="340" w:top="274"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940" w:type="dxa"/>
            <w:vAlign w:val="bottom"/>
          </w:tcPr>
          <w:p>
            <w:pPr>
              <w:ind w:left="880"/>
              <w:spacing w:after="0"/>
              <w:rPr>
                <w:sz w:val="20"/>
                <w:szCs w:val="20"/>
                <w:color w:val="auto"/>
              </w:rPr>
            </w:pPr>
            <w:r>
              <w:rPr>
                <w:rFonts w:ascii="Calibri" w:cs="Calibri" w:eastAsia="Calibri" w:hAnsi="Calibri"/>
                <w:sz w:val="16"/>
                <w:szCs w:val="16"/>
                <w:b w:val="1"/>
                <w:bCs w:val="1"/>
                <w:color w:val="51555C"/>
              </w:rPr>
              <w:t>Total stockholders’ equity</w:t>
            </w: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808,705</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Calibri" w:cs="Calibri" w:eastAsia="Calibri" w:hAnsi="Calibri"/>
                <w:sz w:val="16"/>
                <w:szCs w:val="16"/>
                <w:color w:val="51555C"/>
              </w:rPr>
              <w:t>744,032</w:t>
            </w:r>
          </w:p>
        </w:tc>
      </w:tr>
      <w:tr>
        <w:trPr>
          <w:trHeight w:val="41"/>
        </w:trPr>
        <w:tc>
          <w:tcPr>
            <w:tcW w:w="7940" w:type="dxa"/>
            <w:vAlign w:val="bottom"/>
            <w:tcBorders>
              <w:bottom w:val="single" w:sz="8" w:color="EBFBFF"/>
            </w:tcBorders>
          </w:tcPr>
          <w:p>
            <w:pPr>
              <w:spacing w:after="0"/>
              <w:rPr>
                <w:sz w:val="3"/>
                <w:szCs w:val="3"/>
                <w:color w:val="auto"/>
              </w:rPr>
            </w:pPr>
          </w:p>
        </w:tc>
        <w:tc>
          <w:tcPr>
            <w:tcW w:w="50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c>
          <w:tcPr>
            <w:tcW w:w="520" w:type="dxa"/>
            <w:vAlign w:val="bottom"/>
            <w:tcBorders>
              <w:bottom w:val="single" w:sz="8" w:color="51555C"/>
            </w:tcBorders>
          </w:tcPr>
          <w:p>
            <w:pPr>
              <w:spacing w:after="0"/>
              <w:rPr>
                <w:sz w:val="3"/>
                <w:szCs w:val="3"/>
                <w:color w:val="auto"/>
              </w:rPr>
            </w:pPr>
          </w:p>
        </w:tc>
        <w:tc>
          <w:tcPr>
            <w:tcW w:w="1120" w:type="dxa"/>
            <w:vAlign w:val="bottom"/>
            <w:tcBorders>
              <w:bottom w:val="single" w:sz="8" w:color="51555C"/>
            </w:tcBorders>
          </w:tcPr>
          <w:p>
            <w:pPr>
              <w:spacing w:after="0"/>
              <w:rPr>
                <w:sz w:val="3"/>
                <w:szCs w:val="3"/>
                <w:color w:val="auto"/>
              </w:rPr>
            </w:pPr>
          </w:p>
        </w:tc>
      </w:tr>
      <w:tr>
        <w:trPr>
          <w:trHeight w:val="216"/>
        </w:trPr>
        <w:tc>
          <w:tcPr>
            <w:tcW w:w="7940" w:type="dxa"/>
            <w:vAlign w:val="bottom"/>
            <w:tcBorders>
              <w:bottom w:val="single" w:sz="8" w:color="EBFBFF"/>
            </w:tcBorders>
            <w:shd w:val="clear" w:color="auto" w:fill="EBFBFF"/>
          </w:tcPr>
          <w:p>
            <w:pPr>
              <w:ind w:left="880"/>
              <w:spacing w:after="0" w:line="182" w:lineRule="exact"/>
              <w:rPr>
                <w:sz w:val="20"/>
                <w:szCs w:val="20"/>
                <w:color w:val="auto"/>
              </w:rPr>
            </w:pPr>
            <w:r>
              <w:rPr>
                <w:rFonts w:ascii="Calibri" w:cs="Calibri" w:eastAsia="Calibri" w:hAnsi="Calibri"/>
                <w:sz w:val="16"/>
                <w:szCs w:val="16"/>
                <w:b w:val="1"/>
                <w:bCs w:val="1"/>
                <w:color w:val="51555C"/>
              </w:rPr>
              <w:t>Total liabilites and stockholders’ equity</w:t>
            </w:r>
          </w:p>
        </w:tc>
        <w:tc>
          <w:tcPr>
            <w:tcW w:w="500" w:type="dxa"/>
            <w:vAlign w:val="bottom"/>
            <w:tcBorders>
              <w:bottom w:val="single" w:sz="8" w:color="EBFBFF"/>
            </w:tcBorders>
            <w:shd w:val="clear" w:color="auto" w:fill="EBFBFF"/>
          </w:tcPr>
          <w:p>
            <w:pPr>
              <w:jc w:val="right"/>
              <w:ind w:right="319"/>
              <w:spacing w:after="0"/>
              <w:rPr>
                <w:sz w:val="20"/>
                <w:szCs w:val="20"/>
                <w:color w:val="auto"/>
              </w:rPr>
            </w:pPr>
            <w:r>
              <w:rPr>
                <w:rFonts w:ascii="Calibri" w:cs="Calibri" w:eastAsia="Calibri" w:hAnsi="Calibri"/>
                <w:sz w:val="16"/>
                <w:szCs w:val="16"/>
                <w:color w:val="51555C"/>
                <w:w w:val="97"/>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2,912,279</w:t>
            </w:r>
          </w:p>
        </w:tc>
        <w:tc>
          <w:tcPr>
            <w:tcW w:w="520" w:type="dxa"/>
            <w:vAlign w:val="bottom"/>
            <w:tcBorders>
              <w:bottom w:val="single" w:sz="8" w:color="EBFBFF"/>
            </w:tcBorders>
            <w:shd w:val="clear" w:color="auto" w:fill="EBFBFF"/>
          </w:tcPr>
          <w:p>
            <w:pPr>
              <w:jc w:val="right"/>
              <w:ind w:right="319"/>
              <w:spacing w:after="0"/>
              <w:rPr>
                <w:sz w:val="20"/>
                <w:szCs w:val="20"/>
                <w:color w:val="auto"/>
              </w:rPr>
            </w:pPr>
            <w:r>
              <w:rPr>
                <w:rFonts w:ascii="Calibri" w:cs="Calibri" w:eastAsia="Calibri" w:hAnsi="Calibri"/>
                <w:sz w:val="16"/>
                <w:szCs w:val="16"/>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2,992,703</w:t>
            </w:r>
          </w:p>
        </w:tc>
      </w:tr>
      <w:tr>
        <w:trPr>
          <w:trHeight w:val="20"/>
        </w:trPr>
        <w:tc>
          <w:tcPr>
            <w:tcW w:w="794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r>
    </w:tbl>
    <w:p>
      <w:pPr>
        <w:spacing w:after="0" w:line="101"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51555C"/>
        </w:rPr>
        <w:t>The accompanying notes are an integral part of these consolidated fnancial statements.</w:t>
      </w:r>
    </w:p>
    <w:p>
      <w:pPr>
        <w:spacing w:after="0" w:line="200" w:lineRule="exact"/>
        <w:rPr>
          <w:sz w:val="20"/>
          <w:szCs w:val="20"/>
          <w:color w:val="auto"/>
        </w:rPr>
      </w:pPr>
    </w:p>
    <w:p>
      <w:pPr>
        <w:spacing w:after="0" w:line="222" w:lineRule="exact"/>
        <w:rPr>
          <w:sz w:val="20"/>
          <w:szCs w:val="20"/>
          <w:color w:val="auto"/>
        </w:rPr>
      </w:pPr>
    </w:p>
    <w:p>
      <w:pPr>
        <w:spacing w:after="0"/>
        <w:tabs>
          <w:tab w:leader="none" w:pos="386" w:val="left"/>
        </w:tabs>
        <w:rPr>
          <w:sz w:val="20"/>
          <w:szCs w:val="20"/>
          <w:color w:val="auto"/>
        </w:rPr>
      </w:pPr>
      <w:r>
        <w:rPr>
          <w:rFonts w:ascii="Calibri" w:cs="Calibri" w:eastAsia="Calibri" w:hAnsi="Calibri"/>
          <w:sz w:val="14"/>
          <w:szCs w:val="14"/>
          <w:color w:val="51555C"/>
        </w:rPr>
        <w:t>70</w:t>
      </w:r>
      <w:r>
        <w:rPr>
          <w:sz w:val="20"/>
          <w:szCs w:val="20"/>
          <w:color w:val="auto"/>
        </w:rPr>
        <w:tab/>
      </w:r>
      <w:r>
        <w:rPr>
          <w:sz w:val="1"/>
          <w:szCs w:val="1"/>
          <w:color w:val="auto"/>
        </w:rPr>
        <w:drawing>
          <wp:inline distT="0" distB="0" distL="0" distR="0">
            <wp:extent cx="728345" cy="18859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74" w:right="339" w:bottom="1440" w:gutter="0" w:footer="0" w:header="0"/>
          <w:type w:val="continuous"/>
        </w:sectPr>
      </w:pPr>
    </w:p>
    <w:bookmarkStart w:id="72" w:name="page73"/>
    <w:bookmarkEnd w:id="72"/>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Consolidated Statements of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360" w:type="dxa"/>
            <w:vAlign w:val="bottom"/>
            <w:shd w:val="clear" w:color="auto" w:fill="004054"/>
          </w:tcPr>
          <w:p>
            <w:pPr>
              <w:spacing w:after="0"/>
              <w:rPr>
                <w:sz w:val="24"/>
                <w:szCs w:val="24"/>
                <w:color w:val="auto"/>
              </w:rPr>
            </w:pPr>
          </w:p>
        </w:tc>
        <w:tc>
          <w:tcPr>
            <w:tcW w:w="20" w:type="dxa"/>
            <w:vAlign w:val="bottom"/>
            <w:shd w:val="clear" w:color="auto" w:fill="004054"/>
          </w:tcPr>
          <w:p>
            <w:pPr>
              <w:spacing w:after="0"/>
              <w:rPr>
                <w:sz w:val="24"/>
                <w:szCs w:val="24"/>
                <w:color w:val="auto"/>
              </w:rPr>
            </w:pPr>
          </w:p>
        </w:tc>
        <w:tc>
          <w:tcPr>
            <w:tcW w:w="260" w:type="dxa"/>
            <w:vAlign w:val="bottom"/>
            <w:shd w:val="clear" w:color="auto" w:fill="004054"/>
          </w:tcPr>
          <w:p>
            <w:pPr>
              <w:spacing w:after="0"/>
              <w:rPr>
                <w:sz w:val="24"/>
                <w:szCs w:val="24"/>
                <w:color w:val="auto"/>
              </w:rPr>
            </w:pPr>
          </w:p>
        </w:tc>
        <w:tc>
          <w:tcPr>
            <w:tcW w:w="1000" w:type="dxa"/>
            <w:vAlign w:val="bottom"/>
            <w:shd w:val="clear" w:color="auto" w:fill="004054"/>
          </w:tcPr>
          <w:p>
            <w:pPr>
              <w:spacing w:after="0"/>
              <w:rPr>
                <w:sz w:val="24"/>
                <w:szCs w:val="24"/>
                <w:color w:val="auto"/>
              </w:rPr>
            </w:pPr>
          </w:p>
        </w:tc>
        <w:tc>
          <w:tcPr>
            <w:tcW w:w="300" w:type="dxa"/>
            <w:vAlign w:val="bottom"/>
            <w:shd w:val="clear" w:color="auto" w:fill="004054"/>
          </w:tcPr>
          <w:p>
            <w:pPr>
              <w:spacing w:after="0"/>
              <w:rPr>
                <w:sz w:val="24"/>
                <w:szCs w:val="24"/>
                <w:color w:val="auto"/>
              </w:rPr>
            </w:pPr>
          </w:p>
        </w:tc>
        <w:tc>
          <w:tcPr>
            <w:tcW w:w="230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24"/>
                <w:szCs w:val="24"/>
                <w:color w:val="auto"/>
              </w:rPr>
            </w:pPr>
          </w:p>
        </w:tc>
      </w:tr>
      <w:tr>
        <w:trPr>
          <w:trHeight w:val="364"/>
        </w:trPr>
        <w:tc>
          <w:tcPr>
            <w:tcW w:w="73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 except per share amounts)</w:t>
            </w:r>
          </w:p>
        </w:tc>
        <w:tc>
          <w:tcPr>
            <w:tcW w:w="20" w:type="dxa"/>
            <w:vAlign w:val="bottom"/>
            <w:shd w:val="clear" w:color="auto" w:fill="004054"/>
          </w:tcPr>
          <w:p>
            <w:pPr>
              <w:spacing w:after="0"/>
              <w:rPr>
                <w:sz w:val="24"/>
                <w:szCs w:val="24"/>
                <w:color w:val="auto"/>
              </w:rPr>
            </w:pPr>
          </w:p>
        </w:tc>
        <w:tc>
          <w:tcPr>
            <w:tcW w:w="260" w:type="dxa"/>
            <w:vAlign w:val="bottom"/>
            <w:shd w:val="clear" w:color="auto" w:fill="004054"/>
          </w:tcPr>
          <w:p>
            <w:pPr>
              <w:spacing w:after="0"/>
              <w:rPr>
                <w:sz w:val="24"/>
                <w:szCs w:val="2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00" w:type="dxa"/>
            <w:vAlign w:val="bottom"/>
            <w:shd w:val="clear" w:color="auto" w:fill="004054"/>
          </w:tcPr>
          <w:p>
            <w:pPr>
              <w:spacing w:after="0"/>
              <w:rPr>
                <w:sz w:val="24"/>
                <w:szCs w:val="2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300" w:type="dxa"/>
            <w:vAlign w:val="bottom"/>
            <w:shd w:val="clear" w:color="auto" w:fill="004054"/>
          </w:tcPr>
          <w:p>
            <w:pPr>
              <w:spacing w:after="0"/>
              <w:rPr>
                <w:sz w:val="24"/>
                <w:szCs w:val="2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4"/>
                <w:szCs w:val="24"/>
                <w:color w:val="auto"/>
              </w:rPr>
            </w:pPr>
          </w:p>
        </w:tc>
      </w:tr>
      <w:tr>
        <w:trPr>
          <w:trHeight w:val="60"/>
        </w:trPr>
        <w:tc>
          <w:tcPr>
            <w:tcW w:w="7360" w:type="dxa"/>
            <w:vAlign w:val="bottom"/>
            <w:tcBorders>
              <w:bottom w:val="single" w:sz="8" w:color="EBFBFF"/>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c>
          <w:tcPr>
            <w:tcW w:w="260" w:type="dxa"/>
            <w:vAlign w:val="bottom"/>
            <w:tcBorders>
              <w:bottom w:val="single" w:sz="8" w:color="004054"/>
            </w:tcBorders>
            <w:shd w:val="clear" w:color="auto" w:fill="004054"/>
          </w:tcPr>
          <w:p>
            <w:pPr>
              <w:spacing w:after="0"/>
              <w:rPr>
                <w:sz w:val="5"/>
                <w:szCs w:val="5"/>
                <w:color w:val="auto"/>
              </w:rPr>
            </w:pPr>
          </w:p>
        </w:tc>
        <w:tc>
          <w:tcPr>
            <w:tcW w:w="1000" w:type="dxa"/>
            <w:vAlign w:val="bottom"/>
            <w:tcBorders>
              <w:bottom w:val="single" w:sz="8" w:color="004054"/>
            </w:tcBorders>
            <w:shd w:val="clear" w:color="auto" w:fill="004054"/>
          </w:tcPr>
          <w:p>
            <w:pPr>
              <w:spacing w:after="0"/>
              <w:rPr>
                <w:sz w:val="5"/>
                <w:szCs w:val="5"/>
                <w:color w:val="auto"/>
              </w:rPr>
            </w:pPr>
          </w:p>
        </w:tc>
        <w:tc>
          <w:tcPr>
            <w:tcW w:w="300" w:type="dxa"/>
            <w:vAlign w:val="bottom"/>
            <w:tcBorders>
              <w:bottom w:val="single" w:sz="8" w:color="004054"/>
            </w:tcBorders>
            <w:shd w:val="clear" w:color="auto" w:fill="004054"/>
          </w:tcPr>
          <w:p>
            <w:pPr>
              <w:spacing w:after="0"/>
              <w:rPr>
                <w:sz w:val="5"/>
                <w:szCs w:val="5"/>
                <w:color w:val="auto"/>
              </w:rPr>
            </w:pPr>
          </w:p>
        </w:tc>
        <w:tc>
          <w:tcPr>
            <w:tcW w:w="1000" w:type="dxa"/>
            <w:vAlign w:val="bottom"/>
            <w:tcBorders>
              <w:bottom w:val="single" w:sz="8" w:color="004054"/>
            </w:tcBorders>
            <w:shd w:val="clear" w:color="auto" w:fill="004054"/>
          </w:tcPr>
          <w:p>
            <w:pPr>
              <w:spacing w:after="0"/>
              <w:rPr>
                <w:sz w:val="5"/>
                <w:szCs w:val="5"/>
                <w:color w:val="auto"/>
              </w:rPr>
            </w:pPr>
          </w:p>
        </w:tc>
        <w:tc>
          <w:tcPr>
            <w:tcW w:w="300" w:type="dxa"/>
            <w:vAlign w:val="bottom"/>
            <w:tcBorders>
              <w:bottom w:val="single" w:sz="8" w:color="004054"/>
            </w:tcBorders>
            <w:shd w:val="clear" w:color="auto" w:fill="004054"/>
          </w:tcPr>
          <w:p>
            <w:pPr>
              <w:spacing w:after="0"/>
              <w:rPr>
                <w:sz w:val="5"/>
                <w:szCs w:val="5"/>
                <w:color w:val="auto"/>
              </w:rPr>
            </w:pPr>
          </w:p>
        </w:tc>
        <w:tc>
          <w:tcPr>
            <w:tcW w:w="100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r>
      <w:tr>
        <w:trPr>
          <w:trHeight w:val="203"/>
        </w:trPr>
        <w:tc>
          <w:tcPr>
            <w:tcW w:w="736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Revenue</w:t>
            </w:r>
          </w:p>
        </w:tc>
        <w:tc>
          <w:tcPr>
            <w:tcW w:w="20" w:type="dxa"/>
            <w:vAlign w:val="bottom"/>
            <w:tcBorders>
              <w:bottom w:val="single" w:sz="8" w:color="EBFBFF"/>
            </w:tcBorders>
            <w:shd w:val="clear" w:color="auto" w:fill="EBFBFF"/>
          </w:tcPr>
          <w:p>
            <w:pPr>
              <w:spacing w:after="0"/>
              <w:rPr>
                <w:sz w:val="17"/>
                <w:szCs w:val="17"/>
                <w:color w:val="auto"/>
              </w:rPr>
            </w:pPr>
          </w:p>
        </w:tc>
        <w:tc>
          <w:tcPr>
            <w:tcW w:w="260" w:type="dxa"/>
            <w:vAlign w:val="bottom"/>
            <w:tcBorders>
              <w:bottom w:val="single" w:sz="8" w:color="EBFBFF"/>
            </w:tcBorders>
            <w:shd w:val="clear" w:color="auto" w:fill="EBFBFF"/>
          </w:tcPr>
          <w:p>
            <w:pPr>
              <w:spacing w:after="0"/>
              <w:rPr>
                <w:sz w:val="17"/>
                <w:szCs w:val="17"/>
                <w:color w:val="auto"/>
              </w:rPr>
            </w:pPr>
          </w:p>
        </w:tc>
        <w:tc>
          <w:tcPr>
            <w:tcW w:w="1000" w:type="dxa"/>
            <w:vAlign w:val="bottom"/>
            <w:tcBorders>
              <w:bottom w:val="single" w:sz="8" w:color="EBFBFF"/>
            </w:tcBorders>
            <w:shd w:val="clear" w:color="auto" w:fill="EBFBFF"/>
          </w:tcPr>
          <w:p>
            <w:pPr>
              <w:spacing w:after="0"/>
              <w:rPr>
                <w:sz w:val="17"/>
                <w:szCs w:val="17"/>
                <w:color w:val="auto"/>
              </w:rPr>
            </w:pPr>
          </w:p>
        </w:tc>
        <w:tc>
          <w:tcPr>
            <w:tcW w:w="300" w:type="dxa"/>
            <w:vAlign w:val="bottom"/>
            <w:tcBorders>
              <w:bottom w:val="single" w:sz="8" w:color="EBFBFF"/>
            </w:tcBorders>
            <w:shd w:val="clear" w:color="auto" w:fill="EBFBFF"/>
          </w:tcPr>
          <w:p>
            <w:pPr>
              <w:spacing w:after="0"/>
              <w:rPr>
                <w:sz w:val="17"/>
                <w:szCs w:val="17"/>
                <w:color w:val="auto"/>
              </w:rPr>
            </w:pPr>
          </w:p>
        </w:tc>
        <w:tc>
          <w:tcPr>
            <w:tcW w:w="1000" w:type="dxa"/>
            <w:vAlign w:val="bottom"/>
            <w:tcBorders>
              <w:bottom w:val="single" w:sz="8" w:color="EBFBFF"/>
            </w:tcBorders>
            <w:shd w:val="clear" w:color="auto" w:fill="EBFBFF"/>
          </w:tcPr>
          <w:p>
            <w:pPr>
              <w:spacing w:after="0"/>
              <w:rPr>
                <w:sz w:val="17"/>
                <w:szCs w:val="17"/>
                <w:color w:val="auto"/>
              </w:rPr>
            </w:pPr>
          </w:p>
        </w:tc>
        <w:tc>
          <w:tcPr>
            <w:tcW w:w="300" w:type="dxa"/>
            <w:vAlign w:val="bottom"/>
            <w:tcBorders>
              <w:bottom w:val="single" w:sz="8" w:color="EBFBFF"/>
            </w:tcBorders>
            <w:shd w:val="clear" w:color="auto" w:fill="EBFBFF"/>
          </w:tcPr>
          <w:p>
            <w:pPr>
              <w:spacing w:after="0"/>
              <w:rPr>
                <w:sz w:val="17"/>
                <w:szCs w:val="17"/>
                <w:color w:val="auto"/>
              </w:rPr>
            </w:pPr>
          </w:p>
        </w:tc>
        <w:tc>
          <w:tcPr>
            <w:tcW w:w="10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7380" w:type="dxa"/>
            <w:vAlign w:val="bottom"/>
            <w:gridSpan w:val="2"/>
          </w:tcPr>
          <w:p>
            <w:pPr>
              <w:ind w:left="240"/>
              <w:spacing w:after="0"/>
              <w:rPr>
                <w:sz w:val="20"/>
                <w:szCs w:val="20"/>
                <w:color w:val="auto"/>
              </w:rPr>
            </w:pPr>
            <w:r>
              <w:rPr>
                <w:rFonts w:ascii="Calibri" w:cs="Calibri" w:eastAsia="Calibri" w:hAnsi="Calibri"/>
                <w:sz w:val="16"/>
                <w:szCs w:val="16"/>
                <w:color w:val="51555C"/>
              </w:rPr>
              <w:t>Recurring</w:t>
            </w:r>
          </w:p>
        </w:tc>
        <w:tc>
          <w:tcPr>
            <w:tcW w:w="260" w:type="dxa"/>
            <w:vAlign w:val="bottom"/>
          </w:tcPr>
          <w:p>
            <w:pPr>
              <w:jc w:val="right"/>
              <w:ind w:right="99"/>
              <w:spacing w:after="0"/>
              <w:rPr>
                <w:sz w:val="20"/>
                <w:szCs w:val="20"/>
                <w:color w:val="auto"/>
              </w:rPr>
            </w:pPr>
            <w:r>
              <w:rPr>
                <w:rFonts w:ascii="Calibri" w:cs="Calibri" w:eastAsia="Calibri" w:hAnsi="Calibri"/>
                <w:sz w:val="16"/>
                <w:szCs w:val="16"/>
                <w:color w:val="51555C"/>
                <w:w w:val="73"/>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1,071,520</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1,011,733</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880,850</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80" w:type="dxa"/>
            <w:vAlign w:val="bottom"/>
            <w:tcBorders>
              <w:bottom w:val="single" w:sz="8" w:color="EBFBFF"/>
            </w:tcBorders>
            <w:gridSpan w:val="2"/>
            <w:shd w:val="clear" w:color="auto" w:fill="EBFBFF"/>
          </w:tcPr>
          <w:p>
            <w:pPr>
              <w:ind w:left="240"/>
              <w:spacing w:after="0"/>
              <w:rPr>
                <w:sz w:val="20"/>
                <w:szCs w:val="20"/>
                <w:color w:val="auto"/>
              </w:rPr>
            </w:pPr>
            <w:r>
              <w:rPr>
                <w:rFonts w:ascii="Calibri" w:cs="Calibri" w:eastAsia="Calibri" w:hAnsi="Calibri"/>
                <w:sz w:val="16"/>
                <w:szCs w:val="16"/>
                <w:color w:val="51555C"/>
              </w:rPr>
              <w:t>One-tme services and other</w:t>
            </w:r>
          </w:p>
        </w:tc>
        <w:tc>
          <w:tcPr>
            <w:tcW w:w="2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33,912</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46,372</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46,890</w:t>
            </w:r>
          </w:p>
        </w:tc>
        <w:tc>
          <w:tcPr>
            <w:tcW w:w="20" w:type="dxa"/>
            <w:vAlign w:val="bottom"/>
          </w:tcPr>
          <w:p>
            <w:pPr>
              <w:spacing w:after="0"/>
              <w:rPr>
                <w:sz w:val="21"/>
                <w:szCs w:val="21"/>
                <w:color w:val="auto"/>
              </w:rPr>
            </w:pPr>
          </w:p>
        </w:tc>
      </w:tr>
      <w:tr>
        <w:trPr>
          <w:trHeight w:val="196"/>
        </w:trPr>
        <w:tc>
          <w:tcPr>
            <w:tcW w:w="7380" w:type="dxa"/>
            <w:vAlign w:val="bottom"/>
            <w:gridSpan w:val="2"/>
          </w:tcPr>
          <w:p>
            <w:pPr>
              <w:ind w:left="460"/>
              <w:spacing w:after="0" w:line="182" w:lineRule="exact"/>
              <w:rPr>
                <w:sz w:val="20"/>
                <w:szCs w:val="20"/>
                <w:color w:val="auto"/>
              </w:rPr>
            </w:pPr>
            <w:r>
              <w:rPr>
                <w:rFonts w:ascii="Calibri" w:cs="Calibri" w:eastAsia="Calibri" w:hAnsi="Calibri"/>
                <w:sz w:val="16"/>
                <w:szCs w:val="16"/>
                <w:b w:val="1"/>
                <w:bCs w:val="1"/>
                <w:color w:val="51555C"/>
              </w:rPr>
              <w:t>Total revenue</w:t>
            </w:r>
          </w:p>
        </w:tc>
        <w:tc>
          <w:tcPr>
            <w:tcW w:w="26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1,105,432</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1,058,105</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927,740</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80" w:type="dxa"/>
            <w:vAlign w:val="bottom"/>
            <w:tcBorders>
              <w:bottom w:val="single" w:sz="8" w:color="EBFBFF"/>
            </w:tcBorders>
            <w:gridSpan w:val="2"/>
            <w:shd w:val="clear" w:color="auto" w:fill="EBFBFF"/>
          </w:tcPr>
          <w:p>
            <w:pPr>
              <w:ind w:left="20"/>
              <w:spacing w:after="0"/>
              <w:rPr>
                <w:sz w:val="20"/>
                <w:szCs w:val="20"/>
                <w:color w:val="auto"/>
              </w:rPr>
            </w:pPr>
            <w:r>
              <w:rPr>
                <w:rFonts w:ascii="Calibri" w:cs="Calibri" w:eastAsia="Calibri" w:hAnsi="Calibri"/>
                <w:sz w:val="16"/>
                <w:szCs w:val="16"/>
                <w:b w:val="1"/>
                <w:bCs w:val="1"/>
                <w:color w:val="51555C"/>
              </w:rPr>
              <w:t>Cost of revenue</w:t>
            </w:r>
          </w:p>
        </w:tc>
        <w:tc>
          <w:tcPr>
            <w:tcW w:w="26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7380" w:type="dxa"/>
            <w:vAlign w:val="bottom"/>
            <w:gridSpan w:val="2"/>
          </w:tcPr>
          <w:p>
            <w:pPr>
              <w:ind w:left="240"/>
              <w:spacing w:after="0"/>
              <w:rPr>
                <w:sz w:val="20"/>
                <w:szCs w:val="20"/>
                <w:color w:val="auto"/>
              </w:rPr>
            </w:pPr>
            <w:r>
              <w:rPr>
                <w:rFonts w:ascii="Calibri" w:cs="Calibri" w:eastAsia="Calibri" w:hAnsi="Calibri"/>
                <w:sz w:val="16"/>
                <w:szCs w:val="16"/>
                <w:color w:val="51555C"/>
              </w:rPr>
              <w:t>Cost of recurring</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470,455</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463,449</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390,803</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80" w:type="dxa"/>
            <w:vAlign w:val="bottom"/>
            <w:tcBorders>
              <w:bottom w:val="single" w:sz="8" w:color="EBFBFF"/>
            </w:tcBorders>
            <w:gridSpan w:val="2"/>
            <w:shd w:val="clear" w:color="auto" w:fill="EBFBFF"/>
          </w:tcPr>
          <w:p>
            <w:pPr>
              <w:ind w:left="240"/>
              <w:spacing w:after="0"/>
              <w:rPr>
                <w:sz w:val="20"/>
                <w:szCs w:val="20"/>
                <w:color w:val="auto"/>
              </w:rPr>
            </w:pPr>
            <w:r>
              <w:rPr>
                <w:rFonts w:ascii="Calibri" w:cs="Calibri" w:eastAsia="Calibri" w:hAnsi="Calibri"/>
                <w:sz w:val="16"/>
                <w:szCs w:val="16"/>
                <w:color w:val="51555C"/>
              </w:rPr>
              <w:t>Cost of one-tme services and other</w:t>
            </w:r>
          </w:p>
        </w:tc>
        <w:tc>
          <w:tcPr>
            <w:tcW w:w="2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31,733</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41,940</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52,392</w:t>
            </w:r>
          </w:p>
        </w:tc>
        <w:tc>
          <w:tcPr>
            <w:tcW w:w="20" w:type="dxa"/>
            <w:vAlign w:val="bottom"/>
          </w:tcPr>
          <w:p>
            <w:pPr>
              <w:spacing w:after="0"/>
              <w:rPr>
                <w:sz w:val="21"/>
                <w:szCs w:val="21"/>
                <w:color w:val="auto"/>
              </w:rPr>
            </w:pPr>
          </w:p>
        </w:tc>
      </w:tr>
      <w:tr>
        <w:trPr>
          <w:trHeight w:val="195"/>
        </w:trPr>
        <w:tc>
          <w:tcPr>
            <w:tcW w:w="7380" w:type="dxa"/>
            <w:vAlign w:val="bottom"/>
            <w:gridSpan w:val="2"/>
          </w:tcPr>
          <w:p>
            <w:pPr>
              <w:ind w:left="460"/>
              <w:spacing w:after="0" w:line="182" w:lineRule="exact"/>
              <w:rPr>
                <w:sz w:val="20"/>
                <w:szCs w:val="20"/>
                <w:color w:val="auto"/>
              </w:rPr>
            </w:pPr>
            <w:r>
              <w:rPr>
                <w:rFonts w:ascii="Calibri" w:cs="Calibri" w:eastAsia="Calibri" w:hAnsi="Calibri"/>
                <w:sz w:val="16"/>
                <w:szCs w:val="16"/>
                <w:b w:val="1"/>
                <w:bCs w:val="1"/>
                <w:color w:val="51555C"/>
              </w:rPr>
              <w:t>Total cost of revenue</w:t>
            </w:r>
          </w:p>
        </w:tc>
        <w:tc>
          <w:tcPr>
            <w:tcW w:w="26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502,188</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505,389</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443,195</w:t>
            </w:r>
          </w:p>
        </w:tc>
        <w:tc>
          <w:tcPr>
            <w:tcW w:w="20" w:type="dxa"/>
            <w:vAlign w:val="bottom"/>
          </w:tcPr>
          <w:p>
            <w:pPr>
              <w:spacing w:after="0"/>
              <w:rPr>
                <w:sz w:val="17"/>
                <w:szCs w:val="17"/>
                <w:color w:val="auto"/>
              </w:rPr>
            </w:pPr>
          </w:p>
        </w:tc>
      </w:tr>
      <w:tr>
        <w:trPr>
          <w:trHeight w:val="41"/>
        </w:trPr>
        <w:tc>
          <w:tcPr>
            <w:tcW w:w="7360" w:type="dxa"/>
            <w:vAlign w:val="bottom"/>
            <w:tcBorders>
              <w:bottom w:val="single" w:sz="8" w:color="EBFBFF"/>
            </w:tcBorders>
          </w:tcPr>
          <w:p>
            <w:pPr>
              <w:spacing w:after="0"/>
              <w:rPr>
                <w:sz w:val="3"/>
                <w:szCs w:val="3"/>
                <w:color w:val="auto"/>
              </w:rPr>
            </w:pPr>
          </w:p>
        </w:tc>
        <w:tc>
          <w:tcPr>
            <w:tcW w:w="20" w:type="dxa"/>
            <w:vAlign w:val="bottom"/>
            <w:tcBorders>
              <w:bottom w:val="single" w:sz="8" w:color="EBFBFF"/>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36"/>
        </w:trPr>
        <w:tc>
          <w:tcPr>
            <w:tcW w:w="7380" w:type="dxa"/>
            <w:vAlign w:val="bottom"/>
            <w:tcBorders>
              <w:bottom w:val="single" w:sz="8" w:color="EBFBFF"/>
            </w:tcBorders>
            <w:gridSpan w:val="2"/>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Gross proft</w:t>
            </w:r>
          </w:p>
        </w:tc>
        <w:tc>
          <w:tcPr>
            <w:tcW w:w="26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603,244</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552,716</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484,545</w:t>
            </w:r>
          </w:p>
        </w:tc>
        <w:tc>
          <w:tcPr>
            <w:tcW w:w="20" w:type="dxa"/>
            <w:vAlign w:val="bottom"/>
          </w:tcPr>
          <w:p>
            <w:pPr>
              <w:spacing w:after="0"/>
              <w:rPr>
                <w:sz w:val="20"/>
                <w:szCs w:val="20"/>
                <w:color w:val="auto"/>
              </w:rPr>
            </w:pPr>
          </w:p>
        </w:tc>
      </w:tr>
      <w:tr>
        <w:trPr>
          <w:trHeight w:val="182"/>
        </w:trPr>
        <w:tc>
          <w:tcPr>
            <w:tcW w:w="7380" w:type="dxa"/>
            <w:vAlign w:val="bottom"/>
            <w:gridSpan w:val="2"/>
          </w:tcPr>
          <w:p>
            <w:pPr>
              <w:ind w:left="20"/>
              <w:spacing w:after="0" w:line="182" w:lineRule="exact"/>
              <w:rPr>
                <w:sz w:val="20"/>
                <w:szCs w:val="20"/>
                <w:color w:val="auto"/>
              </w:rPr>
            </w:pPr>
            <w:r>
              <w:rPr>
                <w:rFonts w:ascii="Calibri" w:cs="Calibri" w:eastAsia="Calibri" w:hAnsi="Calibri"/>
                <w:sz w:val="16"/>
                <w:szCs w:val="16"/>
                <w:b w:val="1"/>
                <w:bCs w:val="1"/>
                <w:color w:val="51555C"/>
              </w:rPr>
              <w:t>Operatng expenses</w:t>
            </w:r>
          </w:p>
        </w:tc>
        <w:tc>
          <w:tcPr>
            <w:tcW w:w="260" w:type="dxa"/>
            <w:vAlign w:val="bottom"/>
            <w:tcBorders>
              <w:top w:val="single" w:sz="8" w:color="51555C"/>
            </w:tcBorders>
          </w:tcPr>
          <w:p>
            <w:pPr>
              <w:spacing w:after="0"/>
              <w:rPr>
                <w:sz w:val="15"/>
                <w:szCs w:val="15"/>
                <w:color w:val="auto"/>
              </w:rPr>
            </w:pPr>
          </w:p>
        </w:tc>
        <w:tc>
          <w:tcPr>
            <w:tcW w:w="1000" w:type="dxa"/>
            <w:vAlign w:val="bottom"/>
            <w:tcBorders>
              <w:top w:val="single" w:sz="8" w:color="51555C"/>
            </w:tcBorders>
          </w:tcPr>
          <w:p>
            <w:pPr>
              <w:spacing w:after="0"/>
              <w:rPr>
                <w:sz w:val="15"/>
                <w:szCs w:val="15"/>
                <w:color w:val="auto"/>
              </w:rPr>
            </w:pPr>
          </w:p>
        </w:tc>
        <w:tc>
          <w:tcPr>
            <w:tcW w:w="300" w:type="dxa"/>
            <w:vAlign w:val="bottom"/>
            <w:tcBorders>
              <w:top w:val="single" w:sz="8" w:color="51555C"/>
            </w:tcBorders>
          </w:tcPr>
          <w:p>
            <w:pPr>
              <w:spacing w:after="0"/>
              <w:rPr>
                <w:sz w:val="15"/>
                <w:szCs w:val="15"/>
                <w:color w:val="auto"/>
              </w:rPr>
            </w:pPr>
          </w:p>
        </w:tc>
        <w:tc>
          <w:tcPr>
            <w:tcW w:w="1000" w:type="dxa"/>
            <w:vAlign w:val="bottom"/>
            <w:tcBorders>
              <w:top w:val="single" w:sz="8" w:color="51555C"/>
            </w:tcBorders>
          </w:tcPr>
          <w:p>
            <w:pPr>
              <w:spacing w:after="0"/>
              <w:rPr>
                <w:sz w:val="15"/>
                <w:szCs w:val="15"/>
                <w:color w:val="auto"/>
              </w:rPr>
            </w:pPr>
          </w:p>
        </w:tc>
        <w:tc>
          <w:tcPr>
            <w:tcW w:w="300" w:type="dxa"/>
            <w:vAlign w:val="bottom"/>
            <w:tcBorders>
              <w:top w:val="single" w:sz="8" w:color="51555C"/>
            </w:tcBorders>
          </w:tcPr>
          <w:p>
            <w:pPr>
              <w:spacing w:after="0"/>
              <w:rPr>
                <w:sz w:val="15"/>
                <w:szCs w:val="15"/>
                <w:color w:val="auto"/>
              </w:rPr>
            </w:pPr>
          </w:p>
        </w:tc>
        <w:tc>
          <w:tcPr>
            <w:tcW w:w="1000" w:type="dxa"/>
            <w:vAlign w:val="bottom"/>
            <w:tcBorders>
              <w:top w:val="single" w:sz="8" w:color="51555C"/>
            </w:tcBorders>
          </w:tcPr>
          <w:p>
            <w:pPr>
              <w:spacing w:after="0"/>
              <w:rPr>
                <w:sz w:val="15"/>
                <w:szCs w:val="15"/>
                <w:color w:val="auto"/>
              </w:rPr>
            </w:pPr>
          </w:p>
        </w:tc>
        <w:tc>
          <w:tcPr>
            <w:tcW w:w="20" w:type="dxa"/>
            <w:vAlign w:val="bottom"/>
          </w:tcPr>
          <w:p>
            <w:pPr>
              <w:spacing w:after="0"/>
              <w:rPr>
                <w:sz w:val="15"/>
                <w:szCs w:val="15"/>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80" w:type="dxa"/>
            <w:vAlign w:val="bottom"/>
            <w:tcBorders>
              <w:bottom w:val="single" w:sz="8" w:color="EBFBFF"/>
            </w:tcBorders>
            <w:gridSpan w:val="2"/>
            <w:shd w:val="clear" w:color="auto" w:fill="EBFBFF"/>
          </w:tcPr>
          <w:p>
            <w:pPr>
              <w:ind w:left="240"/>
              <w:spacing w:after="0"/>
              <w:rPr>
                <w:sz w:val="20"/>
                <w:szCs w:val="20"/>
                <w:color w:val="auto"/>
              </w:rPr>
            </w:pPr>
            <w:r>
              <w:rPr>
                <w:rFonts w:ascii="Calibri" w:cs="Calibri" w:eastAsia="Calibri" w:hAnsi="Calibri"/>
                <w:sz w:val="16"/>
                <w:szCs w:val="16"/>
                <w:color w:val="51555C"/>
              </w:rPr>
              <w:t>Sales, marketng and customer success</w:t>
            </w:r>
          </w:p>
        </w:tc>
        <w:tc>
          <w:tcPr>
            <w:tcW w:w="26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212,158</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221,455</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186,314</w:t>
            </w:r>
          </w:p>
        </w:tc>
        <w:tc>
          <w:tcPr>
            <w:tcW w:w="20" w:type="dxa"/>
            <w:vAlign w:val="bottom"/>
          </w:tcPr>
          <w:p>
            <w:pPr>
              <w:spacing w:after="0"/>
              <w:rPr>
                <w:sz w:val="19"/>
                <w:szCs w:val="19"/>
                <w:color w:val="auto"/>
              </w:rPr>
            </w:pPr>
          </w:p>
        </w:tc>
      </w:tr>
      <w:tr>
        <w:trPr>
          <w:trHeight w:val="202"/>
        </w:trPr>
        <w:tc>
          <w:tcPr>
            <w:tcW w:w="7380" w:type="dxa"/>
            <w:vAlign w:val="bottom"/>
            <w:gridSpan w:val="2"/>
          </w:tcPr>
          <w:p>
            <w:pPr>
              <w:ind w:left="240"/>
              <w:spacing w:after="0"/>
              <w:rPr>
                <w:sz w:val="20"/>
                <w:szCs w:val="20"/>
                <w:color w:val="auto"/>
              </w:rPr>
            </w:pPr>
            <w:r>
              <w:rPr>
                <w:rFonts w:ascii="Calibri" w:cs="Calibri" w:eastAsia="Calibri" w:hAnsi="Calibri"/>
                <w:sz w:val="16"/>
                <w:szCs w:val="16"/>
                <w:color w:val="51555C"/>
              </w:rPr>
              <w:t>Research and development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153,304</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156,913</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124,573</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80" w:type="dxa"/>
            <w:vAlign w:val="bottom"/>
            <w:tcBorders>
              <w:bottom w:val="single" w:sz="8" w:color="EBFBFF"/>
            </w:tcBorders>
            <w:gridSpan w:val="2"/>
            <w:shd w:val="clear" w:color="auto" w:fill="EBFBFF"/>
          </w:tcPr>
          <w:p>
            <w:pPr>
              <w:ind w:left="240"/>
              <w:spacing w:after="0"/>
              <w:rPr>
                <w:sz w:val="20"/>
                <w:szCs w:val="20"/>
                <w:color w:val="auto"/>
              </w:rPr>
            </w:pPr>
            <w:r>
              <w:rPr>
                <w:rFonts w:ascii="Calibri" w:cs="Calibri" w:eastAsia="Calibri" w:hAnsi="Calibri"/>
                <w:sz w:val="16"/>
                <w:szCs w:val="16"/>
                <w:color w:val="51555C"/>
              </w:rPr>
              <w:t>General and administratve</w:t>
            </w:r>
          </w:p>
        </w:tc>
        <w:tc>
          <w:tcPr>
            <w:tcW w:w="26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189,938</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199,908</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146,262</w:t>
            </w:r>
          </w:p>
        </w:tc>
        <w:tc>
          <w:tcPr>
            <w:tcW w:w="20" w:type="dxa"/>
            <w:vAlign w:val="bottom"/>
          </w:tcPr>
          <w:p>
            <w:pPr>
              <w:spacing w:after="0"/>
              <w:rPr>
                <w:sz w:val="19"/>
                <w:szCs w:val="19"/>
                <w:color w:val="auto"/>
              </w:rPr>
            </w:pPr>
          </w:p>
        </w:tc>
      </w:tr>
      <w:tr>
        <w:trPr>
          <w:trHeight w:val="202"/>
        </w:trPr>
        <w:tc>
          <w:tcPr>
            <w:tcW w:w="7380" w:type="dxa"/>
            <w:vAlign w:val="bottom"/>
            <w:gridSpan w:val="2"/>
          </w:tcPr>
          <w:p>
            <w:pPr>
              <w:ind w:left="240"/>
              <w:spacing w:after="0"/>
              <w:rPr>
                <w:sz w:val="20"/>
                <w:szCs w:val="20"/>
                <w:color w:val="auto"/>
              </w:rPr>
            </w:pPr>
            <w:r>
              <w:rPr>
                <w:rFonts w:ascii="Calibri" w:cs="Calibri" w:eastAsia="Calibri" w:hAnsi="Calibri"/>
                <w:sz w:val="16"/>
                <w:szCs w:val="16"/>
                <w:color w:val="51555C"/>
              </w:rPr>
              <w:t>Amortzaton</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3,139</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2,925</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2,227</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80" w:type="dxa"/>
            <w:vAlign w:val="bottom"/>
            <w:tcBorders>
              <w:bottom w:val="single" w:sz="8" w:color="EBFBFF"/>
            </w:tcBorders>
            <w:gridSpan w:val="2"/>
            <w:shd w:val="clear" w:color="auto" w:fill="EBFBFF"/>
          </w:tcPr>
          <w:p>
            <w:pPr>
              <w:ind w:left="240"/>
              <w:spacing w:after="0"/>
              <w:rPr>
                <w:sz w:val="20"/>
                <w:szCs w:val="20"/>
                <w:color w:val="auto"/>
              </w:rPr>
            </w:pPr>
            <w:r>
              <w:rPr>
                <w:rFonts w:ascii="Calibri" w:cs="Calibri" w:eastAsia="Calibri" w:hAnsi="Calibri"/>
                <w:sz w:val="16"/>
                <w:szCs w:val="16"/>
                <w:color w:val="51555C"/>
              </w:rPr>
              <w:t>Restructuring</w:t>
            </w:r>
          </w:p>
        </w:tc>
        <w:tc>
          <w:tcPr>
            <w:tcW w:w="2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263</w:t>
            </w:r>
          </w:p>
        </w:tc>
        <w:tc>
          <w:tcPr>
            <w:tcW w:w="20" w:type="dxa"/>
            <w:vAlign w:val="bottom"/>
          </w:tcPr>
          <w:p>
            <w:pPr>
              <w:spacing w:after="0"/>
              <w:rPr>
                <w:sz w:val="21"/>
                <w:szCs w:val="21"/>
                <w:color w:val="auto"/>
              </w:rPr>
            </w:pPr>
          </w:p>
        </w:tc>
      </w:tr>
      <w:tr>
        <w:trPr>
          <w:trHeight w:val="195"/>
        </w:trPr>
        <w:tc>
          <w:tcPr>
            <w:tcW w:w="7380" w:type="dxa"/>
            <w:vAlign w:val="bottom"/>
            <w:gridSpan w:val="2"/>
          </w:tcPr>
          <w:p>
            <w:pPr>
              <w:ind w:left="460"/>
              <w:spacing w:after="0" w:line="182" w:lineRule="exact"/>
              <w:rPr>
                <w:sz w:val="20"/>
                <w:szCs w:val="20"/>
                <w:color w:val="auto"/>
              </w:rPr>
            </w:pPr>
            <w:r>
              <w:rPr>
                <w:rFonts w:ascii="Calibri" w:cs="Calibri" w:eastAsia="Calibri" w:hAnsi="Calibri"/>
                <w:sz w:val="16"/>
                <w:szCs w:val="16"/>
                <w:b w:val="1"/>
                <w:bCs w:val="1"/>
                <w:color w:val="51555C"/>
              </w:rPr>
              <w:t>Total operatng expenses</w:t>
            </w:r>
          </w:p>
        </w:tc>
        <w:tc>
          <w:tcPr>
            <w:tcW w:w="26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558,539</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581,201</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459,639</w:t>
            </w:r>
          </w:p>
        </w:tc>
        <w:tc>
          <w:tcPr>
            <w:tcW w:w="20" w:type="dxa"/>
            <w:vAlign w:val="bottom"/>
          </w:tcPr>
          <w:p>
            <w:pPr>
              <w:spacing w:after="0"/>
              <w:rPr>
                <w:sz w:val="17"/>
                <w:szCs w:val="17"/>
                <w:color w:val="auto"/>
              </w:rPr>
            </w:pPr>
          </w:p>
        </w:tc>
      </w:tr>
      <w:tr>
        <w:trPr>
          <w:trHeight w:val="41"/>
        </w:trPr>
        <w:tc>
          <w:tcPr>
            <w:tcW w:w="7360" w:type="dxa"/>
            <w:vAlign w:val="bottom"/>
            <w:tcBorders>
              <w:bottom w:val="single" w:sz="8" w:color="EBFBFF"/>
            </w:tcBorders>
          </w:tcPr>
          <w:p>
            <w:pPr>
              <w:spacing w:after="0"/>
              <w:rPr>
                <w:sz w:val="3"/>
                <w:szCs w:val="3"/>
                <w:color w:val="auto"/>
              </w:rPr>
            </w:pPr>
          </w:p>
        </w:tc>
        <w:tc>
          <w:tcPr>
            <w:tcW w:w="20" w:type="dxa"/>
            <w:vAlign w:val="bottom"/>
            <w:tcBorders>
              <w:bottom w:val="single" w:sz="8" w:color="EBFBFF"/>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36"/>
        </w:trPr>
        <w:tc>
          <w:tcPr>
            <w:tcW w:w="7380" w:type="dxa"/>
            <w:vAlign w:val="bottom"/>
            <w:tcBorders>
              <w:bottom w:val="single" w:sz="8" w:color="EBFBFF"/>
            </w:tcBorders>
            <w:gridSpan w:val="2"/>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Income (loss) from operatons</w:t>
            </w:r>
          </w:p>
        </w:tc>
        <w:tc>
          <w:tcPr>
            <w:tcW w:w="26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44,705</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(28,485)</w:t>
            </w:r>
          </w:p>
        </w:tc>
        <w:tc>
          <w:tcPr>
            <w:tcW w:w="300" w:type="dxa"/>
            <w:vAlign w:val="bottom"/>
            <w:tcBorders>
              <w:bottom w:val="single" w:sz="8" w:color="EBFBFF"/>
            </w:tcBorders>
            <w:shd w:val="clear" w:color="auto" w:fill="EBFBFF"/>
          </w:tcPr>
          <w:p>
            <w:pPr>
              <w:spacing w:after="0"/>
              <w:rPr>
                <w:sz w:val="20"/>
                <w:szCs w:val="20"/>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24,906</w:t>
            </w:r>
          </w:p>
        </w:tc>
        <w:tc>
          <w:tcPr>
            <w:tcW w:w="20" w:type="dxa"/>
            <w:vAlign w:val="bottom"/>
          </w:tcPr>
          <w:p>
            <w:pPr>
              <w:spacing w:after="0"/>
              <w:rPr>
                <w:sz w:val="20"/>
                <w:szCs w:val="20"/>
                <w:color w:val="auto"/>
              </w:rPr>
            </w:pPr>
          </w:p>
        </w:tc>
      </w:tr>
      <w:tr>
        <w:trPr>
          <w:trHeight w:val="196"/>
        </w:trPr>
        <w:tc>
          <w:tcPr>
            <w:tcW w:w="7380" w:type="dxa"/>
            <w:vAlign w:val="bottom"/>
            <w:gridSpan w:val="2"/>
          </w:tcPr>
          <w:p>
            <w:pPr>
              <w:ind w:left="240"/>
              <w:spacing w:after="0" w:line="182" w:lineRule="exact"/>
              <w:rPr>
                <w:sz w:val="20"/>
                <w:szCs w:val="20"/>
                <w:color w:val="auto"/>
              </w:rPr>
            </w:pPr>
            <w:r>
              <w:rPr>
                <w:rFonts w:ascii="Calibri" w:cs="Calibri" w:eastAsia="Calibri" w:hAnsi="Calibri"/>
                <w:sz w:val="16"/>
                <w:szCs w:val="16"/>
                <w:color w:val="51555C"/>
              </w:rPr>
              <w:t>Interest expense</w:t>
            </w:r>
          </w:p>
        </w:tc>
        <w:tc>
          <w:tcPr>
            <w:tcW w:w="26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(39,922)</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(35,803)</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(18,003)</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80" w:type="dxa"/>
            <w:vAlign w:val="bottom"/>
            <w:tcBorders>
              <w:bottom w:val="single" w:sz="8" w:color="EBFBFF"/>
            </w:tcBorders>
            <w:gridSpan w:val="2"/>
            <w:shd w:val="clear" w:color="auto" w:fill="EBFBFF"/>
          </w:tcPr>
          <w:p>
            <w:pPr>
              <w:ind w:left="240"/>
              <w:spacing w:after="0"/>
              <w:rPr>
                <w:sz w:val="20"/>
                <w:szCs w:val="20"/>
                <w:color w:val="auto"/>
              </w:rPr>
            </w:pPr>
            <w:r>
              <w:rPr>
                <w:rFonts w:ascii="Calibri" w:cs="Calibri" w:eastAsia="Calibri" w:hAnsi="Calibri"/>
                <w:sz w:val="16"/>
                <w:szCs w:val="16"/>
                <w:color w:val="51555C"/>
              </w:rPr>
              <w:t>Other income, net</w:t>
            </w:r>
          </w:p>
        </w:tc>
        <w:tc>
          <w:tcPr>
            <w:tcW w:w="2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12,861</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8,713</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180</w:t>
            </w:r>
          </w:p>
        </w:tc>
        <w:tc>
          <w:tcPr>
            <w:tcW w:w="20" w:type="dxa"/>
            <w:vAlign w:val="bottom"/>
          </w:tcPr>
          <w:p>
            <w:pPr>
              <w:spacing w:after="0"/>
              <w:rPr>
                <w:sz w:val="21"/>
                <w:szCs w:val="21"/>
                <w:color w:val="auto"/>
              </w:rPr>
            </w:pPr>
          </w:p>
        </w:tc>
      </w:tr>
      <w:tr>
        <w:trPr>
          <w:trHeight w:val="195"/>
        </w:trPr>
        <w:tc>
          <w:tcPr>
            <w:tcW w:w="7380" w:type="dxa"/>
            <w:vAlign w:val="bottom"/>
            <w:gridSpan w:val="2"/>
          </w:tcPr>
          <w:p>
            <w:pPr>
              <w:ind w:left="20"/>
              <w:spacing w:after="0" w:line="182" w:lineRule="exact"/>
              <w:rPr>
                <w:sz w:val="20"/>
                <w:szCs w:val="20"/>
                <w:color w:val="auto"/>
              </w:rPr>
            </w:pPr>
            <w:r>
              <w:rPr>
                <w:rFonts w:ascii="Calibri" w:cs="Calibri" w:eastAsia="Calibri" w:hAnsi="Calibri"/>
                <w:sz w:val="16"/>
                <w:szCs w:val="16"/>
                <w:b w:val="1"/>
                <w:bCs w:val="1"/>
                <w:color w:val="51555C"/>
              </w:rPr>
              <w:t>Income (loss) before provision for income taxes</w:t>
            </w:r>
          </w:p>
        </w:tc>
        <w:tc>
          <w:tcPr>
            <w:tcW w:w="26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17,644</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(55,575)</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7,083</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80" w:type="dxa"/>
            <w:vAlign w:val="bottom"/>
            <w:tcBorders>
              <w:bottom w:val="single" w:sz="8" w:color="EBFBFF"/>
            </w:tcBorders>
            <w:gridSpan w:val="2"/>
            <w:shd w:val="clear" w:color="auto" w:fill="EBFBFF"/>
          </w:tcPr>
          <w:p>
            <w:pPr>
              <w:ind w:left="240"/>
              <w:spacing w:after="0"/>
              <w:rPr>
                <w:sz w:val="20"/>
                <w:szCs w:val="20"/>
                <w:color w:val="auto"/>
              </w:rPr>
            </w:pPr>
            <w:r>
              <w:rPr>
                <w:rFonts w:ascii="Calibri" w:cs="Calibri" w:eastAsia="Calibri" w:hAnsi="Calibri"/>
                <w:sz w:val="16"/>
                <w:szCs w:val="16"/>
                <w:color w:val="51555C"/>
              </w:rPr>
              <w:t>Income tax provision (beneft)</w:t>
            </w:r>
          </w:p>
        </w:tc>
        <w:tc>
          <w:tcPr>
            <w:tcW w:w="2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15,824</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(10,168)</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1,385</w:t>
            </w:r>
          </w:p>
        </w:tc>
        <w:tc>
          <w:tcPr>
            <w:tcW w:w="20" w:type="dxa"/>
            <w:vAlign w:val="bottom"/>
          </w:tcPr>
          <w:p>
            <w:pPr>
              <w:spacing w:after="0"/>
              <w:rPr>
                <w:sz w:val="21"/>
                <w:szCs w:val="21"/>
                <w:color w:val="auto"/>
              </w:rPr>
            </w:pPr>
          </w:p>
        </w:tc>
      </w:tr>
      <w:tr>
        <w:trPr>
          <w:trHeight w:val="195"/>
        </w:trPr>
        <w:tc>
          <w:tcPr>
            <w:tcW w:w="7380" w:type="dxa"/>
            <w:vAlign w:val="bottom"/>
            <w:gridSpan w:val="2"/>
          </w:tcPr>
          <w:p>
            <w:pPr>
              <w:ind w:left="20"/>
              <w:spacing w:after="0" w:line="182" w:lineRule="exact"/>
              <w:rPr>
                <w:sz w:val="20"/>
                <w:szCs w:val="20"/>
                <w:color w:val="auto"/>
              </w:rPr>
            </w:pPr>
            <w:r>
              <w:rPr>
                <w:rFonts w:ascii="Calibri" w:cs="Calibri" w:eastAsia="Calibri" w:hAnsi="Calibri"/>
                <w:sz w:val="16"/>
                <w:szCs w:val="16"/>
                <w:b w:val="1"/>
                <w:bCs w:val="1"/>
                <w:color w:val="51555C"/>
              </w:rPr>
              <w:t>Net income (loss)</w:t>
            </w:r>
          </w:p>
        </w:tc>
        <w:tc>
          <w:tcPr>
            <w:tcW w:w="260" w:type="dxa"/>
            <w:vAlign w:val="bottom"/>
            <w:tcBorders>
              <w:top w:val="single" w:sz="8" w:color="51555C"/>
            </w:tcBorders>
          </w:tcPr>
          <w:p>
            <w:pPr>
              <w:jc w:val="right"/>
              <w:ind w:right="99"/>
              <w:spacing w:after="0"/>
              <w:rPr>
                <w:sz w:val="20"/>
                <w:szCs w:val="20"/>
                <w:color w:val="auto"/>
              </w:rPr>
            </w:pPr>
            <w:r>
              <w:rPr>
                <w:rFonts w:ascii="Calibri" w:cs="Calibri" w:eastAsia="Calibri" w:hAnsi="Calibri"/>
                <w:sz w:val="16"/>
                <w:szCs w:val="16"/>
                <w:color w:val="51555C"/>
                <w:w w:val="73"/>
              </w:rPr>
              <w:t>$</w:t>
            </w: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1,820</w:t>
            </w:r>
          </w:p>
        </w:tc>
        <w:tc>
          <w:tcPr>
            <w:tcW w:w="300" w:type="dxa"/>
            <w:vAlign w:val="bottom"/>
            <w:tcBorders>
              <w:top w:val="single" w:sz="8" w:color="51555C"/>
            </w:tcBorders>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(45,407)</w:t>
            </w:r>
          </w:p>
        </w:tc>
        <w:tc>
          <w:tcPr>
            <w:tcW w:w="300" w:type="dxa"/>
            <w:vAlign w:val="bottom"/>
            <w:tcBorders>
              <w:top w:val="single" w:sz="8" w:color="51555C"/>
            </w:tcBorders>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5,698</w:t>
            </w:r>
          </w:p>
        </w:tc>
        <w:tc>
          <w:tcPr>
            <w:tcW w:w="20" w:type="dxa"/>
            <w:vAlign w:val="bottom"/>
          </w:tcPr>
          <w:p>
            <w:pPr>
              <w:spacing w:after="0"/>
              <w:rPr>
                <w:sz w:val="17"/>
                <w:szCs w:val="17"/>
                <w:color w:val="auto"/>
              </w:rPr>
            </w:pPr>
          </w:p>
        </w:tc>
      </w:tr>
      <w:tr>
        <w:trPr>
          <w:trHeight w:val="41"/>
        </w:trPr>
        <w:tc>
          <w:tcPr>
            <w:tcW w:w="7360" w:type="dxa"/>
            <w:vAlign w:val="bottom"/>
            <w:tcBorders>
              <w:bottom w:val="single" w:sz="8" w:color="EBFBFF"/>
            </w:tcBorders>
          </w:tcPr>
          <w:p>
            <w:pPr>
              <w:spacing w:after="0"/>
              <w:rPr>
                <w:sz w:val="3"/>
                <w:szCs w:val="3"/>
                <w:color w:val="auto"/>
              </w:rPr>
            </w:pPr>
          </w:p>
        </w:tc>
        <w:tc>
          <w:tcPr>
            <w:tcW w:w="20" w:type="dxa"/>
            <w:vAlign w:val="bottom"/>
            <w:tcBorders>
              <w:bottom w:val="single" w:sz="8" w:color="EBFBFF"/>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7380" w:type="dxa"/>
            <w:vAlign w:val="bottom"/>
            <w:tcBorders>
              <w:bottom w:val="single" w:sz="8" w:color="EBFBFF"/>
            </w:tcBorders>
            <w:gridSpan w:val="2"/>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Earnings (loss) per share</w:t>
            </w:r>
          </w:p>
        </w:tc>
        <w:tc>
          <w:tcPr>
            <w:tcW w:w="260" w:type="dxa"/>
            <w:vAlign w:val="bottom"/>
            <w:tcBorders>
              <w:bottom w:val="single" w:sz="8" w:color="EBFBFF"/>
            </w:tcBorders>
            <w:shd w:val="clear" w:color="auto" w:fill="EBFBFF"/>
          </w:tcPr>
          <w:p>
            <w:pPr>
              <w:spacing w:after="0"/>
              <w:rPr>
                <w:sz w:val="17"/>
                <w:szCs w:val="17"/>
                <w:color w:val="auto"/>
              </w:rPr>
            </w:pPr>
          </w:p>
        </w:tc>
        <w:tc>
          <w:tcPr>
            <w:tcW w:w="1000" w:type="dxa"/>
            <w:vAlign w:val="bottom"/>
            <w:tcBorders>
              <w:bottom w:val="single" w:sz="8" w:color="EBFBFF"/>
            </w:tcBorders>
            <w:shd w:val="clear" w:color="auto" w:fill="EBFBFF"/>
          </w:tcPr>
          <w:p>
            <w:pPr>
              <w:spacing w:after="0"/>
              <w:rPr>
                <w:sz w:val="17"/>
                <w:szCs w:val="17"/>
                <w:color w:val="auto"/>
              </w:rPr>
            </w:pPr>
          </w:p>
        </w:tc>
        <w:tc>
          <w:tcPr>
            <w:tcW w:w="300" w:type="dxa"/>
            <w:vAlign w:val="bottom"/>
            <w:tcBorders>
              <w:bottom w:val="single" w:sz="8" w:color="EBFBFF"/>
            </w:tcBorders>
            <w:shd w:val="clear" w:color="auto" w:fill="EBFBFF"/>
          </w:tcPr>
          <w:p>
            <w:pPr>
              <w:spacing w:after="0"/>
              <w:rPr>
                <w:sz w:val="17"/>
                <w:szCs w:val="17"/>
                <w:color w:val="auto"/>
              </w:rPr>
            </w:pPr>
          </w:p>
        </w:tc>
        <w:tc>
          <w:tcPr>
            <w:tcW w:w="1000" w:type="dxa"/>
            <w:vAlign w:val="bottom"/>
            <w:tcBorders>
              <w:bottom w:val="single" w:sz="8" w:color="EBFBFF"/>
            </w:tcBorders>
            <w:shd w:val="clear" w:color="auto" w:fill="EBFBFF"/>
          </w:tcPr>
          <w:p>
            <w:pPr>
              <w:spacing w:after="0"/>
              <w:rPr>
                <w:sz w:val="17"/>
                <w:szCs w:val="17"/>
                <w:color w:val="auto"/>
              </w:rPr>
            </w:pPr>
          </w:p>
        </w:tc>
        <w:tc>
          <w:tcPr>
            <w:tcW w:w="300" w:type="dxa"/>
            <w:vAlign w:val="bottom"/>
            <w:tcBorders>
              <w:bottom w:val="single" w:sz="8" w:color="EBFBFF"/>
            </w:tcBorders>
            <w:shd w:val="clear" w:color="auto" w:fill="EBFBFF"/>
          </w:tcPr>
          <w:p>
            <w:pPr>
              <w:spacing w:after="0"/>
              <w:rPr>
                <w:sz w:val="17"/>
                <w:szCs w:val="17"/>
                <w:color w:val="auto"/>
              </w:rPr>
            </w:pPr>
          </w:p>
        </w:tc>
        <w:tc>
          <w:tcPr>
            <w:tcW w:w="10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7380" w:type="dxa"/>
            <w:vAlign w:val="bottom"/>
            <w:gridSpan w:val="2"/>
          </w:tcPr>
          <w:p>
            <w:pPr>
              <w:ind w:left="240"/>
              <w:spacing w:after="0"/>
              <w:rPr>
                <w:sz w:val="20"/>
                <w:szCs w:val="20"/>
                <w:color w:val="auto"/>
              </w:rPr>
            </w:pPr>
            <w:r>
              <w:rPr>
                <w:rFonts w:ascii="Calibri" w:cs="Calibri" w:eastAsia="Calibri" w:hAnsi="Calibri"/>
                <w:sz w:val="16"/>
                <w:szCs w:val="16"/>
                <w:color w:val="51555C"/>
              </w:rPr>
              <w:t>Basic</w:t>
            </w:r>
          </w:p>
        </w:tc>
        <w:tc>
          <w:tcPr>
            <w:tcW w:w="260" w:type="dxa"/>
            <w:vAlign w:val="bottom"/>
          </w:tcPr>
          <w:p>
            <w:pPr>
              <w:jc w:val="right"/>
              <w:ind w:right="99"/>
              <w:spacing w:after="0"/>
              <w:rPr>
                <w:sz w:val="20"/>
                <w:szCs w:val="20"/>
                <w:color w:val="auto"/>
              </w:rPr>
            </w:pPr>
            <w:r>
              <w:rPr>
                <w:rFonts w:ascii="Calibri" w:cs="Calibri" w:eastAsia="Calibri" w:hAnsi="Calibri"/>
                <w:sz w:val="16"/>
                <w:szCs w:val="16"/>
                <w:color w:val="51555C"/>
                <w:w w:val="73"/>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0.03</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(0.88)</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0.12</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80" w:type="dxa"/>
            <w:vAlign w:val="bottom"/>
            <w:tcBorders>
              <w:bottom w:val="single" w:sz="8" w:color="EBFBFF"/>
            </w:tcBorders>
            <w:gridSpan w:val="2"/>
            <w:shd w:val="clear" w:color="auto" w:fill="EBFBFF"/>
          </w:tcPr>
          <w:p>
            <w:pPr>
              <w:ind w:left="240"/>
              <w:spacing w:after="0"/>
              <w:rPr>
                <w:sz w:val="20"/>
                <w:szCs w:val="20"/>
                <w:color w:val="auto"/>
              </w:rPr>
            </w:pPr>
            <w:r>
              <w:rPr>
                <w:rFonts w:ascii="Calibri" w:cs="Calibri" w:eastAsia="Calibri" w:hAnsi="Calibri"/>
                <w:sz w:val="16"/>
                <w:szCs w:val="16"/>
                <w:color w:val="51555C"/>
              </w:rPr>
              <w:t>Diluted</w:t>
            </w:r>
          </w:p>
        </w:tc>
        <w:tc>
          <w:tcPr>
            <w:tcW w:w="260" w:type="dxa"/>
            <w:vAlign w:val="bottom"/>
            <w:tcBorders>
              <w:bottom w:val="single" w:sz="8" w:color="EBFBFF"/>
            </w:tcBorders>
            <w:shd w:val="clear" w:color="auto" w:fill="EBFBFF"/>
          </w:tcPr>
          <w:p>
            <w:pPr>
              <w:jc w:val="right"/>
              <w:ind w:right="99"/>
              <w:spacing w:after="0"/>
              <w:rPr>
                <w:sz w:val="20"/>
                <w:szCs w:val="20"/>
                <w:color w:val="auto"/>
              </w:rPr>
            </w:pPr>
            <w:r>
              <w:rPr>
                <w:rFonts w:ascii="Calibri" w:cs="Calibri" w:eastAsia="Calibri" w:hAnsi="Calibri"/>
                <w:sz w:val="16"/>
                <w:szCs w:val="16"/>
                <w:color w:val="51555C"/>
                <w:w w:val="73"/>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0.03</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(0.88)</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0.12</w:t>
            </w:r>
          </w:p>
        </w:tc>
        <w:tc>
          <w:tcPr>
            <w:tcW w:w="20" w:type="dxa"/>
            <w:vAlign w:val="bottom"/>
          </w:tcPr>
          <w:p>
            <w:pPr>
              <w:spacing w:after="0"/>
              <w:rPr>
                <w:sz w:val="19"/>
                <w:szCs w:val="19"/>
                <w:color w:val="auto"/>
              </w:rPr>
            </w:pPr>
          </w:p>
        </w:tc>
      </w:tr>
      <w:tr>
        <w:trPr>
          <w:trHeight w:val="202"/>
        </w:trPr>
        <w:tc>
          <w:tcPr>
            <w:tcW w:w="7380" w:type="dxa"/>
            <w:vAlign w:val="bottom"/>
            <w:gridSpan w:val="2"/>
          </w:tcPr>
          <w:p>
            <w:pPr>
              <w:ind w:left="20"/>
              <w:spacing w:after="0"/>
              <w:rPr>
                <w:sz w:val="20"/>
                <w:szCs w:val="20"/>
                <w:color w:val="auto"/>
              </w:rPr>
            </w:pPr>
            <w:r>
              <w:rPr>
                <w:rFonts w:ascii="Calibri" w:cs="Calibri" w:eastAsia="Calibri" w:hAnsi="Calibri"/>
                <w:sz w:val="16"/>
                <w:szCs w:val="16"/>
                <w:b w:val="1"/>
                <w:bCs w:val="1"/>
                <w:color w:val="51555C"/>
              </w:rPr>
              <w:t>Common shares and equivalents outstanding</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80" w:type="dxa"/>
            <w:vAlign w:val="bottom"/>
            <w:tcBorders>
              <w:bottom w:val="single" w:sz="8" w:color="EBFBFF"/>
            </w:tcBorders>
            <w:gridSpan w:val="2"/>
            <w:shd w:val="clear" w:color="auto" w:fill="EBFBFF"/>
          </w:tcPr>
          <w:p>
            <w:pPr>
              <w:ind w:left="240"/>
              <w:spacing w:after="0"/>
              <w:rPr>
                <w:sz w:val="20"/>
                <w:szCs w:val="20"/>
                <w:color w:val="auto"/>
              </w:rPr>
            </w:pPr>
            <w:r>
              <w:rPr>
                <w:rFonts w:ascii="Calibri" w:cs="Calibri" w:eastAsia="Calibri" w:hAnsi="Calibri"/>
                <w:sz w:val="16"/>
                <w:szCs w:val="16"/>
                <w:color w:val="51555C"/>
              </w:rPr>
              <w:t>Basic weighted average shares</w:t>
            </w:r>
          </w:p>
        </w:tc>
        <w:tc>
          <w:tcPr>
            <w:tcW w:w="26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52,546,406</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51,569,148</w:t>
            </w: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47,412,306</w:t>
            </w:r>
          </w:p>
        </w:tc>
        <w:tc>
          <w:tcPr>
            <w:tcW w:w="20" w:type="dxa"/>
            <w:vAlign w:val="bottom"/>
          </w:tcPr>
          <w:p>
            <w:pPr>
              <w:spacing w:after="0"/>
              <w:rPr>
                <w:sz w:val="19"/>
                <w:szCs w:val="19"/>
                <w:color w:val="auto"/>
              </w:rPr>
            </w:pPr>
          </w:p>
        </w:tc>
      </w:tr>
      <w:tr>
        <w:trPr>
          <w:trHeight w:val="202"/>
        </w:trPr>
        <w:tc>
          <w:tcPr>
            <w:tcW w:w="7380" w:type="dxa"/>
            <w:vAlign w:val="bottom"/>
            <w:gridSpan w:val="2"/>
          </w:tcPr>
          <w:p>
            <w:pPr>
              <w:ind w:left="240"/>
              <w:spacing w:after="0"/>
              <w:rPr>
                <w:sz w:val="20"/>
                <w:szCs w:val="20"/>
                <w:color w:val="auto"/>
              </w:rPr>
            </w:pPr>
            <w:r>
              <w:rPr>
                <w:rFonts w:ascii="Calibri" w:cs="Calibri" w:eastAsia="Calibri" w:hAnsi="Calibri"/>
                <w:sz w:val="16"/>
                <w:szCs w:val="16"/>
                <w:color w:val="51555C"/>
              </w:rPr>
              <w:t>Diluted weighted average shares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53,721,342</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51,569,148</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48,230,438</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3"/>
        </w:trPr>
        <w:tc>
          <w:tcPr>
            <w:tcW w:w="7380" w:type="dxa"/>
            <w:vAlign w:val="bottom"/>
            <w:tcBorders>
              <w:bottom w:val="single" w:sz="8" w:color="EBFBFF"/>
            </w:tcBorders>
            <w:gridSpan w:val="2"/>
            <w:shd w:val="clear" w:color="auto" w:fill="EBFBFF"/>
          </w:tcPr>
          <w:p>
            <w:pPr>
              <w:ind w:left="20"/>
              <w:spacing w:after="0"/>
              <w:rPr>
                <w:sz w:val="20"/>
                <w:szCs w:val="20"/>
                <w:color w:val="auto"/>
              </w:rPr>
            </w:pPr>
            <w:r>
              <w:rPr>
                <w:rFonts w:ascii="Calibri" w:cs="Calibri" w:eastAsia="Calibri" w:hAnsi="Calibri"/>
                <w:sz w:val="16"/>
                <w:szCs w:val="16"/>
                <w:b w:val="1"/>
                <w:bCs w:val="1"/>
                <w:color w:val="51555C"/>
              </w:rPr>
              <w:t>Other comprehensive (loss) income</w:t>
            </w:r>
          </w:p>
        </w:tc>
        <w:tc>
          <w:tcPr>
            <w:tcW w:w="26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30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02"/>
        </w:trPr>
        <w:tc>
          <w:tcPr>
            <w:tcW w:w="7380" w:type="dxa"/>
            <w:vAlign w:val="bottom"/>
            <w:gridSpan w:val="2"/>
          </w:tcPr>
          <w:p>
            <w:pPr>
              <w:ind w:left="240"/>
              <w:spacing w:after="0"/>
              <w:rPr>
                <w:sz w:val="20"/>
                <w:szCs w:val="20"/>
                <w:color w:val="auto"/>
              </w:rPr>
            </w:pPr>
            <w:r>
              <w:rPr>
                <w:rFonts w:ascii="Calibri" w:cs="Calibri" w:eastAsia="Calibri" w:hAnsi="Calibri"/>
                <w:sz w:val="16"/>
                <w:szCs w:val="16"/>
                <w:color w:val="51555C"/>
              </w:rPr>
              <w:t>Foreign currency translaton adjustment</w:t>
            </w:r>
          </w:p>
        </w:tc>
        <w:tc>
          <w:tcPr>
            <w:tcW w:w="260" w:type="dxa"/>
            <w:vAlign w:val="bottom"/>
          </w:tcPr>
          <w:p>
            <w:pPr>
              <w:jc w:val="right"/>
              <w:ind w:right="99"/>
              <w:spacing w:after="0"/>
              <w:rPr>
                <w:sz w:val="20"/>
                <w:szCs w:val="20"/>
                <w:color w:val="auto"/>
              </w:rPr>
            </w:pPr>
            <w:r>
              <w:rPr>
                <w:rFonts w:ascii="Calibri" w:cs="Calibri" w:eastAsia="Calibri" w:hAnsi="Calibri"/>
                <w:sz w:val="16"/>
                <w:szCs w:val="16"/>
                <w:color w:val="51555C"/>
                <w:w w:val="73"/>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5,049</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(16,160)</w:t>
            </w:r>
          </w:p>
        </w:tc>
        <w:tc>
          <w:tcPr>
            <w:tcW w:w="300" w:type="dxa"/>
            <w:vAlign w:val="bottom"/>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661</w:t>
            </w:r>
          </w:p>
        </w:tc>
        <w:tc>
          <w:tcPr>
            <w:tcW w:w="20" w:type="dxa"/>
            <w:vAlign w:val="bottom"/>
          </w:tcPr>
          <w:p>
            <w:pPr>
              <w:spacing w:after="0"/>
              <w:rPr>
                <w:sz w:val="17"/>
                <w:szCs w:val="17"/>
                <w:color w:val="auto"/>
              </w:rPr>
            </w:pPr>
          </w:p>
        </w:tc>
      </w:tr>
      <w:tr>
        <w:trPr>
          <w:trHeight w:val="41"/>
        </w:trPr>
        <w:tc>
          <w:tcPr>
            <w:tcW w:w="7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80" w:type="dxa"/>
            <w:vAlign w:val="bottom"/>
            <w:tcBorders>
              <w:bottom w:val="single" w:sz="8" w:color="EBFBFF"/>
            </w:tcBorders>
            <w:gridSpan w:val="2"/>
            <w:shd w:val="clear" w:color="auto" w:fill="EBFBFF"/>
          </w:tcPr>
          <w:p>
            <w:pPr>
              <w:ind w:left="240"/>
              <w:spacing w:after="0"/>
              <w:rPr>
                <w:sz w:val="20"/>
                <w:szCs w:val="20"/>
                <w:color w:val="auto"/>
              </w:rPr>
            </w:pPr>
            <w:r>
              <w:rPr>
                <w:rFonts w:ascii="Calibri" w:cs="Calibri" w:eastAsia="Calibri" w:hAnsi="Calibri"/>
                <w:sz w:val="16"/>
                <w:szCs w:val="16"/>
                <w:color w:val="51555C"/>
              </w:rPr>
              <w:t>Unrealized (loss) gain on derivatve instruments, net of tax</w:t>
            </w:r>
          </w:p>
        </w:tc>
        <w:tc>
          <w:tcPr>
            <w:tcW w:w="2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(15,675)</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18,576</w:t>
            </w:r>
          </w:p>
        </w:tc>
        <w:tc>
          <w:tcPr>
            <w:tcW w:w="3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8,358</w:t>
            </w:r>
          </w:p>
        </w:tc>
        <w:tc>
          <w:tcPr>
            <w:tcW w:w="20" w:type="dxa"/>
            <w:vAlign w:val="bottom"/>
          </w:tcPr>
          <w:p>
            <w:pPr>
              <w:spacing w:after="0"/>
              <w:rPr>
                <w:sz w:val="21"/>
                <w:szCs w:val="21"/>
                <w:color w:val="auto"/>
              </w:rPr>
            </w:pPr>
          </w:p>
        </w:tc>
      </w:tr>
      <w:tr>
        <w:trPr>
          <w:trHeight w:val="195"/>
        </w:trPr>
        <w:tc>
          <w:tcPr>
            <w:tcW w:w="7380" w:type="dxa"/>
            <w:vAlign w:val="bottom"/>
            <w:gridSpan w:val="2"/>
          </w:tcPr>
          <w:p>
            <w:pPr>
              <w:ind w:left="460"/>
              <w:spacing w:after="0" w:line="182" w:lineRule="exact"/>
              <w:rPr>
                <w:sz w:val="20"/>
                <w:szCs w:val="20"/>
                <w:color w:val="auto"/>
              </w:rPr>
            </w:pPr>
            <w:r>
              <w:rPr>
                <w:rFonts w:ascii="Calibri" w:cs="Calibri" w:eastAsia="Calibri" w:hAnsi="Calibri"/>
                <w:sz w:val="16"/>
                <w:szCs w:val="16"/>
                <w:b w:val="1"/>
                <w:bCs w:val="1"/>
                <w:color w:val="51555C"/>
              </w:rPr>
              <w:t>Total other comprehensive (loss) income</w:t>
            </w:r>
          </w:p>
        </w:tc>
        <w:tc>
          <w:tcPr>
            <w:tcW w:w="26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(10,626)</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2,416</w:t>
            </w:r>
          </w:p>
        </w:tc>
        <w:tc>
          <w:tcPr>
            <w:tcW w:w="3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spacing w:after="0"/>
              <w:rPr>
                <w:sz w:val="20"/>
                <w:szCs w:val="20"/>
                <w:color w:val="auto"/>
              </w:rPr>
            </w:pPr>
            <w:r>
              <w:rPr>
                <w:rFonts w:ascii="Calibri" w:cs="Calibri" w:eastAsia="Calibri" w:hAnsi="Calibri"/>
                <w:sz w:val="16"/>
                <w:szCs w:val="16"/>
                <w:color w:val="51555C"/>
              </w:rPr>
              <w:t>9,019</w:t>
            </w:r>
          </w:p>
        </w:tc>
        <w:tc>
          <w:tcPr>
            <w:tcW w:w="20" w:type="dxa"/>
            <w:vAlign w:val="bottom"/>
          </w:tcPr>
          <w:p>
            <w:pPr>
              <w:spacing w:after="0"/>
              <w:rPr>
                <w:sz w:val="17"/>
                <w:szCs w:val="17"/>
                <w:color w:val="auto"/>
              </w:rPr>
            </w:pPr>
          </w:p>
        </w:tc>
      </w:tr>
      <w:tr>
        <w:trPr>
          <w:trHeight w:val="41"/>
        </w:trPr>
        <w:tc>
          <w:tcPr>
            <w:tcW w:w="7360" w:type="dxa"/>
            <w:vAlign w:val="bottom"/>
            <w:tcBorders>
              <w:bottom w:val="single" w:sz="8" w:color="EBFBFF"/>
            </w:tcBorders>
          </w:tcPr>
          <w:p>
            <w:pPr>
              <w:spacing w:after="0"/>
              <w:rPr>
                <w:sz w:val="3"/>
                <w:szCs w:val="3"/>
                <w:color w:val="auto"/>
              </w:rPr>
            </w:pPr>
          </w:p>
        </w:tc>
        <w:tc>
          <w:tcPr>
            <w:tcW w:w="20" w:type="dxa"/>
            <w:vAlign w:val="bottom"/>
            <w:tcBorders>
              <w:bottom w:val="single" w:sz="8" w:color="EBFBFF"/>
            </w:tcBorders>
          </w:tcPr>
          <w:p>
            <w:pPr>
              <w:spacing w:after="0"/>
              <w:rPr>
                <w:sz w:val="3"/>
                <w:szCs w:val="3"/>
                <w:color w:val="auto"/>
              </w:rPr>
            </w:pPr>
          </w:p>
        </w:tc>
        <w:tc>
          <w:tcPr>
            <w:tcW w:w="26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30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16"/>
        </w:trPr>
        <w:tc>
          <w:tcPr>
            <w:tcW w:w="7380" w:type="dxa"/>
            <w:vAlign w:val="bottom"/>
            <w:tcBorders>
              <w:bottom w:val="single" w:sz="8" w:color="EBFBFF"/>
            </w:tcBorders>
            <w:gridSpan w:val="2"/>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Comprehensive (loss) income</w:t>
            </w:r>
          </w:p>
        </w:tc>
        <w:tc>
          <w:tcPr>
            <w:tcW w:w="260" w:type="dxa"/>
            <w:vAlign w:val="bottom"/>
            <w:tcBorders>
              <w:bottom w:val="single" w:sz="8" w:color="EBFBFF"/>
            </w:tcBorders>
            <w:shd w:val="clear" w:color="auto" w:fill="EBFBFF"/>
          </w:tcPr>
          <w:p>
            <w:pPr>
              <w:jc w:val="right"/>
              <w:ind w:right="99"/>
              <w:spacing w:after="0"/>
              <w:rPr>
                <w:sz w:val="20"/>
                <w:szCs w:val="20"/>
                <w:color w:val="auto"/>
              </w:rPr>
            </w:pPr>
            <w:r>
              <w:rPr>
                <w:rFonts w:ascii="Calibri" w:cs="Calibri" w:eastAsia="Calibri" w:hAnsi="Calibri"/>
                <w:sz w:val="16"/>
                <w:szCs w:val="16"/>
                <w:color w:val="51555C"/>
                <w:w w:val="73"/>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(8,806)</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(42,991)</w:t>
            </w:r>
          </w:p>
        </w:tc>
        <w:tc>
          <w:tcPr>
            <w:tcW w:w="300" w:type="dxa"/>
            <w:vAlign w:val="bottom"/>
            <w:tcBorders>
              <w:bottom w:val="single" w:sz="8" w:color="EBFBFF"/>
            </w:tcBorders>
            <w:shd w:val="clear" w:color="auto" w:fill="EBFBFF"/>
          </w:tcPr>
          <w:p>
            <w:pPr>
              <w:jc w:val="right"/>
              <w:ind w:right="119"/>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14,717</w:t>
            </w:r>
          </w:p>
        </w:tc>
        <w:tc>
          <w:tcPr>
            <w:tcW w:w="20" w:type="dxa"/>
            <w:vAlign w:val="bottom"/>
          </w:tcPr>
          <w:p>
            <w:pPr>
              <w:spacing w:after="0"/>
              <w:rPr>
                <w:sz w:val="18"/>
                <w:szCs w:val="18"/>
                <w:color w:val="auto"/>
              </w:rPr>
            </w:pPr>
          </w:p>
        </w:tc>
      </w:tr>
      <w:tr>
        <w:trPr>
          <w:trHeight w:val="20"/>
        </w:trPr>
        <w:tc>
          <w:tcPr>
            <w:tcW w:w="736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-5417185</wp:posOffset>
            </wp:positionV>
            <wp:extent cx="24771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81"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51555C"/>
        </w:rPr>
        <w:t>The accompanying notes are an integral part of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291465</wp:posOffset>
            </wp:positionV>
            <wp:extent cx="7289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6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71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sectPr>
      </w:pPr>
    </w:p>
    <w:bookmarkStart w:id="73" w:name="page74"/>
    <w:bookmarkEnd w:id="73"/>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40575" cy="4718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057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40"/>
        <w:spacing w:after="0"/>
        <w:rPr>
          <w:sz w:val="20"/>
          <w:szCs w:val="20"/>
          <w:color w:val="auto"/>
        </w:rPr>
      </w:pPr>
      <w:r>
        <w:rPr>
          <w:rFonts w:ascii="Calibri" w:cs="Calibri" w:eastAsia="Calibri" w:hAnsi="Calibri"/>
          <w:sz w:val="14"/>
          <w:szCs w:val="14"/>
          <w:b w:val="1"/>
          <w:bCs w:val="1"/>
          <w:color w:val="FFFFFF"/>
        </w:rPr>
        <w:t>Years ended December 31,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11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11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tcPr>
          <w:p>
            <w:pPr>
              <w:spacing w:after="0"/>
              <w:rPr>
                <w:sz w:val="16"/>
                <w:szCs w:val="16"/>
                <w:color w:val="auto"/>
              </w:rPr>
            </w:pPr>
          </w:p>
        </w:tc>
      </w:tr>
      <w:tr>
        <w:trPr>
          <w:trHeight w:val="53"/>
        </w:trPr>
        <w:tc>
          <w:tcPr>
            <w:tcW w:w="7920" w:type="dxa"/>
            <w:vAlign w:val="bottom"/>
            <w:tcBorders>
              <w:bottom w:val="single" w:sz="8" w:color="004054"/>
            </w:tcBorders>
          </w:tcPr>
          <w:p>
            <w:pPr>
              <w:spacing w:after="0"/>
              <w:rPr>
                <w:sz w:val="4"/>
                <w:szCs w:val="4"/>
                <w:color w:val="auto"/>
              </w:rPr>
            </w:pPr>
          </w:p>
        </w:tc>
        <w:tc>
          <w:tcPr>
            <w:tcW w:w="1110" w:type="dxa"/>
            <w:vAlign w:val="bottom"/>
            <w:tcBorders>
              <w:bottom w:val="single" w:sz="8" w:color="004054"/>
            </w:tcBorders>
            <w:shd w:val="clear" w:color="auto" w:fill="004054"/>
          </w:tcPr>
          <w:p>
            <w:pPr>
              <w:spacing w:after="0"/>
              <w:rPr>
                <w:sz w:val="4"/>
                <w:szCs w:val="4"/>
                <w:color w:val="auto"/>
              </w:rPr>
            </w:pPr>
          </w:p>
        </w:tc>
        <w:tc>
          <w:tcPr>
            <w:tcW w:w="1110" w:type="dxa"/>
            <w:vAlign w:val="bottom"/>
            <w:tcBorders>
              <w:bottom w:val="single" w:sz="8" w:color="004054"/>
            </w:tcBorders>
            <w:shd w:val="clear" w:color="auto" w:fill="004054"/>
          </w:tcPr>
          <w:p>
            <w:pPr>
              <w:spacing w:after="0"/>
              <w:rPr>
                <w:sz w:val="4"/>
                <w:szCs w:val="4"/>
                <w:color w:val="auto"/>
              </w:rPr>
            </w:pPr>
          </w:p>
        </w:tc>
        <w:tc>
          <w:tcPr>
            <w:tcW w:w="1100" w:type="dxa"/>
            <w:vAlign w:val="bottom"/>
            <w:tcBorders>
              <w:bottom w:val="single" w:sz="8" w:color="004054"/>
            </w:tcBorders>
            <w:shd w:val="clear" w:color="auto" w:fill="004054"/>
          </w:tcPr>
          <w:p>
            <w:pPr>
              <w:spacing w:after="0"/>
              <w:rPr>
                <w:sz w:val="4"/>
                <w:szCs w:val="4"/>
                <w:color w:val="auto"/>
              </w:rPr>
            </w:pPr>
          </w:p>
        </w:tc>
        <w:tc>
          <w:tcPr>
            <w:tcW w:w="20" w:type="dxa"/>
            <w:vAlign w:val="bottom"/>
            <w:tcBorders>
              <w:bottom w:val="single" w:sz="8" w:color="004054"/>
            </w:tcBorders>
          </w:tcPr>
          <w:p>
            <w:pPr>
              <w:spacing w:after="0"/>
              <w:rPr>
                <w:sz w:val="4"/>
                <w:szCs w:val="4"/>
                <w:color w:val="auto"/>
              </w:rPr>
            </w:pPr>
          </w:p>
        </w:tc>
      </w:tr>
    </w:tbl>
    <w:p>
      <w:pPr>
        <w:spacing w:after="0" w:line="7" w:lineRule="exact"/>
        <w:rPr>
          <w:sz w:val="20"/>
          <w:szCs w:val="20"/>
          <w:color w:val="auto"/>
        </w:rPr>
      </w:pPr>
    </w:p>
    <w:p>
      <w:pPr>
        <w:sectPr>
          <w:pgSz w:w="11900" w:h="16838" w:orient="portrait"/>
          <w:cols w:equalWidth="0" w:num="1">
            <w:col w:w="11260"/>
          </w:cols>
          <w:pgMar w:left="320" w:top="274" w:right="319" w:bottom="919" w:gutter="0" w:footer="0" w:header="0"/>
        </w:sectPr>
      </w:pPr>
    </w:p>
    <w:p>
      <w:pPr>
        <w:ind w:left="20"/>
        <w:spacing w:after="0"/>
        <w:rPr>
          <w:sz w:val="20"/>
          <w:szCs w:val="20"/>
          <w:color w:val="auto"/>
        </w:rPr>
      </w:pPr>
      <w:r>
        <w:rPr>
          <w:rFonts w:ascii="Calibri" w:cs="Calibri" w:eastAsia="Calibri" w:hAnsi="Calibri"/>
          <w:sz w:val="16"/>
          <w:szCs w:val="16"/>
          <w:b w:val="1"/>
          <w:bCs w:val="1"/>
          <w:color w:val="51555C"/>
        </w:rPr>
        <w:t>Cash fows from operatng actvites</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Adjustments to reconcile net income (loss) to net cash provided by operatng actvites:</w:t>
      </w:r>
    </w:p>
    <w:p>
      <w:pPr>
        <w:spacing w:after="0" w:line="4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Depreciaton and amortzaton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Provision for credit losses and sales returns</w:t>
      </w:r>
    </w:p>
    <w:p>
      <w:pPr>
        <w:spacing w:after="0" w:line="4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Stock-based compensaton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Deferred taxes</w:t>
      </w:r>
    </w:p>
    <w:p>
      <w:pPr>
        <w:spacing w:after="0" w:line="4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Amortzaton of deferred fnancing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Other non-cash adjustments</w:t>
      </w:r>
    </w:p>
    <w:p>
      <w:pPr>
        <w:spacing w:after="0" w:line="48" w:lineRule="exact"/>
        <w:rPr>
          <w:sz w:val="20"/>
          <w:szCs w:val="20"/>
          <w:color w:val="auto"/>
        </w:rPr>
      </w:pPr>
    </w:p>
    <w:p>
      <w:pPr>
        <w:ind w:left="360"/>
        <w:spacing w:after="0"/>
        <w:rPr>
          <w:sz w:val="20"/>
          <w:szCs w:val="20"/>
          <w:color w:val="auto"/>
        </w:rPr>
      </w:pPr>
      <w:r>
        <w:rPr>
          <w:rFonts w:ascii="Calibri" w:cs="Calibri" w:eastAsia="Calibri" w:hAnsi="Calibri"/>
          <w:sz w:val="16"/>
          <w:szCs w:val="16"/>
          <w:color w:val="51555C"/>
        </w:rPr>
        <w:t>Changes in operatng assets and liabilites, net of acquisiton and disposal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Accounts receivable</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Trade accounts payable</w:t>
      </w:r>
    </w:p>
    <w:p>
      <w:pPr>
        <w:spacing w:after="0" w:line="4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Accrued expenses and other liabilites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rFonts w:ascii="Calibri" w:cs="Calibri" w:eastAsia="Calibri" w:hAnsi="Calibri"/>
          <w:sz w:val="16"/>
          <w:szCs w:val="16"/>
          <w:color w:val="51555C"/>
        </w:rPr>
        <w:t>Deferred revenue</w:t>
      </w:r>
    </w:p>
    <w:p>
      <w:pPr>
        <w:spacing w:after="0" w:line="48" w:lineRule="exact"/>
        <w:rPr>
          <w:sz w:val="20"/>
          <w:szCs w:val="20"/>
          <w:color w:val="auto"/>
        </w:rPr>
      </w:pPr>
    </w:p>
    <w:p>
      <w:pPr>
        <w:ind w:left="560"/>
        <w:spacing w:after="0"/>
        <w:rPr>
          <w:sz w:val="20"/>
          <w:szCs w:val="20"/>
          <w:color w:val="auto"/>
        </w:rPr>
      </w:pPr>
      <w:r>
        <w:rPr>
          <w:rFonts w:ascii="Calibri" w:cs="Calibri" w:eastAsia="Calibri" w:hAnsi="Calibri"/>
          <w:sz w:val="16"/>
          <w:szCs w:val="16"/>
          <w:b w:val="1"/>
          <w:bCs w:val="1"/>
          <w:color w:val="51555C"/>
        </w:rPr>
        <w:t>Net cash provided by operatng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140"/>
        <w:spacing w:after="0"/>
        <w:rPr>
          <w:sz w:val="20"/>
          <w:szCs w:val="20"/>
          <w:color w:val="auto"/>
        </w:rPr>
      </w:pPr>
      <w:r>
        <w:rPr>
          <w:rFonts w:ascii="Calibri" w:cs="Calibri" w:eastAsia="Calibri" w:hAnsi="Calibri"/>
          <w:sz w:val="16"/>
          <w:szCs w:val="16"/>
          <w:b w:val="1"/>
          <w:bCs w:val="1"/>
          <w:color w:val="51555C"/>
        </w:rPr>
        <w:t>Cash fows from investng actvites</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Capitalized sofware and content development costs</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Purchase of net assets of acquired companies, net of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Cash received in sale of business</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Other investng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 w:lineRule="exact"/>
        <w:rPr>
          <w:sz w:val="20"/>
          <w:szCs w:val="20"/>
          <w:color w:val="auto"/>
        </w:rPr>
      </w:pPr>
    </w:p>
    <w:p>
      <w:pPr>
        <w:ind w:left="560"/>
        <w:spacing w:after="0"/>
        <w:rPr>
          <w:sz w:val="20"/>
          <w:szCs w:val="20"/>
          <w:color w:val="auto"/>
        </w:rPr>
      </w:pPr>
      <w:r>
        <w:rPr>
          <w:rFonts w:ascii="Calibri" w:cs="Calibri" w:eastAsia="Calibri" w:hAnsi="Calibri"/>
          <w:sz w:val="16"/>
          <w:szCs w:val="16"/>
          <w:b w:val="1"/>
          <w:bCs w:val="1"/>
          <w:color w:val="51555C"/>
        </w:rPr>
        <w:t>Net cash used in investng actvites</w:t>
      </w:r>
    </w:p>
    <w:p>
      <w:pPr>
        <w:spacing w:after="0" w:line="61" w:lineRule="exact"/>
        <w:rPr>
          <w:sz w:val="20"/>
          <w:szCs w:val="20"/>
          <w:color w:val="auto"/>
        </w:rPr>
      </w:pPr>
    </w:p>
    <w:p>
      <w:pPr>
        <w:ind w:left="140"/>
        <w:spacing w:after="0"/>
        <w:rPr>
          <w:sz w:val="20"/>
          <w:szCs w:val="20"/>
          <w:color w:val="auto"/>
        </w:rPr>
      </w:pPr>
      <w:r>
        <w:rPr>
          <w:rFonts w:ascii="Calibri" w:cs="Calibri" w:eastAsia="Calibri" w:hAnsi="Calibri"/>
          <w:sz w:val="16"/>
          <w:szCs w:val="16"/>
          <w:b w:val="1"/>
          <w:bCs w:val="1"/>
          <w:color w:val="51555C"/>
        </w:rPr>
        <w:t>Cash fows from fnancing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Proceeds from issuance of debt</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Payments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Debt issuance costs</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Stock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40" w:right="2280"/>
        <w:spacing w:after="0" w:line="296" w:lineRule="auto"/>
        <w:rPr>
          <w:sz w:val="20"/>
          <w:szCs w:val="20"/>
          <w:color w:val="auto"/>
        </w:rPr>
      </w:pPr>
      <w:r>
        <w:rPr>
          <w:rFonts w:ascii="Calibri" w:cs="Calibri" w:eastAsia="Calibri" w:hAnsi="Calibri"/>
          <w:sz w:val="16"/>
          <w:szCs w:val="16"/>
          <w:color w:val="51555C"/>
        </w:rPr>
        <w:t>Employee taxes paid for withheld shares upon equity award setlement Change in 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40"/>
        <w:spacing w:after="0"/>
        <w:rPr>
          <w:sz w:val="20"/>
          <w:szCs w:val="20"/>
          <w:color w:val="auto"/>
        </w:rPr>
      </w:pPr>
      <w:r>
        <w:rPr>
          <w:rFonts w:ascii="Calibri" w:cs="Calibri" w:eastAsia="Calibri" w:hAnsi="Calibri"/>
          <w:sz w:val="16"/>
          <w:szCs w:val="16"/>
          <w:color w:val="51555C"/>
        </w:rPr>
        <w:t>Change in customer funds receivable</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 w:lineRule="exact"/>
        <w:rPr>
          <w:sz w:val="20"/>
          <w:szCs w:val="20"/>
          <w:color w:val="auto"/>
        </w:rPr>
      </w:pPr>
    </w:p>
    <w:p>
      <w:pPr>
        <w:ind w:left="560"/>
        <w:spacing w:after="0"/>
        <w:rPr>
          <w:sz w:val="20"/>
          <w:szCs w:val="20"/>
          <w:color w:val="auto"/>
        </w:rPr>
      </w:pPr>
      <w:r>
        <w:rPr>
          <w:rFonts w:ascii="Calibri" w:cs="Calibri" w:eastAsia="Calibri" w:hAnsi="Calibri"/>
          <w:sz w:val="16"/>
          <w:szCs w:val="16"/>
          <w:b w:val="1"/>
          <w:bCs w:val="1"/>
          <w:color w:val="51555C"/>
        </w:rPr>
        <w:t>Net cash (used in) provided by fnancing actvites</w:t>
      </w:r>
    </w:p>
    <w:p>
      <w:pPr>
        <w:spacing w:after="0" w:line="61"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Efect of exchange rate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Net (decrease) increase in cash, cash equivalents and restricted cash</w:t>
      </w:r>
    </w:p>
    <w:p>
      <w:pPr>
        <w:spacing w:after="0" w:line="61"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Cash, cash equivalents and restricted cash,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Cash, cash equivalents and restricted cash,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51555C"/>
        </w:rPr>
        <w:t>Supplemental disclosure of cash fow informaton</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Cash (paid) for taxes, net of refunds</w:t>
      </w:r>
    </w:p>
    <w:p>
      <w:pPr>
        <w:spacing w:after="0" w:line="48" w:lineRule="exact"/>
        <w:rPr>
          <w:sz w:val="20"/>
          <w:szCs w:val="20"/>
          <w:color w:val="auto"/>
        </w:rPr>
      </w:pPr>
    </w:p>
    <w:p>
      <w:pPr>
        <w:ind w:left="140"/>
        <w:spacing w:after="0"/>
        <w:rPr>
          <w:sz w:val="20"/>
          <w:szCs w:val="20"/>
          <w:color w:val="auto"/>
        </w:rPr>
      </w:pPr>
      <w:r>
        <w:rPr>
          <w:rFonts w:ascii="Calibri" w:cs="Calibri" w:eastAsia="Calibri" w:hAnsi="Calibri"/>
          <w:sz w:val="16"/>
          <w:szCs w:val="16"/>
          <w:color w:val="51555C"/>
        </w:rPr>
        <w:t>Non-cash investng and fnancing actvites: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Purchase of EVERFI through the issuance of stock (see Note 3)</w:t>
      </w:r>
    </w:p>
    <w:p>
      <w:pPr>
        <w:spacing w:after="0" w:line="4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Purchase of sofware and services by assuming directly related liabilites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40"/>
        <w:spacing w:after="0"/>
        <w:rPr>
          <w:sz w:val="20"/>
          <w:szCs w:val="20"/>
          <w:color w:val="auto"/>
        </w:rPr>
      </w:pPr>
      <w:r>
        <w:rPr>
          <w:rFonts w:ascii="Calibri" w:cs="Calibri" w:eastAsia="Calibri" w:hAnsi="Calibri"/>
          <w:sz w:val="16"/>
          <w:szCs w:val="16"/>
          <w:color w:val="51555C"/>
        </w:rPr>
        <w:t>Purchase of equipment and other assets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1,820</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820" w:type="dxa"/>
            <w:vAlign w:val="bottom"/>
          </w:tcPr>
          <w:p>
            <w:pPr>
              <w:jc w:val="right"/>
              <w:spacing w:after="0"/>
              <w:rPr>
                <w:sz w:val="20"/>
                <w:szCs w:val="20"/>
                <w:color w:val="auto"/>
              </w:rPr>
            </w:pPr>
            <w:r>
              <w:rPr>
                <w:rFonts w:ascii="Calibri" w:cs="Calibri" w:eastAsia="Calibri" w:hAnsi="Calibri"/>
                <w:sz w:val="16"/>
                <w:szCs w:val="16"/>
                <w:color w:val="51555C"/>
              </w:rPr>
              <w:t>(45,407)</w:t>
            </w:r>
          </w:p>
        </w:tc>
        <w:tc>
          <w:tcPr>
            <w:tcW w:w="2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840" w:type="dxa"/>
            <w:vAlign w:val="bottom"/>
          </w:tcPr>
          <w:p>
            <w:pPr>
              <w:jc w:val="right"/>
              <w:spacing w:after="0"/>
              <w:rPr>
                <w:sz w:val="20"/>
                <w:szCs w:val="20"/>
                <w:color w:val="auto"/>
              </w:rPr>
            </w:pPr>
            <w:r>
              <w:rPr>
                <w:rFonts w:ascii="Calibri" w:cs="Calibri" w:eastAsia="Calibri" w:hAnsi="Calibri"/>
                <w:sz w:val="16"/>
                <w:szCs w:val="16"/>
                <w:color w:val="51555C"/>
              </w:rPr>
              <w:t>5,698</w:t>
            </w:r>
          </w:p>
        </w:tc>
      </w:tr>
      <w:tr>
        <w:trPr>
          <w:trHeight w:val="486"/>
        </w:trPr>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109,487</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102,369</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82,410</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4,500</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6,066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11,450</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127,762</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110,294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120,379</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(24,368)</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(26,644)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(2,429)</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1,775</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2,364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1,570</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5,023</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5,676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10,490</w:t>
            </w:r>
          </w:p>
        </w:tc>
      </w:tr>
      <w:tr>
        <w:trPr>
          <w:trHeight w:val="486"/>
        </w:trPr>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(3,237)</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(7,340)</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(6,525)</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16,851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26,235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(2,048)</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(18,576)</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21,607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(9,670)</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(30,275)</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(2,386)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(8,190)</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8,872</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11,059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10,526</w:t>
            </w:r>
          </w:p>
        </w:tc>
      </w:tr>
      <w:tr>
        <w:trPr>
          <w:trHeight w:val="41"/>
        </w:trPr>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195"/>
        </w:trPr>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199,634</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203,893</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213,661</w:t>
            </w:r>
          </w:p>
        </w:tc>
      </w:tr>
      <w:tr>
        <w:trPr>
          <w:trHeight w:val="486"/>
        </w:trPr>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(4,685)</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(12,289)</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(11,664)</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(59,443)</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(58,774)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(40,489)</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(13)</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(20,912)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(419,120)</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6,426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(250)</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41"/>
        </w:trPr>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195"/>
        </w:trPr>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(64,391)</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(85,549)</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(471,273)</w:t>
            </w:r>
          </w:p>
        </w:tc>
      </w:tr>
      <w:tr>
        <w:trPr>
          <w:trHeight w:val="486"/>
        </w:trPr>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293,200</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211,000</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582,200</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(374,595)</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(310,740)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(152,971)</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(3,106)</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(1,339)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(35,867)</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(36,376)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(39,404)</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(6,812)</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111,386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(13,464)</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(60)</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380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(731)</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(18,831)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(108,416)</w:t>
            </w:r>
          </w:p>
        </w:tc>
      </w:tr>
      <w:tr>
        <w:trPr>
          <w:trHeight w:val="41"/>
        </w:trPr>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95"/>
        </w:trPr>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(142,965)</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(25,689)</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264,108</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2,048</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(10,486)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297</w:t>
            </w:r>
          </w:p>
        </w:tc>
      </w:tr>
      <w:tr>
        <w:trPr>
          <w:trHeight w:val="41"/>
        </w:trPr>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195"/>
        </w:trPr>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(5,674)</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82,169</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6,793</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733,931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651,762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644,969</w:t>
            </w:r>
          </w:p>
        </w:tc>
      </w:tr>
      <w:tr>
        <w:trPr>
          <w:trHeight w:val="41"/>
        </w:trPr>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196"/>
        </w:trPr>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820" w:type="dxa"/>
            <w:vAlign w:val="bottom"/>
          </w:tcPr>
          <w:p>
            <w:pPr>
              <w:jc w:val="right"/>
              <w:spacing w:after="0"/>
              <w:rPr>
                <w:sz w:val="20"/>
                <w:szCs w:val="20"/>
                <w:color w:val="auto"/>
              </w:rPr>
            </w:pPr>
            <w:r>
              <w:rPr>
                <w:rFonts w:ascii="Calibri" w:cs="Calibri" w:eastAsia="Calibri" w:hAnsi="Calibri"/>
                <w:sz w:val="16"/>
                <w:szCs w:val="16"/>
                <w:color w:val="51555C"/>
              </w:rPr>
              <w:t>728,257</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820" w:type="dxa"/>
            <w:vAlign w:val="bottom"/>
          </w:tcPr>
          <w:p>
            <w:pPr>
              <w:jc w:val="right"/>
              <w:spacing w:after="0"/>
              <w:rPr>
                <w:sz w:val="20"/>
                <w:szCs w:val="20"/>
                <w:color w:val="auto"/>
              </w:rPr>
            </w:pPr>
            <w:r>
              <w:rPr>
                <w:rFonts w:ascii="Calibri" w:cs="Calibri" w:eastAsia="Calibri" w:hAnsi="Calibri"/>
                <w:sz w:val="16"/>
                <w:szCs w:val="16"/>
                <w:color w:val="51555C"/>
              </w:rPr>
              <w:t>733,931</w:t>
            </w:r>
          </w:p>
        </w:tc>
        <w:tc>
          <w:tcPr>
            <w:tcW w:w="2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840" w:type="dxa"/>
            <w:vAlign w:val="bottom"/>
          </w:tcPr>
          <w:p>
            <w:pPr>
              <w:jc w:val="right"/>
              <w:spacing w:after="0"/>
              <w:rPr>
                <w:sz w:val="20"/>
                <w:szCs w:val="20"/>
                <w:color w:val="auto"/>
              </w:rPr>
            </w:pPr>
            <w:r>
              <w:rPr>
                <w:rFonts w:ascii="Calibri" w:cs="Calibri" w:eastAsia="Calibri" w:hAnsi="Calibri"/>
                <w:sz w:val="16"/>
                <w:szCs w:val="16"/>
                <w:color w:val="51555C"/>
              </w:rPr>
              <w:t>651,762</w:t>
            </w:r>
          </w:p>
        </w:tc>
      </w:tr>
      <w:tr>
        <w:trPr>
          <w:trHeight w:val="41"/>
        </w:trPr>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20" w:type="dxa"/>
            <w:vAlign w:val="bottom"/>
            <w:tcBorders>
              <w:bottom w:val="single" w:sz="8" w:color="51555C"/>
            </w:tcBorders>
          </w:tcPr>
          <w:p>
            <w:pPr>
              <w:spacing w:after="0"/>
              <w:rPr>
                <w:sz w:val="3"/>
                <w:szCs w:val="3"/>
                <w:color w:val="auto"/>
              </w:rPr>
            </w:pPr>
          </w:p>
        </w:tc>
        <w:tc>
          <w:tcPr>
            <w:tcW w:w="280" w:type="dxa"/>
            <w:vAlign w:val="bottom"/>
            <w:tcBorders>
              <w:bottom w:val="single" w:sz="8" w:color="51555C"/>
            </w:tcBorders>
          </w:tcPr>
          <w:p>
            <w:pPr>
              <w:spacing w:after="0"/>
              <w:rPr>
                <w:sz w:val="3"/>
                <w:szCs w:val="3"/>
                <w:color w:val="auto"/>
              </w:rPr>
            </w:pPr>
          </w:p>
        </w:tc>
        <w:tc>
          <w:tcPr>
            <w:tcW w:w="840" w:type="dxa"/>
            <w:vAlign w:val="bottom"/>
            <w:tcBorders>
              <w:bottom w:val="single" w:sz="8" w:color="51555C"/>
            </w:tcBorders>
          </w:tcPr>
          <w:p>
            <w:pPr>
              <w:spacing w:after="0"/>
              <w:rPr>
                <w:sz w:val="3"/>
                <w:szCs w:val="3"/>
                <w:color w:val="auto"/>
              </w:rPr>
            </w:pPr>
          </w:p>
        </w:tc>
      </w:tr>
      <w:tr>
        <w:trPr>
          <w:trHeight w:val="479"/>
        </w:trPr>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(38,052)</w:t>
            </w:r>
          </w:p>
        </w:tc>
        <w:tc>
          <w:tcPr>
            <w:tcW w:w="280" w:type="dxa"/>
            <w:vAlign w:val="bottom"/>
          </w:tcPr>
          <w:p>
            <w:pPr>
              <w:jc w:val="right"/>
              <w:ind w:right="99"/>
              <w:spacing w:after="0"/>
              <w:rPr>
                <w:sz w:val="20"/>
                <w:szCs w:val="20"/>
                <w:color w:val="auto"/>
              </w:rPr>
            </w:pPr>
            <w:r>
              <w:rPr>
                <w:rFonts w:ascii="Calibri" w:cs="Calibri" w:eastAsia="Calibri" w:hAnsi="Calibri"/>
                <w:sz w:val="16"/>
                <w:szCs w:val="16"/>
                <w:color w:val="51555C"/>
                <w:w w:val="97"/>
              </w:rPr>
              <w:t>$</w:t>
            </w: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(33,371)</w:t>
            </w:r>
          </w:p>
        </w:tc>
        <w:tc>
          <w:tcPr>
            <w:tcW w:w="280" w:type="dxa"/>
            <w:vAlign w:val="bottom"/>
          </w:tcPr>
          <w:p>
            <w:pPr>
              <w:jc w:val="right"/>
              <w:ind w:right="79"/>
              <w:spacing w:after="0"/>
              <w:rPr>
                <w:sz w:val="20"/>
                <w:szCs w:val="20"/>
                <w:color w:val="auto"/>
              </w:rPr>
            </w:pPr>
            <w:r>
              <w:rPr>
                <w:rFonts w:ascii="Calibri" w:cs="Calibri" w:eastAsia="Calibri" w:hAnsi="Calibri"/>
                <w:sz w:val="16"/>
                <w:szCs w:val="16"/>
                <w:color w:val="51555C"/>
              </w:rPr>
              <w:t>$</w:t>
            </w: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(16,386)</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(35,619)</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(9,670)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(10,073)</w:t>
            </w:r>
          </w:p>
        </w:tc>
      </w:tr>
      <w:tr>
        <w:trPr>
          <w:trHeight w:val="486"/>
        </w:trPr>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(303,633)</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(2,491)</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(1,710)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w:t>
            </w:r>
          </w:p>
        </w:tc>
      </w:tr>
      <w:tr>
        <w:trPr>
          <w:trHeight w:val="243"/>
        </w:trPr>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(837)</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51555C"/>
              </w:rPr>
              <w:t>(158)</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6"/>
                <w:szCs w:val="16"/>
                <w:color w:val="51555C"/>
              </w:rPr>
              <w:t>(1,747)</w:t>
            </w:r>
          </w:p>
        </w:tc>
      </w:tr>
    </w:tbl>
    <w:p>
      <w:pPr>
        <w:spacing w:after="0" w:line="171" w:lineRule="exact"/>
        <w:rPr>
          <w:sz w:val="20"/>
          <w:szCs w:val="20"/>
          <w:color w:val="auto"/>
        </w:rPr>
      </w:pPr>
    </w:p>
    <w:p>
      <w:pPr>
        <w:sectPr>
          <w:pgSz w:w="11900" w:h="16838" w:orient="portrait"/>
          <w:cols w:equalWidth="0" w:num="2">
            <w:col w:w="7200" w:space="720"/>
            <w:col w:w="3340"/>
          </w:cols>
          <w:pgMar w:left="320" w:top="274" w:right="319" w:bottom="919" w:gutter="0" w:footer="0" w:header="0"/>
          <w:type w:val="continuous"/>
        </w:sectPr>
      </w:pPr>
    </w:p>
    <w:p>
      <w:pPr>
        <w:ind w:right="20"/>
        <w:spacing w:after="0" w:line="235" w:lineRule="auto"/>
        <w:rPr>
          <w:sz w:val="20"/>
          <w:szCs w:val="20"/>
          <w:color w:val="auto"/>
        </w:rPr>
      </w:pPr>
      <w:r>
        <w:rPr>
          <w:rFonts w:ascii="Calibri" w:cs="Calibri" w:eastAsia="Calibri" w:hAnsi="Calibri"/>
          <w:sz w:val="16"/>
          <w:szCs w:val="16"/>
          <w:color w:val="51555C"/>
        </w:rPr>
        <w:t>The following table provides a reconciliaton of cash and cash equivalents and restricted cash reported within the consolidated balance sheets that sum to the total of the same such amounts shown above in the consolidated statements of cash fows: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4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4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7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6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4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14"/>
                <w:szCs w:val="14"/>
                <w:color w:val="auto"/>
              </w:rPr>
            </w:pPr>
          </w:p>
        </w:tc>
      </w:tr>
      <w:tr>
        <w:trPr>
          <w:trHeight w:val="74"/>
        </w:trPr>
        <w:tc>
          <w:tcPr>
            <w:tcW w:w="794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23"/>
        </w:trPr>
        <w:tc>
          <w:tcPr>
            <w:tcW w:w="7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color w:val="51555C"/>
              </w:rPr>
              <w:t>Cash and cash equivalents</w:t>
            </w:r>
          </w:p>
        </w:tc>
        <w:tc>
          <w:tcPr>
            <w:tcW w:w="460" w:type="dxa"/>
            <w:vAlign w:val="bottom"/>
            <w:tcBorders>
              <w:bottom w:val="single" w:sz="8" w:color="EBFBFF"/>
            </w:tcBorders>
            <w:shd w:val="clear" w:color="auto" w:fill="EBFBFF"/>
          </w:tcPr>
          <w:p>
            <w:pPr>
              <w:jc w:val="right"/>
              <w:ind w:right="279"/>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ind w:right="3"/>
              <w:spacing w:after="0"/>
              <w:rPr>
                <w:sz w:val="20"/>
                <w:szCs w:val="20"/>
                <w:color w:val="auto"/>
              </w:rPr>
            </w:pPr>
            <w:r>
              <w:rPr>
                <w:rFonts w:ascii="Calibri" w:cs="Calibri" w:eastAsia="Calibri" w:hAnsi="Calibri"/>
                <w:sz w:val="16"/>
                <w:szCs w:val="16"/>
                <w:color w:val="51555C"/>
              </w:rPr>
              <w:t>31,251</w:t>
            </w:r>
          </w:p>
        </w:tc>
        <w:tc>
          <w:tcPr>
            <w:tcW w:w="440" w:type="dxa"/>
            <w:vAlign w:val="bottom"/>
            <w:tcBorders>
              <w:bottom w:val="single" w:sz="8" w:color="EBFBFF"/>
            </w:tcBorders>
            <w:shd w:val="clear" w:color="auto" w:fill="EBFBFF"/>
          </w:tcPr>
          <w:p>
            <w:pPr>
              <w:jc w:val="right"/>
              <w:ind w:right="259"/>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31,691</w:t>
            </w:r>
          </w:p>
        </w:tc>
        <w:tc>
          <w:tcPr>
            <w:tcW w:w="20" w:type="dxa"/>
            <w:vAlign w:val="bottom"/>
          </w:tcPr>
          <w:p>
            <w:pPr>
              <w:spacing w:after="0"/>
              <w:rPr>
                <w:sz w:val="19"/>
                <w:szCs w:val="19"/>
                <w:color w:val="auto"/>
              </w:rPr>
            </w:pPr>
          </w:p>
        </w:tc>
      </w:tr>
      <w:tr>
        <w:trPr>
          <w:trHeight w:val="202"/>
        </w:trPr>
        <w:tc>
          <w:tcPr>
            <w:tcW w:w="7940" w:type="dxa"/>
            <w:vAlign w:val="bottom"/>
          </w:tcPr>
          <w:p>
            <w:pPr>
              <w:ind w:left="20"/>
              <w:spacing w:after="0"/>
              <w:rPr>
                <w:sz w:val="20"/>
                <w:szCs w:val="20"/>
                <w:color w:val="auto"/>
              </w:rPr>
            </w:pPr>
            <w:r>
              <w:rPr>
                <w:rFonts w:ascii="Calibri" w:cs="Calibri" w:eastAsia="Calibri" w:hAnsi="Calibri"/>
                <w:sz w:val="16"/>
                <w:szCs w:val="16"/>
                <w:color w:val="51555C"/>
              </w:rPr>
              <w:t>Restricted cash</w:t>
            </w:r>
          </w:p>
        </w:tc>
        <w:tc>
          <w:tcPr>
            <w:tcW w:w="4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Calibri" w:cs="Calibri" w:eastAsia="Calibri" w:hAnsi="Calibri"/>
                <w:sz w:val="16"/>
                <w:szCs w:val="16"/>
                <w:color w:val="51555C"/>
              </w:rPr>
              <w:t>697,006</w:t>
            </w: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6"/>
                <w:szCs w:val="16"/>
                <w:color w:val="51555C"/>
              </w:rPr>
              <w:t>702,240</w:t>
            </w:r>
          </w:p>
        </w:tc>
        <w:tc>
          <w:tcPr>
            <w:tcW w:w="20" w:type="dxa"/>
            <w:vAlign w:val="bottom"/>
          </w:tcPr>
          <w:p>
            <w:pPr>
              <w:spacing w:after="0"/>
              <w:rPr>
                <w:sz w:val="17"/>
                <w:szCs w:val="17"/>
                <w:color w:val="auto"/>
              </w:rPr>
            </w:pPr>
          </w:p>
        </w:tc>
      </w:tr>
      <w:tr>
        <w:trPr>
          <w:trHeight w:val="41"/>
        </w:trPr>
        <w:tc>
          <w:tcPr>
            <w:tcW w:w="7940" w:type="dxa"/>
            <w:vAlign w:val="bottom"/>
            <w:tcBorders>
              <w:bottom w:val="single" w:sz="8" w:color="EBFBFF"/>
            </w:tcBorders>
          </w:tcPr>
          <w:p>
            <w:pPr>
              <w:spacing w:after="0"/>
              <w:rPr>
                <w:sz w:val="3"/>
                <w:szCs w:val="3"/>
                <w:color w:val="auto"/>
              </w:rPr>
            </w:pPr>
          </w:p>
        </w:tc>
        <w:tc>
          <w:tcPr>
            <w:tcW w:w="46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440" w:type="dxa"/>
            <w:vAlign w:val="bottom"/>
            <w:tcBorders>
              <w:bottom w:val="single" w:sz="8" w:color="51555C"/>
            </w:tcBorders>
          </w:tcPr>
          <w:p>
            <w:pPr>
              <w:spacing w:after="0"/>
              <w:rPr>
                <w:sz w:val="3"/>
                <w:szCs w:val="3"/>
                <w:color w:val="auto"/>
              </w:rPr>
            </w:pPr>
          </w:p>
        </w:tc>
        <w:tc>
          <w:tcPr>
            <w:tcW w:w="120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r>
      <w:tr>
        <w:trPr>
          <w:trHeight w:val="217"/>
        </w:trPr>
        <w:tc>
          <w:tcPr>
            <w:tcW w:w="794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color w:val="51555C"/>
              </w:rPr>
              <w:t>Total cash, cash equivalents and restricted cash in the statement of cash fows</w:t>
            </w:r>
          </w:p>
        </w:tc>
        <w:tc>
          <w:tcPr>
            <w:tcW w:w="460" w:type="dxa"/>
            <w:vAlign w:val="bottom"/>
            <w:tcBorders>
              <w:bottom w:val="single" w:sz="8" w:color="EBFBFF"/>
            </w:tcBorders>
            <w:shd w:val="clear" w:color="auto" w:fill="EBFBFF"/>
          </w:tcPr>
          <w:p>
            <w:pPr>
              <w:jc w:val="right"/>
              <w:ind w:right="279"/>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ind w:right="3"/>
              <w:spacing w:after="0"/>
              <w:rPr>
                <w:sz w:val="20"/>
                <w:szCs w:val="20"/>
                <w:color w:val="auto"/>
              </w:rPr>
            </w:pPr>
            <w:r>
              <w:rPr>
                <w:rFonts w:ascii="Calibri" w:cs="Calibri" w:eastAsia="Calibri" w:hAnsi="Calibri"/>
                <w:sz w:val="16"/>
                <w:szCs w:val="16"/>
                <w:color w:val="51555C"/>
              </w:rPr>
              <w:t>728,257</w:t>
            </w:r>
          </w:p>
        </w:tc>
        <w:tc>
          <w:tcPr>
            <w:tcW w:w="440" w:type="dxa"/>
            <w:vAlign w:val="bottom"/>
            <w:tcBorders>
              <w:bottom w:val="single" w:sz="8" w:color="EBFBFF"/>
            </w:tcBorders>
            <w:shd w:val="clear" w:color="auto" w:fill="EBFBFF"/>
          </w:tcPr>
          <w:p>
            <w:pPr>
              <w:jc w:val="right"/>
              <w:ind w:right="259"/>
              <w:spacing w:after="0"/>
              <w:rPr>
                <w:sz w:val="20"/>
                <w:szCs w:val="20"/>
                <w:color w:val="auto"/>
              </w:rPr>
            </w:pPr>
            <w:r>
              <w:rPr>
                <w:rFonts w:ascii="Calibri" w:cs="Calibri" w:eastAsia="Calibri" w:hAnsi="Calibri"/>
                <w:sz w:val="16"/>
                <w:szCs w:val="16"/>
                <w:color w:val="51555C"/>
                <w:w w:val="9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733,931</w:t>
            </w:r>
          </w:p>
        </w:tc>
        <w:tc>
          <w:tcPr>
            <w:tcW w:w="20" w:type="dxa"/>
            <w:vAlign w:val="bottom"/>
          </w:tcPr>
          <w:p>
            <w:pPr>
              <w:spacing w:after="0"/>
              <w:rPr>
                <w:sz w:val="18"/>
                <w:szCs w:val="18"/>
                <w:color w:val="auto"/>
              </w:rPr>
            </w:pPr>
          </w:p>
        </w:tc>
      </w:tr>
      <w:tr>
        <w:trPr>
          <w:trHeight w:val="20"/>
        </w:trPr>
        <w:tc>
          <w:tcPr>
            <w:tcW w:w="794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7"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51555C"/>
        </w:rPr>
        <w:t>The accompanying notes are an integral part of these consolidated fnancial statements.</w:t>
      </w:r>
    </w:p>
    <w:p>
      <w:pPr>
        <w:spacing w:after="0" w:line="34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72</w:t>
      </w:r>
      <w:r>
        <w:rPr>
          <w:sz w:val="20"/>
          <w:szCs w:val="20"/>
          <w:color w:val="auto"/>
        </w:rPr>
        <w:tab/>
      </w:r>
      <w:r>
        <w:rPr>
          <w:sz w:val="1"/>
          <w:szCs w:val="1"/>
          <w:color w:val="auto"/>
        </w:rPr>
        <w:drawing>
          <wp:inline distT="0" distB="0" distL="0" distR="0">
            <wp:extent cx="728345" cy="18859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74" w:right="319" w:bottom="919" w:gutter="0" w:footer="0" w:header="0"/>
          <w:type w:val="continuous"/>
        </w:sectPr>
      </w:pPr>
    </w:p>
    <w:bookmarkStart w:id="74" w:name="page75"/>
    <w:bookmarkEnd w:id="74"/>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60" w:type="dxa"/>
            <w:vAlign w:val="bottom"/>
            <w:shd w:val="clear" w:color="auto" w:fill="004054"/>
          </w:tcPr>
          <w:p>
            <w:pPr>
              <w:spacing w:after="0"/>
              <w:rPr>
                <w:sz w:val="17"/>
                <w:szCs w:val="17"/>
                <w:color w:val="auto"/>
              </w:rPr>
            </w:pPr>
          </w:p>
        </w:tc>
        <w:tc>
          <w:tcPr>
            <w:tcW w:w="92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550" w:type="dxa"/>
            <w:vAlign w:val="bottom"/>
            <w:shd w:val="clear" w:color="auto" w:fill="004054"/>
          </w:tcPr>
          <w:p>
            <w:pPr>
              <w:spacing w:after="0"/>
              <w:rPr>
                <w:sz w:val="17"/>
                <w:szCs w:val="17"/>
                <w:color w:val="auto"/>
              </w:rPr>
            </w:pPr>
          </w:p>
        </w:tc>
        <w:tc>
          <w:tcPr>
            <w:tcW w:w="110" w:type="dxa"/>
            <w:vAlign w:val="bottom"/>
            <w:shd w:val="clear" w:color="auto" w:fill="004054"/>
          </w:tcPr>
          <w:p>
            <w:pPr>
              <w:spacing w:after="0"/>
              <w:rPr>
                <w:sz w:val="17"/>
                <w:szCs w:val="17"/>
                <w:color w:val="auto"/>
              </w:rPr>
            </w:pPr>
          </w:p>
        </w:tc>
        <w:tc>
          <w:tcPr>
            <w:tcW w:w="92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70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74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Accumulated</w:t>
            </w:r>
          </w:p>
        </w:tc>
        <w:tc>
          <w:tcPr>
            <w:tcW w:w="160" w:type="dxa"/>
            <w:vAlign w:val="bottom"/>
            <w:shd w:val="clear" w:color="auto" w:fill="004054"/>
          </w:tcPr>
          <w:p>
            <w:pPr>
              <w:spacing w:after="0"/>
              <w:rPr>
                <w:sz w:val="17"/>
                <w:szCs w:val="17"/>
                <w:color w:val="auto"/>
              </w:rPr>
            </w:pPr>
          </w:p>
        </w:tc>
        <w:tc>
          <w:tcPr>
            <w:tcW w:w="66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86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004054"/>
          </w:tcPr>
          <w:p>
            <w:pPr>
              <w:spacing w:after="0"/>
              <w:rPr>
                <w:sz w:val="15"/>
                <w:szCs w:val="15"/>
                <w:color w:val="auto"/>
              </w:rPr>
            </w:pPr>
          </w:p>
        </w:tc>
        <w:tc>
          <w:tcPr>
            <w:tcW w:w="1590" w:type="dxa"/>
            <w:vAlign w:val="bottom"/>
            <w:gridSpan w:val="3"/>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Common stock</w:t>
            </w:r>
          </w:p>
        </w:tc>
        <w:tc>
          <w:tcPr>
            <w:tcW w:w="110" w:type="dxa"/>
            <w:vAlign w:val="bottom"/>
            <w:shd w:val="clear" w:color="auto" w:fill="004054"/>
          </w:tcPr>
          <w:p>
            <w:pPr>
              <w:spacing w:after="0"/>
              <w:rPr>
                <w:sz w:val="15"/>
                <w:szCs w:val="15"/>
                <w:color w:val="auto"/>
              </w:rPr>
            </w:pPr>
          </w:p>
        </w:tc>
        <w:tc>
          <w:tcPr>
            <w:tcW w:w="1760" w:type="dxa"/>
            <w:vAlign w:val="bottom"/>
            <w:gridSpan w:val="3"/>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Treasury stock</w:t>
            </w:r>
          </w:p>
        </w:tc>
        <w:tc>
          <w:tcPr>
            <w:tcW w:w="10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7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Additonal</w:t>
            </w:r>
          </w:p>
        </w:tc>
        <w:tc>
          <w:tcPr>
            <w:tcW w:w="140" w:type="dxa"/>
            <w:vAlign w:val="bottom"/>
            <w:shd w:val="clear" w:color="auto" w:fill="004054"/>
          </w:tcPr>
          <w:p>
            <w:pPr>
              <w:spacing w:after="0"/>
              <w:rPr>
                <w:sz w:val="15"/>
                <w:szCs w:val="15"/>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other</w:t>
            </w:r>
          </w:p>
        </w:tc>
        <w:tc>
          <w:tcPr>
            <w:tcW w:w="160" w:type="dxa"/>
            <w:vAlign w:val="bottom"/>
            <w:shd w:val="clear" w:color="auto" w:fill="004054"/>
          </w:tcPr>
          <w:p>
            <w:pPr>
              <w:spacing w:after="0"/>
              <w:rPr>
                <w:sz w:val="15"/>
                <w:szCs w:val="15"/>
                <w:color w:val="auto"/>
              </w:rPr>
            </w:pPr>
          </w:p>
        </w:tc>
        <w:tc>
          <w:tcPr>
            <w:tcW w:w="660" w:type="dxa"/>
            <w:vAlign w:val="bottom"/>
            <w:vMerge w:val="restart"/>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Retained</w:t>
            </w:r>
          </w:p>
        </w:tc>
        <w:tc>
          <w:tcPr>
            <w:tcW w:w="160" w:type="dxa"/>
            <w:vAlign w:val="bottom"/>
            <w:shd w:val="clear" w:color="auto" w:fill="004054"/>
          </w:tcPr>
          <w:p>
            <w:pPr>
              <w:spacing w:after="0"/>
              <w:rPr>
                <w:sz w:val="15"/>
                <w:szCs w:val="15"/>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860" w:type="dxa"/>
            <w:vAlign w:val="bottom"/>
            <w:shd w:val="clear" w:color="auto" w:fill="004054"/>
          </w:tcPr>
          <w:p>
            <w:pPr>
              <w:spacing w:after="0"/>
              <w:rPr>
                <w:sz w:val="8"/>
                <w:szCs w:val="8"/>
                <w:color w:val="auto"/>
              </w:rPr>
            </w:pPr>
          </w:p>
        </w:tc>
        <w:tc>
          <w:tcPr>
            <w:tcW w:w="1590" w:type="dxa"/>
            <w:vAlign w:val="bottom"/>
            <w:gridSpan w:val="3"/>
            <w:vMerge w:val="continue"/>
            <w:shd w:val="clear" w:color="auto" w:fill="004054"/>
          </w:tcPr>
          <w:p>
            <w:pPr>
              <w:spacing w:after="0"/>
              <w:rPr>
                <w:sz w:val="8"/>
                <w:szCs w:val="8"/>
                <w:color w:val="auto"/>
              </w:rPr>
            </w:pPr>
          </w:p>
        </w:tc>
        <w:tc>
          <w:tcPr>
            <w:tcW w:w="110" w:type="dxa"/>
            <w:vAlign w:val="bottom"/>
            <w:shd w:val="clear" w:color="auto" w:fill="004054"/>
          </w:tcPr>
          <w:p>
            <w:pPr>
              <w:spacing w:after="0"/>
              <w:rPr>
                <w:sz w:val="8"/>
                <w:szCs w:val="8"/>
                <w:color w:val="auto"/>
              </w:rPr>
            </w:pPr>
          </w:p>
        </w:tc>
        <w:tc>
          <w:tcPr>
            <w:tcW w:w="1760" w:type="dxa"/>
            <w:vAlign w:val="bottom"/>
            <w:gridSpan w:val="3"/>
            <w:vMerge w:val="continue"/>
            <w:shd w:val="clear" w:color="auto" w:fill="004054"/>
          </w:tcPr>
          <w:p>
            <w:pPr>
              <w:spacing w:after="0"/>
              <w:rPr>
                <w:sz w:val="8"/>
                <w:szCs w:val="8"/>
                <w:color w:val="auto"/>
              </w:rPr>
            </w:pPr>
          </w:p>
        </w:tc>
        <w:tc>
          <w:tcPr>
            <w:tcW w:w="100" w:type="dxa"/>
            <w:vAlign w:val="bottom"/>
            <w:shd w:val="clear" w:color="auto" w:fill="004054"/>
          </w:tcPr>
          <w:p>
            <w:pPr>
              <w:spacing w:after="0"/>
              <w:rPr>
                <w:sz w:val="8"/>
                <w:szCs w:val="8"/>
                <w:color w:val="auto"/>
              </w:rPr>
            </w:pPr>
          </w:p>
        </w:tc>
        <w:tc>
          <w:tcPr>
            <w:tcW w:w="100" w:type="dxa"/>
            <w:vAlign w:val="bottom"/>
            <w:shd w:val="clear" w:color="auto" w:fill="004054"/>
          </w:tcPr>
          <w:p>
            <w:pPr>
              <w:spacing w:after="0"/>
              <w:rPr>
                <w:sz w:val="8"/>
                <w:szCs w:val="8"/>
                <w:color w:val="auto"/>
              </w:rPr>
            </w:pPr>
          </w:p>
        </w:tc>
        <w:tc>
          <w:tcPr>
            <w:tcW w:w="74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paid-in</w:t>
            </w:r>
          </w:p>
        </w:tc>
        <w:tc>
          <w:tcPr>
            <w:tcW w:w="140" w:type="dxa"/>
            <w:vAlign w:val="bottom"/>
            <w:shd w:val="clear" w:color="auto" w:fill="004054"/>
          </w:tcPr>
          <w:p>
            <w:pPr>
              <w:spacing w:after="0"/>
              <w:rPr>
                <w:sz w:val="8"/>
                <w:szCs w:val="8"/>
                <w:color w:val="auto"/>
              </w:rPr>
            </w:pPr>
          </w:p>
        </w:tc>
        <w:tc>
          <w:tcPr>
            <w:tcW w:w="100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comprehensive</w:t>
            </w:r>
          </w:p>
        </w:tc>
        <w:tc>
          <w:tcPr>
            <w:tcW w:w="160" w:type="dxa"/>
            <w:vAlign w:val="bottom"/>
            <w:shd w:val="clear" w:color="auto" w:fill="004054"/>
          </w:tcPr>
          <w:p>
            <w:pPr>
              <w:spacing w:after="0"/>
              <w:rPr>
                <w:sz w:val="8"/>
                <w:szCs w:val="8"/>
                <w:color w:val="auto"/>
              </w:rPr>
            </w:pPr>
          </w:p>
        </w:tc>
        <w:tc>
          <w:tcPr>
            <w:tcW w:w="660" w:type="dxa"/>
            <w:vAlign w:val="bottom"/>
            <w:vMerge w:val="continue"/>
            <w:shd w:val="clear" w:color="auto" w:fill="004054"/>
          </w:tcPr>
          <w:p>
            <w:pPr>
              <w:spacing w:after="0"/>
              <w:rPr>
                <w:sz w:val="8"/>
                <w:szCs w:val="8"/>
                <w:color w:val="auto"/>
              </w:rPr>
            </w:pPr>
          </w:p>
        </w:tc>
        <w:tc>
          <w:tcPr>
            <w:tcW w:w="160" w:type="dxa"/>
            <w:vAlign w:val="bottom"/>
            <w:shd w:val="clear" w:color="auto" w:fill="004054"/>
          </w:tcPr>
          <w:p>
            <w:pPr>
              <w:spacing w:after="0"/>
              <w:rPr>
                <w:sz w:val="8"/>
                <w:szCs w:val="8"/>
                <w:color w:val="auto"/>
              </w:rPr>
            </w:pPr>
          </w:p>
        </w:tc>
        <w:tc>
          <w:tcPr>
            <w:tcW w:w="86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stockholders'</w:t>
            </w:r>
          </w:p>
        </w:tc>
        <w:tc>
          <w:tcPr>
            <w:tcW w:w="20" w:type="dxa"/>
            <w:vAlign w:val="bottom"/>
            <w:shd w:val="clear" w:color="auto" w:fill="004054"/>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3860" w:type="dxa"/>
            <w:vAlign w:val="bottom"/>
            <w:shd w:val="clear" w:color="auto" w:fill="004054"/>
          </w:tcPr>
          <w:p>
            <w:pPr>
              <w:spacing w:after="0"/>
              <w:rPr>
                <w:sz w:val="5"/>
                <w:szCs w:val="5"/>
                <w:color w:val="auto"/>
              </w:rPr>
            </w:pPr>
          </w:p>
        </w:tc>
        <w:tc>
          <w:tcPr>
            <w:tcW w:w="92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550" w:type="dxa"/>
            <w:vAlign w:val="bottom"/>
            <w:shd w:val="clear" w:color="auto" w:fill="004054"/>
          </w:tcPr>
          <w:p>
            <w:pPr>
              <w:spacing w:after="0"/>
              <w:rPr>
                <w:sz w:val="5"/>
                <w:szCs w:val="5"/>
                <w:color w:val="auto"/>
              </w:rPr>
            </w:pPr>
          </w:p>
        </w:tc>
        <w:tc>
          <w:tcPr>
            <w:tcW w:w="110" w:type="dxa"/>
            <w:vAlign w:val="bottom"/>
            <w:shd w:val="clear" w:color="auto" w:fill="004054"/>
          </w:tcPr>
          <w:p>
            <w:pPr>
              <w:spacing w:after="0"/>
              <w:rPr>
                <w:sz w:val="5"/>
                <w:szCs w:val="5"/>
                <w:color w:val="auto"/>
              </w:rPr>
            </w:pPr>
          </w:p>
        </w:tc>
        <w:tc>
          <w:tcPr>
            <w:tcW w:w="92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700" w:type="dxa"/>
            <w:vAlign w:val="bottom"/>
            <w:shd w:val="clear" w:color="auto" w:fill="004054"/>
          </w:tcPr>
          <w:p>
            <w:pPr>
              <w:spacing w:after="0"/>
              <w:rPr>
                <w:sz w:val="5"/>
                <w:szCs w:val="5"/>
                <w:color w:val="auto"/>
              </w:rPr>
            </w:pPr>
          </w:p>
        </w:tc>
        <w:tc>
          <w:tcPr>
            <w:tcW w:w="100" w:type="dxa"/>
            <w:vAlign w:val="bottom"/>
            <w:shd w:val="clear" w:color="auto" w:fill="004054"/>
          </w:tcPr>
          <w:p>
            <w:pPr>
              <w:spacing w:after="0"/>
              <w:rPr>
                <w:sz w:val="5"/>
                <w:szCs w:val="5"/>
                <w:color w:val="auto"/>
              </w:rPr>
            </w:pPr>
          </w:p>
        </w:tc>
        <w:tc>
          <w:tcPr>
            <w:tcW w:w="100" w:type="dxa"/>
            <w:vAlign w:val="bottom"/>
            <w:shd w:val="clear" w:color="auto" w:fill="004054"/>
          </w:tcPr>
          <w:p>
            <w:pPr>
              <w:spacing w:after="0"/>
              <w:rPr>
                <w:sz w:val="5"/>
                <w:szCs w:val="5"/>
                <w:color w:val="auto"/>
              </w:rPr>
            </w:pPr>
          </w:p>
        </w:tc>
        <w:tc>
          <w:tcPr>
            <w:tcW w:w="740" w:type="dxa"/>
            <w:vAlign w:val="bottom"/>
            <w:vMerge w:val="continue"/>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1000" w:type="dxa"/>
            <w:vAlign w:val="bottom"/>
            <w:vMerge w:val="continue"/>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660" w:type="dxa"/>
            <w:vAlign w:val="bottom"/>
            <w:vMerge w:val="continue"/>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860" w:type="dxa"/>
            <w:vAlign w:val="bottom"/>
            <w:vMerge w:val="continue"/>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Shares</w:t>
            </w:r>
          </w:p>
        </w:tc>
        <w:tc>
          <w:tcPr>
            <w:tcW w:w="120" w:type="dxa"/>
            <w:vAlign w:val="bottom"/>
            <w:shd w:val="clear" w:color="auto" w:fill="004054"/>
          </w:tcPr>
          <w:p>
            <w:pPr>
              <w:spacing w:after="0"/>
              <w:rPr>
                <w:sz w:val="17"/>
                <w:szCs w:val="17"/>
                <w:color w:val="auto"/>
              </w:rPr>
            </w:pPr>
          </w:p>
        </w:tc>
        <w:tc>
          <w:tcPr>
            <w:tcW w:w="5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Amount</w:t>
            </w:r>
          </w:p>
        </w:tc>
        <w:tc>
          <w:tcPr>
            <w:tcW w:w="110" w:type="dxa"/>
            <w:vAlign w:val="bottom"/>
            <w:shd w:val="clear" w:color="auto" w:fill="004054"/>
          </w:tcPr>
          <w:p>
            <w:pPr>
              <w:spacing w:after="0"/>
              <w:rPr>
                <w:sz w:val="17"/>
                <w:szCs w:val="17"/>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Shares</w:t>
            </w:r>
          </w:p>
        </w:tc>
        <w:tc>
          <w:tcPr>
            <w:tcW w:w="140" w:type="dxa"/>
            <w:vAlign w:val="bottom"/>
            <w:shd w:val="clear" w:color="auto" w:fill="004054"/>
          </w:tcPr>
          <w:p>
            <w:pPr>
              <w:spacing w:after="0"/>
              <w:rPr>
                <w:sz w:val="17"/>
                <w:szCs w:val="17"/>
                <w:color w:val="auto"/>
              </w:rPr>
            </w:pPr>
          </w:p>
        </w:tc>
        <w:tc>
          <w:tcPr>
            <w:tcW w:w="7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Amount</w:t>
            </w:r>
          </w:p>
        </w:tc>
        <w:tc>
          <w:tcPr>
            <w:tcW w:w="10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7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capital</w:t>
            </w:r>
          </w:p>
        </w:tc>
        <w:tc>
          <w:tcPr>
            <w:tcW w:w="140" w:type="dxa"/>
            <w:vAlign w:val="bottom"/>
            <w:shd w:val="clear" w:color="auto" w:fill="004054"/>
          </w:tcPr>
          <w:p>
            <w:pPr>
              <w:spacing w:after="0"/>
              <w:rPr>
                <w:sz w:val="17"/>
                <w:szCs w:val="17"/>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income</w:t>
            </w:r>
          </w:p>
        </w:tc>
        <w:tc>
          <w:tcPr>
            <w:tcW w:w="160" w:type="dxa"/>
            <w:vAlign w:val="bottom"/>
            <w:shd w:val="clear" w:color="auto" w:fill="004054"/>
          </w:tcPr>
          <w:p>
            <w:pPr>
              <w:spacing w:after="0"/>
              <w:rPr>
                <w:sz w:val="17"/>
                <w:szCs w:val="17"/>
                <w:color w:val="auto"/>
              </w:rPr>
            </w:pPr>
          </w:p>
        </w:tc>
        <w:tc>
          <w:tcPr>
            <w:tcW w:w="660" w:type="dxa"/>
            <w:vAlign w:val="bottom"/>
            <w:shd w:val="clear" w:color="auto" w:fill="004054"/>
          </w:tcPr>
          <w:p>
            <w:pPr>
              <w:jc w:val="center"/>
              <w:ind w:left="20"/>
              <w:spacing w:after="0"/>
              <w:rPr>
                <w:sz w:val="20"/>
                <w:szCs w:val="20"/>
                <w:color w:val="auto"/>
              </w:rPr>
            </w:pPr>
            <w:r>
              <w:rPr>
                <w:rFonts w:ascii="Calibri" w:cs="Calibri" w:eastAsia="Calibri" w:hAnsi="Calibri"/>
                <w:sz w:val="14"/>
                <w:szCs w:val="14"/>
                <w:b w:val="1"/>
                <w:bCs w:val="1"/>
                <w:color w:val="FFFFFF"/>
              </w:rPr>
              <w:t>earnings</w:t>
            </w:r>
          </w:p>
        </w:tc>
        <w:tc>
          <w:tcPr>
            <w:tcW w:w="160" w:type="dxa"/>
            <w:vAlign w:val="bottom"/>
            <w:shd w:val="clear" w:color="auto" w:fill="004054"/>
          </w:tcPr>
          <w:p>
            <w:pPr>
              <w:spacing w:after="0"/>
              <w:rPr>
                <w:sz w:val="17"/>
                <w:szCs w:val="17"/>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equity</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860" w:type="dxa"/>
            <w:vAlign w:val="bottom"/>
            <w:shd w:val="clear" w:color="auto" w:fill="004054"/>
          </w:tcPr>
          <w:p>
            <w:pPr>
              <w:spacing w:after="0"/>
              <w:rPr>
                <w:sz w:val="5"/>
                <w:szCs w:val="5"/>
                <w:color w:val="auto"/>
              </w:rPr>
            </w:pPr>
          </w:p>
        </w:tc>
        <w:tc>
          <w:tcPr>
            <w:tcW w:w="920" w:type="dxa"/>
            <w:vAlign w:val="bottom"/>
            <w:shd w:val="clear" w:color="auto" w:fill="004054"/>
          </w:tcPr>
          <w:p>
            <w:pPr>
              <w:spacing w:after="0"/>
              <w:rPr>
                <w:sz w:val="5"/>
                <w:szCs w:val="5"/>
                <w:color w:val="auto"/>
              </w:rPr>
            </w:pPr>
          </w:p>
        </w:tc>
        <w:tc>
          <w:tcPr>
            <w:tcW w:w="120" w:type="dxa"/>
            <w:vAlign w:val="bottom"/>
            <w:shd w:val="clear" w:color="auto" w:fill="004054"/>
          </w:tcPr>
          <w:p>
            <w:pPr>
              <w:spacing w:after="0"/>
              <w:rPr>
                <w:sz w:val="5"/>
                <w:szCs w:val="5"/>
                <w:color w:val="auto"/>
              </w:rPr>
            </w:pPr>
          </w:p>
        </w:tc>
        <w:tc>
          <w:tcPr>
            <w:tcW w:w="550" w:type="dxa"/>
            <w:vAlign w:val="bottom"/>
            <w:shd w:val="clear" w:color="auto" w:fill="004054"/>
          </w:tcPr>
          <w:p>
            <w:pPr>
              <w:spacing w:after="0"/>
              <w:rPr>
                <w:sz w:val="5"/>
                <w:szCs w:val="5"/>
                <w:color w:val="auto"/>
              </w:rPr>
            </w:pPr>
          </w:p>
        </w:tc>
        <w:tc>
          <w:tcPr>
            <w:tcW w:w="110" w:type="dxa"/>
            <w:vAlign w:val="bottom"/>
            <w:shd w:val="clear" w:color="auto" w:fill="004054"/>
          </w:tcPr>
          <w:p>
            <w:pPr>
              <w:spacing w:after="0"/>
              <w:rPr>
                <w:sz w:val="5"/>
                <w:szCs w:val="5"/>
                <w:color w:val="auto"/>
              </w:rPr>
            </w:pPr>
          </w:p>
        </w:tc>
        <w:tc>
          <w:tcPr>
            <w:tcW w:w="92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700" w:type="dxa"/>
            <w:vAlign w:val="bottom"/>
            <w:shd w:val="clear" w:color="auto" w:fill="004054"/>
          </w:tcPr>
          <w:p>
            <w:pPr>
              <w:spacing w:after="0"/>
              <w:rPr>
                <w:sz w:val="5"/>
                <w:szCs w:val="5"/>
                <w:color w:val="auto"/>
              </w:rPr>
            </w:pPr>
          </w:p>
        </w:tc>
        <w:tc>
          <w:tcPr>
            <w:tcW w:w="100" w:type="dxa"/>
            <w:vAlign w:val="bottom"/>
            <w:shd w:val="clear" w:color="auto" w:fill="004054"/>
          </w:tcPr>
          <w:p>
            <w:pPr>
              <w:spacing w:after="0"/>
              <w:rPr>
                <w:sz w:val="5"/>
                <w:szCs w:val="5"/>
                <w:color w:val="auto"/>
              </w:rPr>
            </w:pPr>
          </w:p>
        </w:tc>
        <w:tc>
          <w:tcPr>
            <w:tcW w:w="100" w:type="dxa"/>
            <w:vAlign w:val="bottom"/>
            <w:shd w:val="clear" w:color="auto" w:fill="004054"/>
          </w:tcPr>
          <w:p>
            <w:pPr>
              <w:spacing w:after="0"/>
              <w:rPr>
                <w:sz w:val="5"/>
                <w:szCs w:val="5"/>
                <w:color w:val="auto"/>
              </w:rPr>
            </w:pPr>
          </w:p>
        </w:tc>
        <w:tc>
          <w:tcPr>
            <w:tcW w:w="740" w:type="dxa"/>
            <w:vAlign w:val="bottom"/>
            <w:shd w:val="clear" w:color="auto" w:fill="004054"/>
          </w:tcPr>
          <w:p>
            <w:pPr>
              <w:spacing w:after="0"/>
              <w:rPr>
                <w:sz w:val="5"/>
                <w:szCs w:val="5"/>
                <w:color w:val="auto"/>
              </w:rPr>
            </w:pPr>
          </w:p>
        </w:tc>
        <w:tc>
          <w:tcPr>
            <w:tcW w:w="140" w:type="dxa"/>
            <w:vAlign w:val="bottom"/>
            <w:shd w:val="clear" w:color="auto" w:fill="004054"/>
          </w:tcPr>
          <w:p>
            <w:pPr>
              <w:spacing w:after="0"/>
              <w:rPr>
                <w:sz w:val="5"/>
                <w:szCs w:val="5"/>
                <w:color w:val="auto"/>
              </w:rPr>
            </w:pPr>
          </w:p>
        </w:tc>
        <w:tc>
          <w:tcPr>
            <w:tcW w:w="100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660" w:type="dxa"/>
            <w:vAlign w:val="bottom"/>
            <w:shd w:val="clear" w:color="auto" w:fill="004054"/>
          </w:tcPr>
          <w:p>
            <w:pPr>
              <w:spacing w:after="0"/>
              <w:rPr>
                <w:sz w:val="5"/>
                <w:szCs w:val="5"/>
                <w:color w:val="auto"/>
              </w:rPr>
            </w:pPr>
          </w:p>
        </w:tc>
        <w:tc>
          <w:tcPr>
            <w:tcW w:w="160" w:type="dxa"/>
            <w:vAlign w:val="bottom"/>
            <w:shd w:val="clear" w:color="auto" w:fill="004054"/>
          </w:tcPr>
          <w:p>
            <w:pPr>
              <w:spacing w:after="0"/>
              <w:rPr>
                <w:sz w:val="5"/>
                <w:szCs w:val="5"/>
                <w:color w:val="auto"/>
              </w:rPr>
            </w:pPr>
          </w:p>
        </w:tc>
        <w:tc>
          <w:tcPr>
            <w:tcW w:w="86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6"/>
                <w:szCs w:val="16"/>
                <w:b w:val="1"/>
                <w:bCs w:val="1"/>
                <w:color w:val="51555C"/>
              </w:rPr>
              <w:t>Balance at December 31, 2020</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60,904,638</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5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61</w:t>
            </w:r>
          </w:p>
        </w:tc>
        <w:tc>
          <w:tcPr>
            <w:tcW w:w="11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(12,054,268)</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(353,091)</w:t>
            </w:r>
          </w:p>
        </w:tc>
        <w:tc>
          <w:tcPr>
            <w:tcW w:w="100" w:type="dxa"/>
            <w:vAlign w:val="bottom"/>
            <w:tcBorders>
              <w:bottom w:val="single" w:sz="8" w:color="EBFBFF"/>
            </w:tcBorders>
            <w:shd w:val="clear" w:color="auto" w:fill="EBFBFF"/>
          </w:tcPr>
          <w:p>
            <w:pPr>
              <w:spacing w:after="0"/>
              <w:rPr>
                <w:sz w:val="19"/>
                <w:szCs w:val="19"/>
                <w:color w:val="auto"/>
              </w:rPr>
            </w:pP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544,963</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(2,497)</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236,714</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426,150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Net income</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5,698</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5,698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860" w:type="dxa"/>
            <w:vAlign w:val="bottom"/>
            <w:shd w:val="clear" w:color="auto" w:fill="EBFBFF"/>
          </w:tcPr>
          <w:p>
            <w:pPr>
              <w:ind w:left="140"/>
              <w:spacing w:after="0"/>
              <w:rPr>
                <w:sz w:val="20"/>
                <w:szCs w:val="20"/>
                <w:color w:val="auto"/>
              </w:rPr>
            </w:pPr>
            <w:r>
              <w:rPr>
                <w:rFonts w:ascii="Calibri" w:cs="Calibri" w:eastAsia="Calibri" w:hAnsi="Calibri"/>
                <w:sz w:val="16"/>
                <w:szCs w:val="16"/>
                <w:color w:val="51555C"/>
              </w:rPr>
              <w:t>Common stock issued in purchase of EVERFI (see Note</w:t>
            </w:r>
          </w:p>
        </w:tc>
        <w:tc>
          <w:tcPr>
            <w:tcW w:w="92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550" w:type="dxa"/>
            <w:vAlign w:val="bottom"/>
            <w:shd w:val="clear" w:color="auto" w:fill="EBFBFF"/>
          </w:tcPr>
          <w:p>
            <w:pPr>
              <w:spacing w:after="0"/>
              <w:rPr>
                <w:sz w:val="17"/>
                <w:szCs w:val="17"/>
                <w:color w:val="auto"/>
              </w:rPr>
            </w:pPr>
          </w:p>
        </w:tc>
        <w:tc>
          <w:tcPr>
            <w:tcW w:w="110" w:type="dxa"/>
            <w:vAlign w:val="bottom"/>
            <w:shd w:val="clear" w:color="auto" w:fill="EBFBFF"/>
          </w:tcPr>
          <w:p>
            <w:pPr>
              <w:spacing w:after="0"/>
              <w:rPr>
                <w:sz w:val="17"/>
                <w:szCs w:val="17"/>
                <w:color w:val="auto"/>
              </w:rPr>
            </w:pPr>
          </w:p>
        </w:tc>
        <w:tc>
          <w:tcPr>
            <w:tcW w:w="92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70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74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66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86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60" w:type="dxa"/>
            <w:vAlign w:val="bottom"/>
            <w:tcBorders>
              <w:bottom w:val="single" w:sz="8" w:color="EBFBFF"/>
            </w:tcBorders>
            <w:shd w:val="clear" w:color="auto" w:fill="EBFBFF"/>
          </w:tcPr>
          <w:p>
            <w:pPr>
              <w:ind w:left="140"/>
              <w:spacing w:after="0" w:line="193" w:lineRule="exact"/>
              <w:rPr>
                <w:sz w:val="20"/>
                <w:szCs w:val="20"/>
                <w:color w:val="auto"/>
              </w:rPr>
            </w:pPr>
            <w:r>
              <w:rPr>
                <w:rFonts w:ascii="Calibri" w:cs="Calibri" w:eastAsia="Calibri" w:hAnsi="Calibri"/>
                <w:sz w:val="16"/>
                <w:szCs w:val="16"/>
                <w:color w:val="51555C"/>
              </w:rPr>
              <w:t>3)</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3,844,423</w:t>
            </w:r>
          </w:p>
        </w:tc>
        <w:tc>
          <w:tcPr>
            <w:tcW w:w="120" w:type="dxa"/>
            <w:vAlign w:val="bottom"/>
            <w:tcBorders>
              <w:bottom w:val="single" w:sz="8" w:color="EBFBFF"/>
            </w:tcBorders>
            <w:shd w:val="clear" w:color="auto" w:fill="EBFBFF"/>
          </w:tcPr>
          <w:p>
            <w:pPr>
              <w:spacing w:after="0"/>
              <w:rPr>
                <w:sz w:val="19"/>
                <w:szCs w:val="19"/>
                <w:color w:val="auto"/>
              </w:rPr>
            </w:pPr>
          </w:p>
        </w:tc>
        <w:tc>
          <w:tcPr>
            <w:tcW w:w="5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w:t>
            </w:r>
          </w:p>
        </w:tc>
        <w:tc>
          <w:tcPr>
            <w:tcW w:w="11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303,629</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303,633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140"/>
              <w:spacing w:after="0"/>
              <w:rPr>
                <w:sz w:val="20"/>
                <w:szCs w:val="20"/>
                <w:color w:val="auto"/>
              </w:rPr>
            </w:pPr>
            <w:r>
              <w:rPr>
                <w:rFonts w:ascii="Calibri" w:cs="Calibri" w:eastAsia="Calibri" w:hAnsi="Calibri"/>
                <w:sz w:val="16"/>
                <w:szCs w:val="16"/>
                <w:color w:val="51555C"/>
              </w:rPr>
              <w:t>Purchase of treasury shares under stock repurchase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tcPr>
          <w:p>
            <w:pPr>
              <w:ind w:left="140"/>
              <w:spacing w:after="0" w:line="193" w:lineRule="exact"/>
              <w:rPr>
                <w:sz w:val="20"/>
                <w:szCs w:val="20"/>
                <w:color w:val="auto"/>
              </w:rPr>
            </w:pPr>
            <w:r>
              <w:rPr>
                <w:rFonts w:ascii="Calibri" w:cs="Calibri" w:eastAsia="Calibri" w:hAnsi="Calibri"/>
                <w:sz w:val="16"/>
                <w:szCs w:val="16"/>
                <w:color w:val="51555C"/>
              </w:rPr>
              <w:t>program</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(1,592,933)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Calibri" w:cs="Calibri" w:eastAsia="Calibri" w:hAnsi="Calibri"/>
                <w:sz w:val="16"/>
                <w:szCs w:val="16"/>
                <w:color w:val="51555C"/>
              </w:rPr>
              <w:t>(108,416)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(108,416)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1,014,562</w:t>
            </w:r>
          </w:p>
        </w:tc>
        <w:tc>
          <w:tcPr>
            <w:tcW w:w="120" w:type="dxa"/>
            <w:vAlign w:val="bottom"/>
            <w:tcBorders>
              <w:bottom w:val="single" w:sz="8" w:color="EBFBFF"/>
            </w:tcBorders>
            <w:shd w:val="clear" w:color="auto" w:fill="EBFBFF"/>
          </w:tcPr>
          <w:p>
            <w:pPr>
              <w:spacing w:after="0"/>
              <w:rPr>
                <w:sz w:val="19"/>
                <w:szCs w:val="19"/>
                <w:color w:val="auto"/>
              </w:rPr>
            </w:pPr>
          </w:p>
        </w:tc>
        <w:tc>
          <w:tcPr>
            <w:tcW w:w="5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w:t>
            </w:r>
          </w:p>
        </w:tc>
        <w:tc>
          <w:tcPr>
            <w:tcW w:w="110" w:type="dxa"/>
            <w:vAlign w:val="bottom"/>
            <w:tcBorders>
              <w:bottom w:val="single" w:sz="8" w:color="EBFBFF"/>
            </w:tcBorders>
            <w:shd w:val="clear" w:color="auto" w:fill="EBFBFF"/>
          </w:tcPr>
          <w:p>
            <w:pPr>
              <w:spacing w:after="0"/>
              <w:rPr>
                <w:sz w:val="19"/>
                <w:szCs w:val="19"/>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(535,604)</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alibri" w:cs="Calibri" w:eastAsia="Calibri" w:hAnsi="Calibri"/>
                <w:sz w:val="16"/>
                <w:szCs w:val="16"/>
                <w:color w:val="51555C"/>
              </w:rPr>
              <w:t>(39,404)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(39,404)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Stock-based compensaton</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120,335</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44</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120,379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Restricted stock grants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596,763</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(194,720)</w:t>
            </w:r>
          </w:p>
        </w:tc>
        <w:tc>
          <w:tcPr>
            <w:tcW w:w="12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Other comprehensive income</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9,019</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9,019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Borders>
              <w:bottom w:val="single" w:sz="8" w:color="EBFBFF"/>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550" w:type="dxa"/>
            <w:vAlign w:val="bottom"/>
            <w:tcBorders>
              <w:bottom w:val="single" w:sz="8" w:color="51555C"/>
            </w:tcBorders>
          </w:tcPr>
          <w:p>
            <w:pPr>
              <w:spacing w:after="0"/>
              <w:rPr>
                <w:sz w:val="3"/>
                <w:szCs w:val="3"/>
                <w:color w:val="auto"/>
              </w:rPr>
            </w:pPr>
          </w:p>
        </w:tc>
        <w:tc>
          <w:tcPr>
            <w:tcW w:w="11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70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74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66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Balance at December 31, 2021</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66,165,666</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5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66</w:t>
            </w:r>
          </w:p>
        </w:tc>
        <w:tc>
          <w:tcPr>
            <w:tcW w:w="11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(14,182,805)</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(500,911)</w:t>
            </w:r>
          </w:p>
        </w:tc>
        <w:tc>
          <w:tcPr>
            <w:tcW w:w="10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968,927</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6,522</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242,456</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717,060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Net loss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Calibri" w:cs="Calibri" w:eastAsia="Calibri" w:hAnsi="Calibri"/>
                <w:sz w:val="16"/>
                <w:szCs w:val="16"/>
                <w:color w:val="51555C"/>
                <w:w w:val="99"/>
              </w:rPr>
              <w:t>(45,407)</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(45,407)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860" w:type="dxa"/>
            <w:vAlign w:val="bottom"/>
            <w:shd w:val="clear" w:color="auto" w:fill="EBFBFF"/>
          </w:tcPr>
          <w:p>
            <w:pPr>
              <w:ind w:left="140"/>
              <w:spacing w:after="0"/>
              <w:rPr>
                <w:sz w:val="20"/>
                <w:szCs w:val="20"/>
                <w:color w:val="auto"/>
              </w:rPr>
            </w:pPr>
            <w:r>
              <w:rPr>
                <w:rFonts w:ascii="Calibri" w:cs="Calibri" w:eastAsia="Calibri" w:hAnsi="Calibri"/>
                <w:sz w:val="16"/>
                <w:szCs w:val="16"/>
                <w:color w:val="51555C"/>
              </w:rPr>
              <w:t>Stock issuance costs related to purchase of EVERFI (see</w:t>
            </w:r>
          </w:p>
        </w:tc>
        <w:tc>
          <w:tcPr>
            <w:tcW w:w="920" w:type="dxa"/>
            <w:vAlign w:val="bottom"/>
            <w:shd w:val="clear" w:color="auto" w:fill="EBFBFF"/>
          </w:tcPr>
          <w:p>
            <w:pPr>
              <w:spacing w:after="0"/>
              <w:rPr>
                <w:sz w:val="17"/>
                <w:szCs w:val="17"/>
                <w:color w:val="auto"/>
              </w:rPr>
            </w:pPr>
          </w:p>
        </w:tc>
        <w:tc>
          <w:tcPr>
            <w:tcW w:w="120" w:type="dxa"/>
            <w:vAlign w:val="bottom"/>
            <w:shd w:val="clear" w:color="auto" w:fill="EBFBFF"/>
          </w:tcPr>
          <w:p>
            <w:pPr>
              <w:spacing w:after="0"/>
              <w:rPr>
                <w:sz w:val="17"/>
                <w:szCs w:val="17"/>
                <w:color w:val="auto"/>
              </w:rPr>
            </w:pPr>
          </w:p>
        </w:tc>
        <w:tc>
          <w:tcPr>
            <w:tcW w:w="550" w:type="dxa"/>
            <w:vAlign w:val="bottom"/>
            <w:shd w:val="clear" w:color="auto" w:fill="EBFBFF"/>
          </w:tcPr>
          <w:p>
            <w:pPr>
              <w:spacing w:after="0"/>
              <w:rPr>
                <w:sz w:val="17"/>
                <w:szCs w:val="17"/>
                <w:color w:val="auto"/>
              </w:rPr>
            </w:pPr>
          </w:p>
        </w:tc>
        <w:tc>
          <w:tcPr>
            <w:tcW w:w="110" w:type="dxa"/>
            <w:vAlign w:val="bottom"/>
            <w:shd w:val="clear" w:color="auto" w:fill="EBFBFF"/>
          </w:tcPr>
          <w:p>
            <w:pPr>
              <w:spacing w:after="0"/>
              <w:rPr>
                <w:sz w:val="17"/>
                <w:szCs w:val="17"/>
                <w:color w:val="auto"/>
              </w:rPr>
            </w:pPr>
          </w:p>
        </w:tc>
        <w:tc>
          <w:tcPr>
            <w:tcW w:w="92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70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74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660" w:type="dxa"/>
            <w:vAlign w:val="bottom"/>
            <w:shd w:val="clear" w:color="auto" w:fill="EBFBFF"/>
          </w:tcPr>
          <w:p>
            <w:pPr>
              <w:spacing w:after="0"/>
              <w:rPr>
                <w:sz w:val="17"/>
                <w:szCs w:val="17"/>
                <w:color w:val="auto"/>
              </w:rPr>
            </w:pPr>
          </w:p>
        </w:tc>
        <w:tc>
          <w:tcPr>
            <w:tcW w:w="160" w:type="dxa"/>
            <w:vAlign w:val="bottom"/>
            <w:shd w:val="clear" w:color="auto" w:fill="EBFBFF"/>
          </w:tcPr>
          <w:p>
            <w:pPr>
              <w:spacing w:after="0"/>
              <w:rPr>
                <w:sz w:val="17"/>
                <w:szCs w:val="17"/>
                <w:color w:val="auto"/>
              </w:rPr>
            </w:pPr>
          </w:p>
        </w:tc>
        <w:tc>
          <w:tcPr>
            <w:tcW w:w="86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60" w:type="dxa"/>
            <w:vAlign w:val="bottom"/>
            <w:tcBorders>
              <w:bottom w:val="single" w:sz="8" w:color="EBFBFF"/>
            </w:tcBorders>
            <w:shd w:val="clear" w:color="auto" w:fill="EBFBFF"/>
          </w:tcPr>
          <w:p>
            <w:pPr>
              <w:ind w:left="140"/>
              <w:spacing w:after="0" w:line="193" w:lineRule="exact"/>
              <w:rPr>
                <w:sz w:val="20"/>
                <w:szCs w:val="20"/>
                <w:color w:val="auto"/>
              </w:rPr>
            </w:pPr>
            <w:r>
              <w:rPr>
                <w:rFonts w:ascii="Calibri" w:cs="Calibri" w:eastAsia="Calibri" w:hAnsi="Calibri"/>
                <w:sz w:val="16"/>
                <w:szCs w:val="16"/>
                <w:color w:val="51555C"/>
              </w:rPr>
              <w:t>Note 3)</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(1,352)</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40"/>
              <w:spacing w:after="0" w:line="243" w:lineRule="exact"/>
              <w:rPr>
                <w:sz w:val="20"/>
                <w:szCs w:val="20"/>
                <w:color w:val="auto"/>
              </w:rPr>
            </w:pPr>
            <w:r>
              <w:rPr>
                <w:rFonts w:ascii="Calibri" w:cs="Calibri" w:eastAsia="Calibri" w:hAnsi="Calibri"/>
                <w:sz w:val="16"/>
                <w:szCs w:val="16"/>
                <w:color w:val="51555C"/>
              </w:rPr>
              <w:t>Retrements of common stock</w:t>
            </w:r>
            <w:r>
              <w:rPr>
                <w:rFonts w:ascii="Calibri" w:cs="Calibri" w:eastAsia="Calibri" w:hAnsi="Calibri"/>
                <w:sz w:val="21"/>
                <w:szCs w:val="21"/>
                <w:color w:val="51555C"/>
                <w:vertAlign w:val="superscript"/>
              </w:rPr>
              <w:t>(1)</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(33,535)</w:t>
            </w:r>
          </w:p>
        </w:tc>
        <w:tc>
          <w:tcPr>
            <w:tcW w:w="12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21"/>
                <w:szCs w:val="21"/>
                <w:color w:val="auto"/>
              </w:rPr>
            </w:pPr>
          </w:p>
        </w:tc>
        <w:tc>
          <w:tcPr>
            <w:tcW w:w="800" w:type="dxa"/>
            <w:vAlign w:val="bottom"/>
            <w:gridSpan w:val="2"/>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(2,605)</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(2,605)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1,015,304</w:t>
            </w:r>
          </w:p>
        </w:tc>
        <w:tc>
          <w:tcPr>
            <w:tcW w:w="12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(562,425)</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alibri" w:cs="Calibri" w:eastAsia="Calibri" w:hAnsi="Calibri"/>
                <w:sz w:val="16"/>
                <w:szCs w:val="16"/>
                <w:color w:val="51555C"/>
              </w:rPr>
              <w:t>(36,376)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(36,376)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Stock-based compensaton</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110,294</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110,294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Restricted stock grants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846,295</w:t>
            </w:r>
          </w:p>
        </w:tc>
        <w:tc>
          <w:tcPr>
            <w:tcW w:w="120" w:type="dxa"/>
            <w:vAlign w:val="bottom"/>
          </w:tcPr>
          <w:p>
            <w:pPr>
              <w:spacing w:after="0"/>
              <w:rPr>
                <w:sz w:val="17"/>
                <w:szCs w:val="17"/>
                <w:color w:val="auto"/>
              </w:rPr>
            </w:pPr>
          </w:p>
        </w:tc>
        <w:tc>
          <w:tcPr>
            <w:tcW w:w="550" w:type="dxa"/>
            <w:vAlign w:val="bottom"/>
          </w:tcPr>
          <w:p>
            <w:pPr>
              <w:jc w:val="right"/>
              <w:spacing w:after="0"/>
              <w:rPr>
                <w:sz w:val="20"/>
                <w:szCs w:val="20"/>
                <w:color w:val="auto"/>
              </w:rPr>
            </w:pPr>
            <w:r>
              <w:rPr>
                <w:rFonts w:ascii="Calibri" w:cs="Calibri" w:eastAsia="Calibri" w:hAnsi="Calibri"/>
                <w:sz w:val="16"/>
                <w:szCs w:val="16"/>
                <w:color w:val="51555C"/>
              </w:rPr>
              <w:t>2</w:t>
            </w:r>
          </w:p>
        </w:tc>
        <w:tc>
          <w:tcPr>
            <w:tcW w:w="11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(179,686)</w:t>
            </w:r>
          </w:p>
        </w:tc>
        <w:tc>
          <w:tcPr>
            <w:tcW w:w="12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Other comprehensive income</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2,416</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2,416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Borders>
              <w:bottom w:val="single" w:sz="8" w:color="EBFBFF"/>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550" w:type="dxa"/>
            <w:vAlign w:val="bottom"/>
            <w:tcBorders>
              <w:bottom w:val="single" w:sz="8" w:color="51555C"/>
            </w:tcBorders>
          </w:tcPr>
          <w:p>
            <w:pPr>
              <w:spacing w:after="0"/>
              <w:rPr>
                <w:sz w:val="3"/>
                <w:szCs w:val="3"/>
                <w:color w:val="auto"/>
              </w:rPr>
            </w:pPr>
          </w:p>
        </w:tc>
        <w:tc>
          <w:tcPr>
            <w:tcW w:w="11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70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74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66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Balance at December 31, 2022</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67,814,044</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5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68</w:t>
            </w:r>
          </w:p>
        </w:tc>
        <w:tc>
          <w:tcPr>
            <w:tcW w:w="11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(14,745,230)</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(537,287)</w:t>
            </w:r>
          </w:p>
        </w:tc>
        <w:tc>
          <w:tcPr>
            <w:tcW w:w="10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1,075,264</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8,938</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197,049</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744,032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Net income</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1,820</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1,820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EBFBFF"/>
          </w:tcPr>
          <w:p>
            <w:pPr>
              <w:ind w:left="140"/>
              <w:spacing w:after="0" w:line="243" w:lineRule="exact"/>
              <w:rPr>
                <w:sz w:val="20"/>
                <w:szCs w:val="20"/>
                <w:color w:val="auto"/>
              </w:rPr>
            </w:pPr>
            <w:r>
              <w:rPr>
                <w:rFonts w:ascii="Calibri" w:cs="Calibri" w:eastAsia="Calibri" w:hAnsi="Calibri"/>
                <w:sz w:val="16"/>
                <w:szCs w:val="16"/>
                <w:color w:val="51555C"/>
              </w:rPr>
              <w:t>Retrements of common stock</w:t>
            </w:r>
            <w:r>
              <w:rPr>
                <w:rFonts w:ascii="Calibri" w:cs="Calibri" w:eastAsia="Calibri" w:hAnsi="Calibri"/>
                <w:sz w:val="21"/>
                <w:szCs w:val="21"/>
                <w:color w:val="51555C"/>
                <w:vertAlign w:val="superscript"/>
              </w:rPr>
              <w:t>(1)</w:t>
            </w:r>
          </w:p>
        </w:tc>
        <w:tc>
          <w:tcPr>
            <w:tcW w:w="92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(143)</w:t>
            </w:r>
          </w:p>
        </w:tc>
        <w:tc>
          <w:tcPr>
            <w:tcW w:w="120" w:type="dxa"/>
            <w:vAlign w:val="bottom"/>
            <w:shd w:val="clear" w:color="auto" w:fill="EBFBFF"/>
          </w:tcPr>
          <w:p>
            <w:pPr>
              <w:spacing w:after="0"/>
              <w:rPr>
                <w:sz w:val="21"/>
                <w:szCs w:val="21"/>
                <w:color w:val="auto"/>
              </w:rPr>
            </w:pPr>
          </w:p>
        </w:tc>
        <w:tc>
          <w:tcPr>
            <w:tcW w:w="660" w:type="dxa"/>
            <w:vAlign w:val="bottom"/>
            <w:gridSpan w:val="2"/>
            <w:shd w:val="clear" w:color="auto" w:fill="EBFBFF"/>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shd w:val="clear" w:color="auto" w:fill="EBFBFF"/>
          </w:tcPr>
          <w:p>
            <w:pPr>
              <w:spacing w:after="0"/>
              <w:rPr>
                <w:sz w:val="21"/>
                <w:szCs w:val="21"/>
                <w:color w:val="auto"/>
              </w:rPr>
            </w:pPr>
          </w:p>
        </w:tc>
        <w:tc>
          <w:tcPr>
            <w:tcW w:w="800" w:type="dxa"/>
            <w:vAlign w:val="bottom"/>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(14)</w:t>
            </w:r>
          </w:p>
        </w:tc>
        <w:tc>
          <w:tcPr>
            <w:tcW w:w="14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shd w:val="clear" w:color="auto" w:fill="EBFBFF"/>
          </w:tcPr>
          <w:p>
            <w:pPr>
              <w:spacing w:after="0"/>
              <w:rPr>
                <w:sz w:val="21"/>
                <w:szCs w:val="21"/>
                <w:color w:val="auto"/>
              </w:rPr>
            </w:pPr>
          </w:p>
        </w:tc>
        <w:tc>
          <w:tcPr>
            <w:tcW w:w="66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Calibri" w:cs="Calibri" w:eastAsia="Calibri" w:hAnsi="Calibri"/>
                <w:sz w:val="16"/>
                <w:szCs w:val="16"/>
                <w:color w:val="51555C"/>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140"/>
              <w:spacing w:after="0"/>
              <w:rPr>
                <w:sz w:val="20"/>
                <w:szCs w:val="20"/>
                <w:color w:val="auto"/>
              </w:rPr>
            </w:pPr>
            <w:r>
              <w:rPr>
                <w:rFonts w:ascii="Calibri" w:cs="Calibri" w:eastAsia="Calibri" w:hAnsi="Calibri"/>
                <w:sz w:val="16"/>
                <w:szCs w:val="16"/>
                <w:color w:val="51555C"/>
              </w:rPr>
              <w:t>Purchase of treasury shares under stock repurchase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tcPr>
          <w:p>
            <w:pPr>
              <w:ind w:left="140"/>
              <w:spacing w:after="0" w:line="193" w:lineRule="exact"/>
              <w:rPr>
                <w:sz w:val="20"/>
                <w:szCs w:val="20"/>
                <w:color w:val="auto"/>
              </w:rPr>
            </w:pPr>
            <w:r>
              <w:rPr>
                <w:rFonts w:ascii="Calibri" w:cs="Calibri" w:eastAsia="Calibri" w:hAnsi="Calibri"/>
                <w:sz w:val="16"/>
                <w:szCs w:val="16"/>
                <w:color w:val="51555C"/>
              </w:rPr>
              <w:t>program</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(221,836)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Calibri" w:cs="Calibri" w:eastAsia="Calibri" w:hAnsi="Calibri"/>
                <w:sz w:val="16"/>
                <w:szCs w:val="16"/>
                <w:color w:val="51555C"/>
              </w:rPr>
              <w:t>(18,831)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(18,831)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Vestng of restricted stock units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1,007,921</w:t>
            </w:r>
          </w:p>
        </w:tc>
        <w:tc>
          <w:tcPr>
            <w:tcW w:w="12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Shares withheld to satsfy tax withholdings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(595,798)</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alibri" w:cs="Calibri" w:eastAsia="Calibri" w:hAnsi="Calibri"/>
                <w:sz w:val="16"/>
                <w:szCs w:val="16"/>
                <w:color w:val="51555C"/>
              </w:rPr>
              <w:t>(35,439)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(35,439)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Stock-based compensaton</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127,762</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127,762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Restricted stock grants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473,341</w:t>
            </w:r>
          </w:p>
        </w:tc>
        <w:tc>
          <w:tcPr>
            <w:tcW w:w="120" w:type="dxa"/>
            <w:vAlign w:val="bottom"/>
          </w:tcPr>
          <w:p>
            <w:pPr>
              <w:spacing w:after="0"/>
              <w:rPr>
                <w:sz w:val="17"/>
                <w:szCs w:val="17"/>
                <w:color w:val="auto"/>
              </w:rPr>
            </w:pPr>
          </w:p>
        </w:tc>
        <w:tc>
          <w:tcPr>
            <w:tcW w:w="550" w:type="dxa"/>
            <w:vAlign w:val="bottom"/>
          </w:tcPr>
          <w:p>
            <w:pPr>
              <w:jc w:val="right"/>
              <w:spacing w:after="0"/>
              <w:rPr>
                <w:sz w:val="20"/>
                <w:szCs w:val="20"/>
                <w:color w:val="auto"/>
              </w:rPr>
            </w:pPr>
            <w:r>
              <w:rPr>
                <w:rFonts w:ascii="Calibri" w:cs="Calibri" w:eastAsia="Calibri" w:hAnsi="Calibri"/>
                <w:sz w:val="16"/>
                <w:szCs w:val="16"/>
                <w:color w:val="51555C"/>
              </w:rPr>
              <w:t>1</w:t>
            </w:r>
          </w:p>
        </w:tc>
        <w:tc>
          <w:tcPr>
            <w:tcW w:w="11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50" w:type="dxa"/>
            <w:vAlign w:val="bottom"/>
          </w:tcPr>
          <w:p>
            <w:pPr>
              <w:spacing w:after="0"/>
              <w:rPr>
                <w:sz w:val="3"/>
                <w:szCs w:val="3"/>
                <w:color w:val="auto"/>
              </w:rPr>
            </w:pPr>
          </w:p>
        </w:tc>
        <w:tc>
          <w:tcPr>
            <w:tcW w:w="11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6"/>
                <w:szCs w:val="16"/>
                <w:color w:val="51555C"/>
              </w:rPr>
              <w:t>Restricted stock cancellatons</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(106,859)</w:t>
            </w:r>
          </w:p>
        </w:tc>
        <w:tc>
          <w:tcPr>
            <w:tcW w:w="12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800" w:type="dxa"/>
            <w:vAlign w:val="bottom"/>
            <w:tcBorders>
              <w:bottom w:val="single" w:sz="8" w:color="EBFBFF"/>
            </w:tcBorders>
            <w:gridSpan w:val="2"/>
            <w:shd w:val="clear" w:color="auto" w:fill="EBFBFF"/>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Borders>
              <w:bottom w:val="single" w:sz="8" w:color="EBFBFF"/>
            </w:tcBorders>
            <w:shd w:val="clear" w:color="auto" w:fill="EBFBFF"/>
          </w:tcPr>
          <w:p>
            <w:pPr>
              <w:spacing w:after="0"/>
              <w:rPr>
                <w:sz w:val="19"/>
                <w:szCs w:val="19"/>
                <w:color w:val="auto"/>
              </w:rPr>
            </w:pP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Borders>
              <w:bottom w:val="single" w:sz="8" w:color="EBFBFF"/>
            </w:tcBorders>
            <w:shd w:val="clear" w:color="auto" w:fill="EBFBFF"/>
          </w:tcPr>
          <w:p>
            <w:pPr>
              <w:spacing w:after="0"/>
              <w:rPr>
                <w:sz w:val="19"/>
                <w:szCs w:val="19"/>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40"/>
              <w:spacing w:after="0"/>
              <w:rPr>
                <w:sz w:val="20"/>
                <w:szCs w:val="20"/>
                <w:color w:val="auto"/>
              </w:rPr>
            </w:pPr>
            <w:r>
              <w:rPr>
                <w:rFonts w:ascii="Calibri" w:cs="Calibri" w:eastAsia="Calibri" w:hAnsi="Calibri"/>
                <w:sz w:val="16"/>
                <w:szCs w:val="16"/>
                <w:color w:val="51555C"/>
              </w:rPr>
              <w:t>Other comprehensive loss</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Calibri" w:cs="Calibri" w:eastAsia="Calibri" w:hAnsi="Calibri"/>
                <w:sz w:val="16"/>
                <w:szCs w:val="16"/>
                <w:color w:val="51555C"/>
              </w:rPr>
              <w:t>—</w:t>
            </w:r>
          </w:p>
        </w:tc>
        <w:tc>
          <w:tcPr>
            <w:tcW w:w="92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Calibri" w:cs="Calibri" w:eastAsia="Calibri" w:hAnsi="Calibri"/>
                <w:sz w:val="16"/>
                <w:szCs w:val="16"/>
                <w:color w:val="51555C"/>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51555C"/>
              </w:rPr>
              <w:t>(10,626)</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alibri" w:cs="Calibri" w:eastAsia="Calibri" w:hAnsi="Calibri"/>
                <w:sz w:val="16"/>
                <w:szCs w:val="16"/>
                <w:color w:val="51555C"/>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alibri" w:cs="Calibri" w:eastAsia="Calibri" w:hAnsi="Calibri"/>
                <w:sz w:val="16"/>
                <w:szCs w:val="16"/>
                <w:color w:val="51555C"/>
              </w:rPr>
              <w:t>(10,626)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860" w:type="dxa"/>
            <w:vAlign w:val="bottom"/>
            <w:tcBorders>
              <w:bottom w:val="single" w:sz="8" w:color="EBFBFF"/>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20" w:type="dxa"/>
            <w:vAlign w:val="bottom"/>
            <w:tcBorders>
              <w:bottom w:val="single" w:sz="8" w:color="51555C"/>
            </w:tcBorders>
          </w:tcPr>
          <w:p>
            <w:pPr>
              <w:spacing w:after="0"/>
              <w:rPr>
                <w:sz w:val="3"/>
                <w:szCs w:val="3"/>
                <w:color w:val="auto"/>
              </w:rPr>
            </w:pPr>
          </w:p>
        </w:tc>
        <w:tc>
          <w:tcPr>
            <w:tcW w:w="550" w:type="dxa"/>
            <w:vAlign w:val="bottom"/>
            <w:tcBorders>
              <w:bottom w:val="single" w:sz="8" w:color="51555C"/>
            </w:tcBorders>
          </w:tcPr>
          <w:p>
            <w:pPr>
              <w:spacing w:after="0"/>
              <w:rPr>
                <w:sz w:val="3"/>
                <w:szCs w:val="3"/>
                <w:color w:val="auto"/>
              </w:rPr>
            </w:pPr>
          </w:p>
        </w:tc>
        <w:tc>
          <w:tcPr>
            <w:tcW w:w="110" w:type="dxa"/>
            <w:vAlign w:val="bottom"/>
            <w:tcBorders>
              <w:bottom w:val="single" w:sz="8" w:color="51555C"/>
            </w:tcBorders>
          </w:tcPr>
          <w:p>
            <w:pPr>
              <w:spacing w:after="0"/>
              <w:rPr>
                <w:sz w:val="3"/>
                <w:szCs w:val="3"/>
                <w:color w:val="auto"/>
              </w:rPr>
            </w:pPr>
          </w:p>
        </w:tc>
        <w:tc>
          <w:tcPr>
            <w:tcW w:w="92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70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100" w:type="dxa"/>
            <w:vAlign w:val="bottom"/>
            <w:tcBorders>
              <w:bottom w:val="single" w:sz="8" w:color="51555C"/>
            </w:tcBorders>
          </w:tcPr>
          <w:p>
            <w:pPr>
              <w:spacing w:after="0"/>
              <w:rPr>
                <w:sz w:val="3"/>
                <w:szCs w:val="3"/>
                <w:color w:val="auto"/>
              </w:rPr>
            </w:pPr>
          </w:p>
        </w:tc>
        <w:tc>
          <w:tcPr>
            <w:tcW w:w="740" w:type="dxa"/>
            <w:vAlign w:val="bottom"/>
            <w:tcBorders>
              <w:bottom w:val="single" w:sz="8" w:color="51555C"/>
            </w:tcBorders>
          </w:tcPr>
          <w:p>
            <w:pPr>
              <w:spacing w:after="0"/>
              <w:rPr>
                <w:sz w:val="3"/>
                <w:szCs w:val="3"/>
                <w:color w:val="auto"/>
              </w:rPr>
            </w:pPr>
          </w:p>
        </w:tc>
        <w:tc>
          <w:tcPr>
            <w:tcW w:w="140" w:type="dxa"/>
            <w:vAlign w:val="bottom"/>
            <w:tcBorders>
              <w:bottom w:val="single" w:sz="8" w:color="51555C"/>
            </w:tcBorders>
          </w:tcPr>
          <w:p>
            <w:pPr>
              <w:spacing w:after="0"/>
              <w:rPr>
                <w:sz w:val="3"/>
                <w:szCs w:val="3"/>
                <w:color w:val="auto"/>
              </w:rPr>
            </w:pPr>
          </w:p>
        </w:tc>
        <w:tc>
          <w:tcPr>
            <w:tcW w:w="100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660" w:type="dxa"/>
            <w:vAlign w:val="bottom"/>
            <w:tcBorders>
              <w:bottom w:val="single" w:sz="8" w:color="51555C"/>
            </w:tcBorders>
          </w:tcPr>
          <w:p>
            <w:pPr>
              <w:spacing w:after="0"/>
              <w:rPr>
                <w:sz w:val="3"/>
                <w:szCs w:val="3"/>
                <w:color w:val="auto"/>
              </w:rPr>
            </w:pPr>
          </w:p>
        </w:tc>
        <w:tc>
          <w:tcPr>
            <w:tcW w:w="160" w:type="dxa"/>
            <w:vAlign w:val="bottom"/>
            <w:tcBorders>
              <w:bottom w:val="single" w:sz="8" w:color="51555C"/>
            </w:tcBorders>
          </w:tcPr>
          <w:p>
            <w:pPr>
              <w:spacing w:after="0"/>
              <w:rPr>
                <w:sz w:val="3"/>
                <w:szCs w:val="3"/>
                <w:color w:val="auto"/>
              </w:rPr>
            </w:pPr>
          </w:p>
        </w:tc>
        <w:tc>
          <w:tcPr>
            <w:tcW w:w="860" w:type="dxa"/>
            <w:vAlign w:val="bottom"/>
            <w:tcBorders>
              <w:bottom w:val="single" w:sz="8" w:color="51555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EBFBFF"/>
            </w:tcBorders>
            <w:shd w:val="clear" w:color="auto" w:fill="EBFBFF"/>
          </w:tcPr>
          <w:p>
            <w:pPr>
              <w:ind w:left="20"/>
              <w:spacing w:after="0" w:line="182" w:lineRule="exact"/>
              <w:rPr>
                <w:sz w:val="20"/>
                <w:szCs w:val="20"/>
                <w:color w:val="auto"/>
              </w:rPr>
            </w:pPr>
            <w:r>
              <w:rPr>
                <w:rFonts w:ascii="Calibri" w:cs="Calibri" w:eastAsia="Calibri" w:hAnsi="Calibri"/>
                <w:sz w:val="16"/>
                <w:szCs w:val="16"/>
                <w:b w:val="1"/>
                <w:bCs w:val="1"/>
                <w:color w:val="51555C"/>
              </w:rPr>
              <w:t>Balance at December 31, 2023</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69,188,304</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5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69</w:t>
            </w:r>
          </w:p>
        </w:tc>
        <w:tc>
          <w:tcPr>
            <w:tcW w:w="11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(15,562,864)</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(591,557)</w:t>
            </w:r>
          </w:p>
        </w:tc>
        <w:tc>
          <w:tcPr>
            <w:tcW w:w="10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7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1,203,012</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(1,688)</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6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198,869</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w w:val="97"/>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6"/>
                <w:szCs w:val="16"/>
                <w:color w:val="51555C"/>
              </w:rPr>
              <w:t>808,705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550" w:type="dxa"/>
            <w:vAlign w:val="bottom"/>
            <w:shd w:val="clear" w:color="auto" w:fill="0CD973"/>
          </w:tcPr>
          <w:p>
            <w:pPr>
              <w:spacing w:after="0" w:line="20" w:lineRule="exact"/>
              <w:rPr>
                <w:sz w:val="1"/>
                <w:szCs w:val="1"/>
                <w:color w:val="auto"/>
              </w:rPr>
            </w:pPr>
          </w:p>
        </w:tc>
        <w:tc>
          <w:tcPr>
            <w:tcW w:w="11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70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74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66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-5494020</wp:posOffset>
            </wp:positionV>
            <wp:extent cx="220281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64" w:lineRule="exact"/>
        <w:rPr>
          <w:sz w:val="20"/>
          <w:szCs w:val="20"/>
          <w:color w:val="auto"/>
        </w:rPr>
      </w:pPr>
    </w:p>
    <w:p>
      <w:pPr>
        <w:ind w:left="320" w:hanging="231"/>
        <w:spacing w:after="0"/>
        <w:tabs>
          <w:tab w:leader="none" w:pos="320" w:val="left"/>
        </w:tabs>
        <w:numPr>
          <w:ilvl w:val="0"/>
          <w:numId w:val="47"/>
        </w:numPr>
        <w:rPr>
          <w:rFonts w:ascii="Calibri" w:cs="Calibri" w:eastAsia="Calibri" w:hAnsi="Calibri"/>
          <w:sz w:val="12"/>
          <w:szCs w:val="12"/>
          <w:color w:val="51555C"/>
        </w:rPr>
      </w:pPr>
      <w:r>
        <w:rPr>
          <w:rFonts w:ascii="Calibri" w:cs="Calibri" w:eastAsia="Calibri" w:hAnsi="Calibri"/>
          <w:sz w:val="12"/>
          <w:szCs w:val="12"/>
          <w:color w:val="51555C"/>
        </w:rPr>
        <w:t>Represents shares retred afer determining certain EVERFI's selling shareholders would be paid in cash, rather than shares of our common stock. See Note 3 for additonal informaton regarding our acquisiton of</w:t>
      </w:r>
    </w:p>
    <w:p>
      <w:pPr>
        <w:spacing w:after="0" w:line="1" w:lineRule="exact"/>
        <w:rPr>
          <w:rFonts w:ascii="Calibri" w:cs="Calibri" w:eastAsia="Calibri" w:hAnsi="Calibri"/>
          <w:sz w:val="12"/>
          <w:szCs w:val="12"/>
          <w:color w:val="51555C"/>
        </w:rPr>
      </w:pPr>
    </w:p>
    <w:p>
      <w:pPr>
        <w:ind w:left="340"/>
        <w:spacing w:after="0" w:line="224" w:lineRule="auto"/>
        <w:rPr>
          <w:rFonts w:ascii="Calibri" w:cs="Calibri" w:eastAsia="Calibri" w:hAnsi="Calibri"/>
          <w:sz w:val="12"/>
          <w:szCs w:val="12"/>
          <w:color w:val="51555C"/>
        </w:rPr>
      </w:pPr>
      <w:r>
        <w:rPr>
          <w:rFonts w:ascii="Calibri" w:cs="Calibri" w:eastAsia="Calibri" w:hAnsi="Calibri"/>
          <w:sz w:val="13"/>
          <w:szCs w:val="13"/>
          <w:color w:val="51555C"/>
        </w:rPr>
        <w:t>EVERFI.</w:t>
      </w:r>
    </w:p>
    <w:p>
      <w:pPr>
        <w:spacing w:after="0" w:line="207"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color w:val="51555C"/>
        </w:rPr>
        <w:t>The accompanying notes are an integral part of these consolidated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292100</wp:posOffset>
            </wp:positionV>
            <wp:extent cx="72898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80" w:type="dxa"/>
            <w:vAlign w:val="bottom"/>
          </w:tcPr>
          <w:p>
            <w:pPr>
              <w:ind w:left="8780"/>
              <w:spacing w:after="0"/>
              <w:rPr>
                <w:sz w:val="20"/>
                <w:szCs w:val="20"/>
                <w:color w:val="auto"/>
              </w:rPr>
            </w:pPr>
            <w:r>
              <w:rPr>
                <w:rFonts w:ascii="Calibri" w:cs="Calibri" w:eastAsia="Calibri" w:hAnsi="Calibri"/>
                <w:sz w:val="14"/>
                <w:szCs w:val="14"/>
                <w:color w:val="51555C"/>
              </w:rPr>
              <w:t>2023 Form 10-K</w:t>
            </w:r>
          </w:p>
        </w:tc>
        <w:tc>
          <w:tcPr>
            <w:tcW w:w="860" w:type="dxa"/>
            <w:vAlign w:val="bottom"/>
          </w:tcPr>
          <w:p>
            <w:pPr>
              <w:jc w:val="right"/>
              <w:spacing w:after="0"/>
              <w:rPr>
                <w:sz w:val="20"/>
                <w:szCs w:val="20"/>
                <w:color w:val="auto"/>
              </w:rPr>
            </w:pPr>
            <w:r>
              <w:rPr>
                <w:rFonts w:ascii="Calibri" w:cs="Calibri" w:eastAsia="Calibri" w:hAnsi="Calibri"/>
                <w:sz w:val="14"/>
                <w:szCs w:val="14"/>
                <w:color w:val="51555C"/>
              </w:rPr>
              <w:t>73</w:t>
            </w:r>
          </w:p>
        </w:tc>
      </w:tr>
      <w:tr>
        <w:trPr>
          <w:trHeight w:val="351"/>
        </w:trPr>
        <w:tc>
          <w:tcPr>
            <w:tcW w:w="10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4" w:right="319"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 Organizaton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the leading sofware provider exclusively dedicated to powering social impact. Serving the nonproft and educaton sectors, companies commited to social responsibility and individual change makers, our essental sofware is built to accelerate impact in fundraising, nonproft fnancial management, digital giving, grantmaking, corporate social responsibility and educaton management. A remote-frst company, we have operatons in the United States, Australia, Canada, Costa Rica and the United Kingdom, supportng users in 100+ countries.</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2. Basis of Presentaton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Basis of presentaton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consolidated fnancial statements have been prepared in accordance with accountng principles generally accepted in the United States (“GAAP”).</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Basis of consolidaton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consolidated fnancial statements include the accounts of Blackbaud, Inc. and its wholly owned subsidiaries. All intercompany balances and transactons have been eliminated in consolidaton.</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Use of estmates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preparaton of fnancial statements in conformity with GAAP requires management to make estmates and assumptons that afect the reported amounts of assets and liabilites and disclosure of contngent assets and liabilites at the date of the fnancial statements, as well as the reported amounts of revenues and expenses during the reportng periods. On an ongoing basis, we reconsider and evaluate our estmates and assumptons, including those that impact revenue recogniton, long-lived and intangible assets, income taxes, business combinatons, stock-based compensaton, capitalizaton of sofware development costs, our allowances for credit losses and sales returns, costs of obtaining contracts, valuaton of derivatve instruments, loss contngencies and insurance recoveries, among others. Changes in the facts or circumstances underlying these estmates could result in material changes and actual results could materially difer from these estmates.</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Recently adopted accountng pronouncements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 xml:space="preserve">In September 2022, the Financial Accountng Standards Board issued Accountng Standards Update 2022-04, </w:t>
      </w:r>
      <w:r>
        <w:rPr>
          <w:rFonts w:ascii="Calibri" w:cs="Calibri" w:eastAsia="Calibri" w:hAnsi="Calibri"/>
          <w:sz w:val="18"/>
          <w:szCs w:val="18"/>
          <w:i w:val="1"/>
          <w:iCs w:val="1"/>
          <w:color w:val="51555C"/>
        </w:rPr>
        <w:t>Liabilites-Supplier Finance Programs (Subtopic</w:t>
      </w:r>
      <w:r>
        <w:rPr>
          <w:rFonts w:ascii="Calibri" w:cs="Calibri" w:eastAsia="Calibri" w:hAnsi="Calibri"/>
          <w:sz w:val="18"/>
          <w:szCs w:val="18"/>
          <w:color w:val="51555C"/>
        </w:rPr>
        <w:t xml:space="preserve"> </w:t>
      </w:r>
      <w:r>
        <w:rPr>
          <w:rFonts w:ascii="Calibri" w:cs="Calibri" w:eastAsia="Calibri" w:hAnsi="Calibri"/>
          <w:sz w:val="18"/>
          <w:szCs w:val="18"/>
          <w:i w:val="1"/>
          <w:iCs w:val="1"/>
          <w:color w:val="51555C"/>
        </w:rPr>
        <w:t xml:space="preserve">405-50): Disclosure of Supplier Finance Program Obligatons </w:t>
      </w:r>
      <w:r>
        <w:rPr>
          <w:rFonts w:ascii="Calibri" w:cs="Calibri" w:eastAsia="Calibri" w:hAnsi="Calibri"/>
          <w:sz w:val="18"/>
          <w:szCs w:val="18"/>
          <w:color w:val="51555C"/>
        </w:rPr>
        <w:t>("ASU 2022-04"). This update requires enttes that use supplier fnance programs in connecton</w:t>
      </w:r>
      <w:r>
        <w:rPr>
          <w:rFonts w:ascii="Calibri" w:cs="Calibri" w:eastAsia="Calibri" w:hAnsi="Calibri"/>
          <w:sz w:val="18"/>
          <w:szCs w:val="18"/>
          <w:i w:val="1"/>
          <w:iCs w:val="1"/>
          <w:color w:val="51555C"/>
        </w:rPr>
        <w:t xml:space="preserve"> </w:t>
      </w:r>
      <w:r>
        <w:rPr>
          <w:rFonts w:ascii="Calibri" w:cs="Calibri" w:eastAsia="Calibri" w:hAnsi="Calibri"/>
          <w:sz w:val="18"/>
          <w:szCs w:val="18"/>
          <w:color w:val="51555C"/>
        </w:rPr>
        <w:t>with the purchase of goods and services to disclose key terms of the programs and informaton about obligatons outstanding at the end of the reportng period, including a rollforward of those obligatons. The guidance does not afect the recogniton, measurement, or fnancial statement presentaton of supplier fnance programs. We adopted ASU 2022-04 on January 1, 2023 and the adopton did not have a material impact on our condensed consolidated fnancial statements.</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Recently issued accountng pronouncements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no recently issued accountng pronouncements that are expected to have a material impact on our fnancial positon or results of operatons when adopted in the future.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Summary of signifcant accountng policies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Revenue recogniton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revenue is primarily generated from the following sources: (i) charging for the use of our sofware solutons in cloud and hosted environments; (ii) providing payment and transacton services; and (iii) providing Impact-as-a-Service</w:t>
      </w:r>
      <w:r>
        <w:rPr>
          <w:rFonts w:ascii="Calibri" w:cs="Calibri" w:eastAsia="Calibri" w:hAnsi="Calibri"/>
          <w:sz w:val="18"/>
          <w:szCs w:val="18"/>
          <w:i w:val="1"/>
          <w:iCs w:val="1"/>
          <w:color w:val="51555C"/>
        </w:rPr>
        <w:t>™</w:t>
      </w:r>
      <w:r>
        <w:rPr>
          <w:rFonts w:ascii="Calibri" w:cs="Calibri" w:eastAsia="Calibri" w:hAnsi="Calibri"/>
          <w:sz w:val="18"/>
          <w:szCs w:val="18"/>
          <w:color w:val="51555C"/>
        </w:rPr>
        <w:t xml:space="preserve"> digital educatonal content. Revenue is recognized when control of these services is transferred to our customers, in an amount that refects the consideraton we expect to be enttled to in exchange for those services.</w:t>
      </w:r>
    </w:p>
    <w:p>
      <w:pPr>
        <w:spacing w:after="0" w:line="325"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74</w:t>
      </w:r>
      <w:r>
        <w:rPr>
          <w:sz w:val="20"/>
          <w:szCs w:val="20"/>
          <w:color w:val="auto"/>
        </w:rPr>
        <w:tab/>
      </w:r>
      <w:r>
        <w:rPr>
          <w:sz w:val="1"/>
          <w:szCs w:val="1"/>
          <w:color w:val="auto"/>
        </w:rPr>
        <w:drawing>
          <wp:inline distT="0" distB="0" distL="0" distR="0">
            <wp:extent cx="728345" cy="18859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We determine revenue recogniton through the following steps:</w:t>
      </w:r>
    </w:p>
    <w:p>
      <w:pPr>
        <w:spacing w:after="0" w:line="50" w:lineRule="exact"/>
        <w:rPr>
          <w:sz w:val="20"/>
          <w:szCs w:val="20"/>
          <w:color w:val="auto"/>
        </w:rPr>
      </w:pPr>
    </w:p>
    <w:p>
      <w:pPr>
        <w:ind w:left="640" w:hanging="308"/>
        <w:spacing w:after="0"/>
        <w:tabs>
          <w:tab w:leader="none" w:pos="640" w:val="left"/>
        </w:tabs>
        <w:numPr>
          <w:ilvl w:val="0"/>
          <w:numId w:val="48"/>
        </w:numPr>
        <w:rPr>
          <w:rFonts w:ascii="Calibri" w:cs="Calibri" w:eastAsia="Calibri" w:hAnsi="Calibri"/>
          <w:sz w:val="18"/>
          <w:szCs w:val="18"/>
          <w:color w:val="51555C"/>
        </w:rPr>
      </w:pPr>
      <w:r>
        <w:rPr>
          <w:rFonts w:ascii="Calibri" w:cs="Calibri" w:eastAsia="Calibri" w:hAnsi="Calibri"/>
          <w:sz w:val="18"/>
          <w:szCs w:val="18"/>
          <w:color w:val="51555C"/>
        </w:rPr>
        <w:t>Identfcaton of the contract, or contracts, with a customer;</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8"/>
        </w:numPr>
        <w:rPr>
          <w:rFonts w:ascii="Calibri" w:cs="Calibri" w:eastAsia="Calibri" w:hAnsi="Calibri"/>
          <w:sz w:val="18"/>
          <w:szCs w:val="18"/>
          <w:color w:val="51555C"/>
        </w:rPr>
      </w:pPr>
      <w:r>
        <w:rPr>
          <w:rFonts w:ascii="Calibri" w:cs="Calibri" w:eastAsia="Calibri" w:hAnsi="Calibri"/>
          <w:sz w:val="18"/>
          <w:szCs w:val="18"/>
          <w:color w:val="51555C"/>
        </w:rPr>
        <w:t>Identfcaton of the performance obligatons in the contract;</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8"/>
        </w:numPr>
        <w:rPr>
          <w:rFonts w:ascii="Calibri" w:cs="Calibri" w:eastAsia="Calibri" w:hAnsi="Calibri"/>
          <w:sz w:val="18"/>
          <w:szCs w:val="18"/>
          <w:color w:val="51555C"/>
        </w:rPr>
      </w:pPr>
      <w:r>
        <w:rPr>
          <w:rFonts w:ascii="Calibri" w:cs="Calibri" w:eastAsia="Calibri" w:hAnsi="Calibri"/>
          <w:sz w:val="18"/>
          <w:szCs w:val="18"/>
          <w:color w:val="51555C"/>
        </w:rPr>
        <w:t>Determinaton of the transacton price;</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8"/>
        </w:numPr>
        <w:rPr>
          <w:rFonts w:ascii="Calibri" w:cs="Calibri" w:eastAsia="Calibri" w:hAnsi="Calibri"/>
          <w:sz w:val="18"/>
          <w:szCs w:val="18"/>
          <w:color w:val="51555C"/>
        </w:rPr>
      </w:pPr>
      <w:r>
        <w:rPr>
          <w:rFonts w:ascii="Calibri" w:cs="Calibri" w:eastAsia="Calibri" w:hAnsi="Calibri"/>
          <w:sz w:val="18"/>
          <w:szCs w:val="18"/>
          <w:color w:val="51555C"/>
        </w:rPr>
        <w:t>Allocaton of the transacton price to the performance obligatons in the contract;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8"/>
        </w:numPr>
        <w:rPr>
          <w:rFonts w:ascii="Calibri" w:cs="Calibri" w:eastAsia="Calibri" w:hAnsi="Calibri"/>
          <w:sz w:val="18"/>
          <w:szCs w:val="18"/>
          <w:color w:val="51555C"/>
        </w:rPr>
      </w:pPr>
      <w:r>
        <w:rPr>
          <w:rFonts w:ascii="Calibri" w:cs="Calibri" w:eastAsia="Calibri" w:hAnsi="Calibri"/>
          <w:sz w:val="18"/>
          <w:szCs w:val="18"/>
          <w:color w:val="51555C"/>
        </w:rPr>
        <w:t>Recogniton of revenue when, or as, we satsfy a performance obligaton.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Our recurring revenue includes two components: contractual recurring and transactonal recurring.</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Contractual recurring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Contractual recurring revenue is primarily comprised of fees for the use of our subscripton-based sofware solutons, which includes providing access to cloud solutons, Impact-as-a-Service™ digital educatonal content, online training programs and subscripton-based analytc services. Contractual recurring revenue also includes fees from maintenance services for our on-premises solutons.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Contractual recurring revenue represents stand-ready performance obligatons in which we are making our solutons or services available to our customers contnuously over tme or the value of the contract renews. Therefore, recurring revenue is generally recognized over tme on a ratable basis over the contract term, beginning on the date that the soluton or service is made available to the customer. Our recurring revenue contracts are generally for a term of three years at contract incepton with three-year renewals thereafer, billed annually in advance and non-cancelable.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Transactonal recurring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Transactonal recurring revenue is comprised of transacton fees associated with the use of our solutons, including donaton processing, tuiton management, consumer giving and event-based usage.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payment services are ofered with the assistance of third-party vendors. In general, when we are the principal in a transacton based on the factors identfed in ASC 606-10-55-36 through 55-40, we record the revenue and related costs on a gross basis. Otherwise, we net the cost of revenue associated with the service against the gross revenue (amount withheld for the transacton fees) and record the net amount as revenue. For payment and transacton services, we have the right to invoice the customer in an amount that directly corresponds with the value to the customer of our performance to date. Therefore, we recognize revenue for these services over tme based on the amount we withhold for the transacton fees in accordance with the 'as invoiced' practcal expedient in ASC 606-10-55-18.</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One-tme services and other</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One-tme services and other revenue is primarily comprised of fees for one-tme consultng, analytc and onsite training services and fees for retained and managed services contracts that we do not expect to have a term consistent with our cloud soluton contracts.</w:t>
      </w:r>
    </w:p>
    <w:p>
      <w:pPr>
        <w:spacing w:after="0" w:line="164"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51555C"/>
        </w:rPr>
        <w:t>We generally bill consultng services based on hourly rates plus reimbursable travel-related expenses. Fixed price consultng engagements are generally billed as milestones towards completon are reached. Revenue for one-tme consultng services is generally recognized over tme as the services are performed.</w:t>
      </w:r>
    </w:p>
    <w:p>
      <w:pPr>
        <w:spacing w:after="0" w:line="1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Fees for retained and managed services contracts are generally billed in advance and recognized over tme on a ratable basis over the contract term, beginning on the date the service is made available to the customer.</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Contracts with multple performance obligatons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Some of our contracts with customers contain multple performance obligatons. For these contracts, we account for individual performance obligatons separately if they are distnct. The transacton price is allocated to the separate performance obligatons on a relatve standalone selling price basis. Standalone selling prices of our solutons and services are typically estmated based on observable transactons when the solutons or services are sold on a standalone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222250</wp:posOffset>
            </wp:positionV>
            <wp:extent cx="728980"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75</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Costs of obtaining contracts, contract assets and deferred revenue</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We pay sales commissions at the tme contracts with customers are signed or shortly thereafer, depending on the size and duraton of the sales contract. Sales commissions and related fringe benefts earned by our sales force are considered incremental and recoverable costs of obtaining a contract with a customer. These costs are deferred and then amortzed in a manner that aligns with the expected period of beneft, which we have historically determined to be fve years. We determined the period of beneft by taking into consideraton our customer contracts, including renewals, retenton, our technology and other factors. We generally do not pay commissions for contract renewals that are commensurate with the commission paid on the inital contract. The related amortzaton expense is included in sales, marketng and customer success expense in our consolidated statements of comprehensive income.</w:t>
      </w:r>
    </w:p>
    <w:p>
      <w:pPr>
        <w:spacing w:after="0" w:line="15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 contract asset is recorded when revenue is recognized in advance of our right to receive consideraton (i.e., we must satsfy additonal performance obligatons in order to receive consideraton). Amounts are recorded as receivables when our right to consideraton is unconditonal (i.e., only the passage of tme is required before payment of the consideraton is due). Our contract assets are recorded within prepaid expenses and other current assets on our consolidated balance sheets. To the extent that our customers are billed for our solutons and services in advance of us satsfying the related performance obligatons, we record such amounts in deferred revenue.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Sales taxes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present sales taxes and other taxes collected from customers and remited to governmental authorites on a net basis and, as such, exclude them from revenues.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Fair value measurements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measure certain fnancial assets and liabilites at fair value on a recurring basis, including derivatve instruments. Fair value is defned as the price that would be received to sell an asset or paid to transfer a liability (an exit price) in an orderly transacton between market partcipants at the measurement date. An actve market is defned as a market in which transactons for the asset or liability take place with sufcient frequency and volume to provide pricing informaton on an ongoing basis. We use a three-ter fair value hierarchy to measure fair value. This hierarchy prioritzes the inputs into three broad levels as follows:</w:t>
      </w:r>
    </w:p>
    <w:p>
      <w:pPr>
        <w:spacing w:after="0" w:line="53" w:lineRule="exact"/>
        <w:rPr>
          <w:sz w:val="20"/>
          <w:szCs w:val="20"/>
          <w:color w:val="auto"/>
        </w:rPr>
      </w:pPr>
    </w:p>
    <w:p>
      <w:pPr>
        <w:ind w:left="640" w:hanging="308"/>
        <w:spacing w:after="0"/>
        <w:tabs>
          <w:tab w:leader="none" w:pos="640" w:val="left"/>
        </w:tabs>
        <w:numPr>
          <w:ilvl w:val="0"/>
          <w:numId w:val="49"/>
        </w:numPr>
        <w:rPr>
          <w:rFonts w:ascii="Calibri" w:cs="Calibri" w:eastAsia="Calibri" w:hAnsi="Calibri"/>
          <w:sz w:val="18"/>
          <w:szCs w:val="18"/>
          <w:color w:val="51555C"/>
        </w:rPr>
      </w:pPr>
      <w:r>
        <w:rPr>
          <w:rFonts w:ascii="Calibri" w:cs="Calibri" w:eastAsia="Calibri" w:hAnsi="Calibri"/>
          <w:sz w:val="18"/>
          <w:szCs w:val="18"/>
          <w:color w:val="51555C"/>
        </w:rPr>
        <w:t>Level 1 - Quoted prices for identcal assets or liabilites in actve markets;</w:t>
      </w:r>
    </w:p>
    <w:p>
      <w:pPr>
        <w:spacing w:after="0" w:line="55"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49"/>
        </w:numPr>
        <w:rPr>
          <w:rFonts w:ascii="Calibri" w:cs="Calibri" w:eastAsia="Calibri" w:hAnsi="Calibri"/>
          <w:sz w:val="18"/>
          <w:szCs w:val="18"/>
          <w:color w:val="51555C"/>
        </w:rPr>
      </w:pPr>
      <w:r>
        <w:rPr>
          <w:rFonts w:ascii="Calibri" w:cs="Calibri" w:eastAsia="Calibri" w:hAnsi="Calibri"/>
          <w:sz w:val="18"/>
          <w:szCs w:val="18"/>
          <w:color w:val="51555C"/>
        </w:rPr>
        <w:t>Level 2 - Quoted prices for similar assets and liabilites in actve markets, quoted prices for identcal or similar assets in markets that are not actve, and model-derived valuatons in which all signifcant inputs and signifcant value drivers are observable in actve markets;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49"/>
        </w:numPr>
        <w:rPr>
          <w:rFonts w:ascii="Calibri" w:cs="Calibri" w:eastAsia="Calibri" w:hAnsi="Calibri"/>
          <w:sz w:val="18"/>
          <w:szCs w:val="18"/>
          <w:color w:val="51555C"/>
        </w:rPr>
      </w:pPr>
      <w:r>
        <w:rPr>
          <w:rFonts w:ascii="Calibri" w:cs="Calibri" w:eastAsia="Calibri" w:hAnsi="Calibri"/>
          <w:sz w:val="18"/>
          <w:szCs w:val="18"/>
          <w:color w:val="51555C"/>
        </w:rPr>
        <w:t>Level 3 - Valuatons derived from valuaton techniques in which one or more signifcant inputs are unobservable.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fnancial assets and liabilites are classifed in their entrety within the hierarchy based on the lowest level of input that is signifcant to fair value measurement. Changes to a fnancial asset's or liability's level within the fair value hierarchy are determined as of the end of a reportng period. All methods of assessing fair value result in a general approximaton of value, and such value may never actually be realized.</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Derivatve instruments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generally use derivatve instruments to manage interest rate and foreign currency exchange risk. We view derivatve instruments as risk management tools and do not use them for trading or speculatve purposes. Our policy requires that derivatves used for hedging purposes be designated and efectve as a hedge of the identfed risk exposure at the incepton of the contract. Accordingly, changes in fair value of the derivatve contract must be highly correlated with changes in the fair value of the underlying hedged item at incepton of the hedge and over the life of the hedge contract.</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record all derivatve instruments on our consolidated balance sheets at fair value as either an asset or liability. If the derivatve is designated as a cash fow hedge, the efectve portons of the changes in fair value of the derivatve are recorded in other comprehensive income and reclassifed to earnings in a manner that matches the tming of the earnings impact of the hedged transactons. If the derivatve is designated as a net investment hedge, the efectve portons of the changes in fair value of the derivatve are recorded to translaton adjustment, a component of other comprehensive income, and recognized in earnings only when the hedged investment is liquidated. Inefectve portons of the changes in the fair value of cash fow hedges are recognized currently in earnings. See Note 10 to these consolidated fnancial statements for further discussion of our derivatve instruments.</w:t>
      </w:r>
    </w:p>
    <w:p>
      <w:pPr>
        <w:spacing w:after="0" w:line="314"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76</w:t>
      </w:r>
      <w:r>
        <w:rPr>
          <w:sz w:val="20"/>
          <w:szCs w:val="20"/>
          <w:color w:val="auto"/>
        </w:rPr>
        <w:tab/>
      </w:r>
      <w:r>
        <w:rPr>
          <w:sz w:val="1"/>
          <w:szCs w:val="1"/>
          <w:color w:val="auto"/>
        </w:rPr>
        <w:drawing>
          <wp:inline distT="0" distB="0" distL="0" distR="0">
            <wp:extent cx="728345" cy="18859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Cash and cash equivalents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We consider all highly liquid investments purchased with an original maturity of three months or less and cash items in transit to be cash equivalents.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Restricted cash due to customers; Customer funds receivable; Due to customers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Restricted cash due to customers consists of monies collected by us (or in transit) and payable to our customers, net of the associated transacton fees earned. Monies associated with amounts due to customers are segregated in separate bank accounts and used exclusively for the payment of amounts due to customers. This usage restricton is either legally or internally imposed and refects our intenton with regard to such deposits. Customer funds receivable consists of monies we expect to collect and remit to our customers.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Concentraton of credit risk</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Financial instruments that potentally subject us to concentratons of credit risk consist of cash and cash equivalents, restricted cash due to customers and accounts receivable. Our cash and cash equivalents and restricted cash due to customers are placed with high credit-quality fnancial insttutons. Our accounts receivable is derived from sales to customers. With respect to accounts receivable, we perform ongoing evaluatons of our customers and maintain an allowance for credit losses based on historical experience and our expectatons of future credit losses. As of and for the years ended December 31, 2023, 2022 and 2021, there were no signifcant concentratons with respect to our consolidated revenues or accounts receivable.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Property and equipment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record property and equipment assets at cost and depreciate them over their estmated useful lives using the straight-line method. Leasehold improvements are depreciated over the lesser of the term of the lease or the estmated useful life of the asset. Upon retrement or sale, the cost of assets disposed of and the related accumulated depreciaton are removed from the accounts and any resultng gain or loss is credited or charged to earnings. Repair and maintenance costs are expensed as incurred.</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Constructon-in-progress primarily related to purchases of informaton technology assets which had not been placed in service at the respectve balance sheet dates. We transfer these assets to the applicable property and equipment category on the date they are placed in service. There was no capitalized interest applicable to constructon-in-progress for the years ended December 31, 2023 and 2022.</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Business combinatons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include the operatng results of acquired companies as well as the net assets acquired and liabilites assumed in our consolidated fnancial statements from the date of acquisiton. We are required to allocate the purchase price of acquired companies to the tangible and intangible assets acquired and liabilites assumed at the acquisiton date based upon their estmated fair values. Goodwill as of the acquisiton date represents the excess of the purchase consideraton of an acquired business over the fair value of the underlying net tangible and intangible assets acquired and liabilites assumed.</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apply signifcant judgement in estmatng the fair value of intangible assets acquired, which involves the use of signifcant assumptons. Signifcant assumptons used in the valuaton of customer relatonships include future revenue and operatng expenses, customer atriton rates, contributory asset charges, tax amortzaton beneft, and discount rates. Signifcant assumptons used in the valuaton of certain developed technology assets include future revenue, proprietary technology obsolescence curve, royalty rate, and discount rate. Signifcant assumptons used in the valuaton of marketng assets include assumptons about the period of tme the brand will contnue to be valuable, royalty rate, and discount rate. Signifcant assumptons used in the valuaton of content intangible assets include cost-based assumptons. Our estmates of fair value are based upon assumptons we believe to be reasonable, but which are inherently uncertain and unpredictable, and unantcipated events and changes in circumstances may occur.</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Goodwill</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Goodwill represents the purchase price in excess of the net amount assigned to assets acquired and liabilites assumed by us in a business combinaton. Goodwill is not amortzed, but tested annually for impairment on the frst day of our fourth quarter, or more frequently if indicators of potental impairment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221615</wp:posOffset>
            </wp:positionV>
            <wp:extent cx="72898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77</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52" w:lineRule="auto"/>
        <w:rPr>
          <w:sz w:val="20"/>
          <w:szCs w:val="20"/>
          <w:color w:val="auto"/>
        </w:rPr>
      </w:pPr>
      <w:r>
        <w:rPr>
          <w:rFonts w:ascii="Calibri" w:cs="Calibri" w:eastAsia="Calibri" w:hAnsi="Calibri"/>
          <w:sz w:val="17"/>
          <w:szCs w:val="17"/>
          <w:color w:val="51555C"/>
        </w:rPr>
        <w:t>Accountng guidance permits enttes to frst assess qualitatve factors to determine whether it is more likely than not that the fair value of a reportng unit is less than its carrying amount as a basis to determine whether it is necessary to perform the quanttatve impairment test. Signifcant judgment is required in the assessment of qualitatve factors, including but not limited to an evaluaton of macroeconomic conditons as they relate to our business, industry and market trends, as well as the overall future fnancial performance of identfed reportng units and future opportunites in the markets in which we operate.</w:t>
      </w:r>
    </w:p>
    <w:p>
      <w:pPr>
        <w:spacing w:after="0" w:line="15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quanttatve impairment test compares the fair values of identfed reportng units with their respectve carrying amounts. If the carrying amount of a reportng unit exceeds its fair value, an impairment loss is recognized in an amount equal to that excess. Based on our current internal reportng structure, we have one operatng segment, one reportable segment, and one reportng unit. In each of 2023, 2022 and 2021, we performed the quanttatve impairment test, which indicated that the estmated fair values of the identfed reportng units signifcantly exceeded their respectve carrying values. There were no impairments of goodwill during 2023, 2022 and 2021.</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Intangible assets other than goodwill</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We amortze fnite-lived intangible assets over their estmated useful lives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shd w:val="clear" w:color="auto" w:fill="004054"/>
          </w:tcPr>
          <w:p>
            <w:pPr>
              <w:spacing w:after="0"/>
              <w:rPr>
                <w:sz w:val="16"/>
                <w:szCs w:val="16"/>
                <w:color w:val="auto"/>
              </w:rPr>
            </w:pPr>
          </w:p>
        </w:tc>
        <w:tc>
          <w:tcPr>
            <w:tcW w:w="3580" w:type="dxa"/>
            <w:vAlign w:val="bottom"/>
            <w:shd w:val="clear" w:color="auto" w:fill="004054"/>
          </w:tcPr>
          <w:p>
            <w:pPr>
              <w:spacing w:after="0"/>
              <w:rPr>
                <w:sz w:val="16"/>
                <w:szCs w:val="16"/>
                <w:color w:val="auto"/>
              </w:rPr>
            </w:pPr>
          </w:p>
        </w:tc>
        <w:tc>
          <w:tcPr>
            <w:tcW w:w="640" w:type="dxa"/>
            <w:vAlign w:val="bottom"/>
            <w:shd w:val="clear" w:color="auto" w:fill="004054"/>
          </w:tcPr>
          <w:p>
            <w:pPr>
              <w:spacing w:after="0"/>
              <w:rPr>
                <w:sz w:val="16"/>
                <w:szCs w:val="16"/>
                <w:color w:val="auto"/>
              </w:rPr>
            </w:pPr>
          </w:p>
        </w:tc>
        <w:tc>
          <w:tcPr>
            <w:tcW w:w="15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Amortzaton</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440" w:type="dxa"/>
            <w:vAlign w:val="bottom"/>
            <w:shd w:val="clear" w:color="auto" w:fill="004054"/>
          </w:tcPr>
          <w:p>
            <w:pPr>
              <w:spacing w:after="0"/>
              <w:rPr>
                <w:sz w:val="14"/>
                <w:szCs w:val="14"/>
                <w:color w:val="auto"/>
              </w:rPr>
            </w:pPr>
          </w:p>
        </w:tc>
        <w:tc>
          <w:tcPr>
            <w:tcW w:w="4220" w:type="dxa"/>
            <w:vAlign w:val="bottom"/>
            <w:gridSpan w:val="2"/>
            <w:vMerge w:val="restart"/>
            <w:shd w:val="clear" w:color="auto" w:fill="004054"/>
          </w:tcPr>
          <w:p>
            <w:pPr>
              <w:ind w:left="2940"/>
              <w:spacing w:after="0"/>
              <w:rPr>
                <w:sz w:val="20"/>
                <w:szCs w:val="20"/>
                <w:color w:val="auto"/>
              </w:rPr>
            </w:pPr>
            <w:r>
              <w:rPr>
                <w:rFonts w:ascii="Calibri" w:cs="Calibri" w:eastAsia="Calibri" w:hAnsi="Calibri"/>
                <w:sz w:val="14"/>
                <w:szCs w:val="14"/>
                <w:b w:val="1"/>
                <w:bCs w:val="1"/>
                <w:color w:val="FFFFFF"/>
              </w:rPr>
              <w:t>Basis of amortzaton</w:t>
            </w:r>
          </w:p>
        </w:tc>
        <w:tc>
          <w:tcPr>
            <w:tcW w:w="15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period</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40" w:type="dxa"/>
            <w:vAlign w:val="bottom"/>
            <w:shd w:val="clear" w:color="auto" w:fill="004054"/>
          </w:tcPr>
          <w:p>
            <w:pPr>
              <w:spacing w:after="0"/>
              <w:rPr>
                <w:sz w:val="15"/>
                <w:szCs w:val="15"/>
                <w:color w:val="auto"/>
              </w:rPr>
            </w:pPr>
          </w:p>
        </w:tc>
        <w:tc>
          <w:tcPr>
            <w:tcW w:w="4220" w:type="dxa"/>
            <w:vAlign w:val="bottom"/>
            <w:gridSpan w:val="2"/>
            <w:vMerge w:val="continue"/>
            <w:shd w:val="clear" w:color="auto" w:fill="004054"/>
          </w:tcPr>
          <w:p>
            <w:pPr>
              <w:spacing w:after="0"/>
              <w:rPr>
                <w:sz w:val="15"/>
                <w:szCs w:val="15"/>
                <w:color w:val="auto"/>
              </w:rPr>
            </w:pPr>
          </w:p>
        </w:tc>
        <w:tc>
          <w:tcPr>
            <w:tcW w:w="15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years)</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5440" w:type="dxa"/>
            <w:vAlign w:val="bottom"/>
            <w:shd w:val="clear" w:color="auto" w:fill="004054"/>
          </w:tcPr>
          <w:p>
            <w:pPr>
              <w:spacing w:after="0"/>
              <w:rPr>
                <w:sz w:val="5"/>
                <w:szCs w:val="5"/>
                <w:color w:val="auto"/>
              </w:rPr>
            </w:pPr>
          </w:p>
        </w:tc>
        <w:tc>
          <w:tcPr>
            <w:tcW w:w="3580" w:type="dxa"/>
            <w:vAlign w:val="bottom"/>
            <w:shd w:val="clear" w:color="auto" w:fill="004054"/>
          </w:tcPr>
          <w:p>
            <w:pPr>
              <w:spacing w:after="0"/>
              <w:rPr>
                <w:sz w:val="5"/>
                <w:szCs w:val="5"/>
                <w:color w:val="auto"/>
              </w:rPr>
            </w:pPr>
          </w:p>
        </w:tc>
        <w:tc>
          <w:tcPr>
            <w:tcW w:w="640" w:type="dxa"/>
            <w:vAlign w:val="bottom"/>
            <w:shd w:val="clear" w:color="auto" w:fill="004054"/>
          </w:tcPr>
          <w:p>
            <w:pPr>
              <w:spacing w:after="0"/>
              <w:rPr>
                <w:sz w:val="5"/>
                <w:szCs w:val="5"/>
                <w:color w:val="auto"/>
              </w:rPr>
            </w:pPr>
          </w:p>
        </w:tc>
        <w:tc>
          <w:tcPr>
            <w:tcW w:w="158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Customer relatonships</w:t>
            </w:r>
          </w:p>
        </w:tc>
        <w:tc>
          <w:tcPr>
            <w:tcW w:w="3580" w:type="dxa"/>
            <w:vAlign w:val="bottom"/>
            <w:vMerge w:val="restart"/>
            <w:shd w:val="clear" w:color="auto" w:fill="EBFBFF"/>
          </w:tcPr>
          <w:p>
            <w:pPr>
              <w:ind w:left="500"/>
              <w:spacing w:after="0"/>
              <w:rPr>
                <w:sz w:val="20"/>
                <w:szCs w:val="20"/>
                <w:color w:val="auto"/>
              </w:rPr>
            </w:pPr>
            <w:r>
              <w:rPr>
                <w:rFonts w:ascii="Calibri" w:cs="Calibri" w:eastAsia="Calibri" w:hAnsi="Calibri"/>
                <w:sz w:val="18"/>
                <w:szCs w:val="18"/>
                <w:color w:val="51555C"/>
                <w:w w:val="97"/>
              </w:rPr>
              <w:t>Straight-line and Curve of Economic Beneft</w:t>
            </w:r>
          </w:p>
        </w:tc>
        <w:tc>
          <w:tcPr>
            <w:tcW w:w="640" w:type="dxa"/>
            <w:vAlign w:val="bottom"/>
            <w:shd w:val="clear" w:color="auto" w:fill="EBFBFF"/>
          </w:tcPr>
          <w:p>
            <w:pPr>
              <w:jc w:val="right"/>
              <w:ind w:right="442"/>
              <w:spacing w:after="0"/>
              <w:rPr>
                <w:sz w:val="20"/>
                <w:szCs w:val="20"/>
                <w:color w:val="auto"/>
              </w:rPr>
            </w:pPr>
            <w:r>
              <w:rPr>
                <w:rFonts w:ascii="Calibri" w:cs="Calibri" w:eastAsia="Calibri" w:hAnsi="Calibri"/>
                <w:sz w:val="12"/>
                <w:szCs w:val="12"/>
                <w:color w:val="51555C"/>
                <w:w w:val="89"/>
              </w:rPr>
              <w:t>(1)</w:t>
            </w:r>
          </w:p>
        </w:tc>
        <w:tc>
          <w:tcPr>
            <w:tcW w:w="158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10-17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5440" w:type="dxa"/>
            <w:vAlign w:val="bottom"/>
            <w:tcBorders>
              <w:bottom w:val="single" w:sz="8" w:color="EBFBFF"/>
            </w:tcBorders>
            <w:shd w:val="clear" w:color="auto" w:fill="EBFBFF"/>
          </w:tcPr>
          <w:p>
            <w:pPr>
              <w:spacing w:after="0"/>
              <w:rPr>
                <w:sz w:val="7"/>
                <w:szCs w:val="7"/>
                <w:color w:val="auto"/>
              </w:rPr>
            </w:pPr>
          </w:p>
        </w:tc>
        <w:tc>
          <w:tcPr>
            <w:tcW w:w="3580" w:type="dxa"/>
            <w:vAlign w:val="bottom"/>
            <w:tcBorders>
              <w:bottom w:val="single" w:sz="8" w:color="EBFBFF"/>
            </w:tcBorders>
            <w:vMerge w:val="continue"/>
            <w:shd w:val="clear" w:color="auto" w:fill="EBFBFF"/>
          </w:tcPr>
          <w:p>
            <w:pPr>
              <w:spacing w:after="0"/>
              <w:rPr>
                <w:sz w:val="7"/>
                <w:szCs w:val="7"/>
                <w:color w:val="auto"/>
              </w:rPr>
            </w:pPr>
          </w:p>
        </w:tc>
        <w:tc>
          <w:tcPr>
            <w:tcW w:w="640" w:type="dxa"/>
            <w:vAlign w:val="bottom"/>
            <w:tcBorders>
              <w:bottom w:val="single" w:sz="8" w:color="EBFBFF"/>
            </w:tcBorders>
            <w:shd w:val="clear" w:color="auto" w:fill="EBFBFF"/>
          </w:tcPr>
          <w:p>
            <w:pPr>
              <w:spacing w:after="0"/>
              <w:rPr>
                <w:sz w:val="7"/>
                <w:szCs w:val="7"/>
                <w:color w:val="auto"/>
              </w:rPr>
            </w:pPr>
          </w:p>
        </w:tc>
        <w:tc>
          <w:tcPr>
            <w:tcW w:w="1580" w:type="dxa"/>
            <w:vAlign w:val="bottom"/>
            <w:tcBorders>
              <w:bottom w:val="single" w:sz="8" w:color="EBFBFF"/>
            </w:tcBorders>
            <w:vMerge w:val="continue"/>
            <w:shd w:val="clear" w:color="auto" w:fill="EBFB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440" w:type="dxa"/>
            <w:vAlign w:val="bottom"/>
          </w:tcPr>
          <w:p>
            <w:pPr>
              <w:ind w:left="20"/>
              <w:spacing w:after="0"/>
              <w:rPr>
                <w:sz w:val="20"/>
                <w:szCs w:val="20"/>
                <w:color w:val="auto"/>
              </w:rPr>
            </w:pPr>
            <w:r>
              <w:rPr>
                <w:rFonts w:ascii="Calibri" w:cs="Calibri" w:eastAsia="Calibri" w:hAnsi="Calibri"/>
                <w:sz w:val="18"/>
                <w:szCs w:val="18"/>
                <w:color w:val="51555C"/>
              </w:rPr>
              <w:t>Marketng assets</w:t>
            </w:r>
          </w:p>
        </w:tc>
        <w:tc>
          <w:tcPr>
            <w:tcW w:w="3580" w:type="dxa"/>
            <w:vAlign w:val="bottom"/>
            <w:vMerge w:val="restart"/>
          </w:tcPr>
          <w:p>
            <w:pPr>
              <w:ind w:left="500"/>
              <w:spacing w:after="0"/>
              <w:rPr>
                <w:sz w:val="20"/>
                <w:szCs w:val="20"/>
                <w:color w:val="auto"/>
              </w:rPr>
            </w:pPr>
            <w:r>
              <w:rPr>
                <w:rFonts w:ascii="Calibri" w:cs="Calibri" w:eastAsia="Calibri" w:hAnsi="Calibri"/>
                <w:sz w:val="18"/>
                <w:szCs w:val="18"/>
                <w:color w:val="51555C"/>
                <w:w w:val="97"/>
              </w:rPr>
              <w:t>Straight-line and Curve of Economic Beneft</w:t>
            </w:r>
          </w:p>
        </w:tc>
        <w:tc>
          <w:tcPr>
            <w:tcW w:w="640" w:type="dxa"/>
            <w:vAlign w:val="bottom"/>
          </w:tcPr>
          <w:p>
            <w:pPr>
              <w:jc w:val="right"/>
              <w:ind w:right="442"/>
              <w:spacing w:after="0"/>
              <w:rPr>
                <w:sz w:val="20"/>
                <w:szCs w:val="20"/>
                <w:color w:val="auto"/>
              </w:rPr>
            </w:pPr>
            <w:r>
              <w:rPr>
                <w:rFonts w:ascii="Calibri" w:cs="Calibri" w:eastAsia="Calibri" w:hAnsi="Calibri"/>
                <w:sz w:val="12"/>
                <w:szCs w:val="12"/>
                <w:color w:val="51555C"/>
                <w:w w:val="89"/>
              </w:rPr>
              <w:t>(1)</w:t>
            </w:r>
          </w:p>
        </w:tc>
        <w:tc>
          <w:tcPr>
            <w:tcW w:w="1580" w:type="dxa"/>
            <w:vAlign w:val="bottom"/>
            <w:vMerge w:val="restart"/>
          </w:tcPr>
          <w:p>
            <w:pPr>
              <w:jc w:val="right"/>
              <w:spacing w:after="0"/>
              <w:rPr>
                <w:sz w:val="20"/>
                <w:szCs w:val="20"/>
                <w:color w:val="auto"/>
              </w:rPr>
            </w:pPr>
            <w:r>
              <w:rPr>
                <w:rFonts w:ascii="Calibri" w:cs="Calibri" w:eastAsia="Calibri" w:hAnsi="Calibri"/>
                <w:sz w:val="18"/>
                <w:szCs w:val="18"/>
                <w:color w:val="51555C"/>
              </w:rPr>
              <w:t>14-15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5440" w:type="dxa"/>
            <w:vAlign w:val="bottom"/>
          </w:tcPr>
          <w:p>
            <w:pPr>
              <w:spacing w:after="0"/>
              <w:rPr>
                <w:sz w:val="4"/>
                <w:szCs w:val="4"/>
                <w:color w:val="auto"/>
              </w:rPr>
            </w:pPr>
          </w:p>
        </w:tc>
        <w:tc>
          <w:tcPr>
            <w:tcW w:w="3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Developed technology</w:t>
            </w:r>
          </w:p>
        </w:tc>
        <w:tc>
          <w:tcPr>
            <w:tcW w:w="3580" w:type="dxa"/>
            <w:vAlign w:val="bottom"/>
            <w:vMerge w:val="restart"/>
            <w:shd w:val="clear" w:color="auto" w:fill="EBFBFF"/>
          </w:tcPr>
          <w:p>
            <w:pPr>
              <w:ind w:left="500"/>
              <w:spacing w:after="0"/>
              <w:rPr>
                <w:sz w:val="20"/>
                <w:szCs w:val="20"/>
                <w:color w:val="auto"/>
              </w:rPr>
            </w:pPr>
            <w:r>
              <w:rPr>
                <w:rFonts w:ascii="Calibri" w:cs="Calibri" w:eastAsia="Calibri" w:hAnsi="Calibri"/>
                <w:sz w:val="18"/>
                <w:szCs w:val="18"/>
                <w:color w:val="51555C"/>
                <w:w w:val="97"/>
              </w:rPr>
              <w:t>Straight-line and Curve of Economic Beneft</w:t>
            </w:r>
          </w:p>
        </w:tc>
        <w:tc>
          <w:tcPr>
            <w:tcW w:w="640" w:type="dxa"/>
            <w:vAlign w:val="bottom"/>
            <w:shd w:val="clear" w:color="auto" w:fill="EBFBFF"/>
          </w:tcPr>
          <w:p>
            <w:pPr>
              <w:jc w:val="right"/>
              <w:ind w:right="442"/>
              <w:spacing w:after="0"/>
              <w:rPr>
                <w:sz w:val="20"/>
                <w:szCs w:val="20"/>
                <w:color w:val="auto"/>
              </w:rPr>
            </w:pPr>
            <w:r>
              <w:rPr>
                <w:rFonts w:ascii="Calibri" w:cs="Calibri" w:eastAsia="Calibri" w:hAnsi="Calibri"/>
                <w:sz w:val="12"/>
                <w:szCs w:val="12"/>
                <w:color w:val="51555C"/>
                <w:w w:val="89"/>
              </w:rPr>
              <w:t>(1)</w:t>
            </w:r>
          </w:p>
        </w:tc>
        <w:tc>
          <w:tcPr>
            <w:tcW w:w="158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5440" w:type="dxa"/>
            <w:vAlign w:val="bottom"/>
            <w:tcBorders>
              <w:bottom w:val="single" w:sz="8" w:color="EBFBFF"/>
            </w:tcBorders>
            <w:shd w:val="clear" w:color="auto" w:fill="EBFBFF"/>
          </w:tcPr>
          <w:p>
            <w:pPr>
              <w:spacing w:after="0"/>
              <w:rPr>
                <w:sz w:val="7"/>
                <w:szCs w:val="7"/>
                <w:color w:val="auto"/>
              </w:rPr>
            </w:pPr>
          </w:p>
        </w:tc>
        <w:tc>
          <w:tcPr>
            <w:tcW w:w="3580" w:type="dxa"/>
            <w:vAlign w:val="bottom"/>
            <w:tcBorders>
              <w:bottom w:val="single" w:sz="8" w:color="EBFBFF"/>
            </w:tcBorders>
            <w:vMerge w:val="continue"/>
            <w:shd w:val="clear" w:color="auto" w:fill="EBFBFF"/>
          </w:tcPr>
          <w:p>
            <w:pPr>
              <w:spacing w:after="0"/>
              <w:rPr>
                <w:sz w:val="7"/>
                <w:szCs w:val="7"/>
                <w:color w:val="auto"/>
              </w:rPr>
            </w:pPr>
          </w:p>
        </w:tc>
        <w:tc>
          <w:tcPr>
            <w:tcW w:w="640" w:type="dxa"/>
            <w:vAlign w:val="bottom"/>
            <w:tcBorders>
              <w:bottom w:val="single" w:sz="8" w:color="EBFBFF"/>
            </w:tcBorders>
            <w:shd w:val="clear" w:color="auto" w:fill="EBFBFF"/>
          </w:tcPr>
          <w:p>
            <w:pPr>
              <w:spacing w:after="0"/>
              <w:rPr>
                <w:sz w:val="7"/>
                <w:szCs w:val="7"/>
                <w:color w:val="auto"/>
              </w:rPr>
            </w:pPr>
          </w:p>
        </w:tc>
        <w:tc>
          <w:tcPr>
            <w:tcW w:w="1580" w:type="dxa"/>
            <w:vAlign w:val="bottom"/>
            <w:tcBorders>
              <w:bottom w:val="single" w:sz="8" w:color="EBFBFF"/>
            </w:tcBorders>
            <w:vMerge w:val="continue"/>
            <w:shd w:val="clear" w:color="auto" w:fill="EBFB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5440" w:type="dxa"/>
            <w:vAlign w:val="bottom"/>
          </w:tcPr>
          <w:p>
            <w:pPr>
              <w:ind w:left="20"/>
              <w:spacing w:after="0"/>
              <w:rPr>
                <w:sz w:val="20"/>
                <w:szCs w:val="20"/>
                <w:color w:val="auto"/>
              </w:rPr>
            </w:pPr>
            <w:r>
              <w:rPr>
                <w:rFonts w:ascii="Calibri" w:cs="Calibri" w:eastAsia="Calibri" w:hAnsi="Calibri"/>
                <w:sz w:val="18"/>
                <w:szCs w:val="18"/>
                <w:color w:val="51555C"/>
              </w:rPr>
              <w:t>Content</w:t>
            </w:r>
          </w:p>
        </w:tc>
        <w:tc>
          <w:tcPr>
            <w:tcW w:w="3580" w:type="dxa"/>
            <w:vAlign w:val="bottom"/>
            <w:vMerge w:val="restart"/>
          </w:tcPr>
          <w:p>
            <w:pPr>
              <w:ind w:left="1680"/>
              <w:spacing w:after="0"/>
              <w:rPr>
                <w:sz w:val="20"/>
                <w:szCs w:val="20"/>
                <w:color w:val="auto"/>
              </w:rPr>
            </w:pPr>
            <w:r>
              <w:rPr>
                <w:rFonts w:ascii="Calibri" w:cs="Calibri" w:eastAsia="Calibri" w:hAnsi="Calibri"/>
                <w:sz w:val="18"/>
                <w:szCs w:val="18"/>
                <w:color w:val="51555C"/>
              </w:rPr>
              <w:t>Straight-line</w:t>
            </w:r>
          </w:p>
        </w:tc>
        <w:tc>
          <w:tcPr>
            <w:tcW w:w="640" w:type="dxa"/>
            <w:vAlign w:val="bottom"/>
          </w:tcPr>
          <w:p>
            <w:pPr>
              <w:spacing w:after="0"/>
              <w:rPr>
                <w:sz w:val="19"/>
                <w:szCs w:val="19"/>
                <w:color w:val="auto"/>
              </w:rPr>
            </w:pPr>
          </w:p>
        </w:tc>
        <w:tc>
          <w:tcPr>
            <w:tcW w:w="1580" w:type="dxa"/>
            <w:vAlign w:val="bottom"/>
            <w:vMerge w:val="restart"/>
          </w:tcPr>
          <w:p>
            <w:pPr>
              <w:jc w:val="right"/>
              <w:spacing w:after="0"/>
              <w:rPr>
                <w:sz w:val="20"/>
                <w:szCs w:val="20"/>
                <w:color w:val="auto"/>
              </w:rPr>
            </w:pPr>
            <w:r>
              <w:rPr>
                <w:rFonts w:ascii="Calibri" w:cs="Calibri" w:eastAsia="Calibri" w:hAnsi="Calibri"/>
                <w:sz w:val="18"/>
                <w:szCs w:val="18"/>
                <w:color w:val="51555C"/>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5440" w:type="dxa"/>
            <w:vAlign w:val="bottom"/>
            <w:tcBorders>
              <w:bottom w:val="single" w:sz="8" w:color="0CD973"/>
            </w:tcBorders>
          </w:tcPr>
          <w:p>
            <w:pPr>
              <w:spacing w:after="0"/>
              <w:rPr>
                <w:sz w:val="4"/>
                <w:szCs w:val="4"/>
                <w:color w:val="auto"/>
              </w:rPr>
            </w:pPr>
          </w:p>
        </w:tc>
        <w:tc>
          <w:tcPr>
            <w:tcW w:w="3580" w:type="dxa"/>
            <w:vAlign w:val="bottom"/>
            <w:tcBorders>
              <w:bottom w:val="single" w:sz="8" w:color="0CD973"/>
            </w:tcBorders>
          </w:tcPr>
          <w:p>
            <w:pPr>
              <w:spacing w:after="0"/>
              <w:rPr>
                <w:sz w:val="4"/>
                <w:szCs w:val="4"/>
                <w:color w:val="auto"/>
              </w:rPr>
            </w:pPr>
          </w:p>
        </w:tc>
        <w:tc>
          <w:tcPr>
            <w:tcW w:w="640" w:type="dxa"/>
            <w:vAlign w:val="bottom"/>
            <w:tcBorders>
              <w:bottom w:val="single" w:sz="8" w:color="0CD973"/>
            </w:tcBorders>
          </w:tcPr>
          <w:p>
            <w:pPr>
              <w:spacing w:after="0"/>
              <w:rPr>
                <w:sz w:val="4"/>
                <w:szCs w:val="4"/>
                <w:color w:val="auto"/>
              </w:rPr>
            </w:pPr>
          </w:p>
        </w:tc>
        <w:tc>
          <w:tcPr>
            <w:tcW w:w="15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50"/>
        </w:numPr>
        <w:rPr>
          <w:rFonts w:ascii="Calibri" w:cs="Calibri" w:eastAsia="Calibri" w:hAnsi="Calibri"/>
          <w:sz w:val="14"/>
          <w:szCs w:val="14"/>
          <w:color w:val="51555C"/>
        </w:rPr>
      </w:pPr>
      <w:r>
        <w:rPr>
          <w:rFonts w:ascii="Calibri" w:cs="Calibri" w:eastAsia="Calibri" w:hAnsi="Calibri"/>
          <w:sz w:val="14"/>
          <w:szCs w:val="14"/>
          <w:color w:val="51555C"/>
        </w:rPr>
        <w:t>Certain of the customer relatonships, marketng assets and developed technology assets are amortzed on a curve that represents the expected period of economic beneft.</w:t>
      </w:r>
    </w:p>
    <w:p>
      <w:pPr>
        <w:spacing w:after="0" w:line="160" w:lineRule="exact"/>
        <w:rPr>
          <w:sz w:val="20"/>
          <w:szCs w:val="20"/>
          <w:color w:val="auto"/>
        </w:rPr>
      </w:pPr>
    </w:p>
    <w:p>
      <w:pPr>
        <w:jc w:val="both"/>
        <w:ind w:right="20"/>
        <w:spacing w:after="0" w:line="251" w:lineRule="auto"/>
        <w:rPr>
          <w:sz w:val="20"/>
          <w:szCs w:val="20"/>
          <w:color w:val="auto"/>
        </w:rPr>
      </w:pPr>
      <w:r>
        <w:rPr>
          <w:rFonts w:ascii="Calibri" w:cs="Calibri" w:eastAsia="Calibri" w:hAnsi="Calibri"/>
          <w:sz w:val="17"/>
          <w:szCs w:val="17"/>
          <w:color w:val="51555C"/>
        </w:rPr>
        <w:t>We write of the gross carrying amount and accumulated amortzaton balances for all fully amortzed intangible assets. We evaluate the estmated useful lives and the potental for impairment of fnite and indefnite-lived intangible assets on an annual basis or more frequently if events or circumstances indicate revised estmates of useful lives may be appropriate or that the carrying amount may be impaired. If the carrying amount of a fnite-lived intangible asset is no longer recoverable based upon the undiscounted cash fows of the asset, the amount of impairment is the diference between the carrying amount and the fair value of the asset. All of our intangible assets were acquired in business combinatons. See Note 6 to these consolidated fnancial statements for a discussion of our impairment of certain intangible assets during 2022. There were no impairments of acquired intangible assets during 2023 and 2021.</w:t>
      </w:r>
    </w:p>
    <w:p>
      <w:pPr>
        <w:spacing w:after="0" w:line="15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Impairment of long-lived assets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review long-lived assets for impairment when events change or circumstances indicate the carrying amount may not be recoverable. Events or changes in circumstances that indicate the carrying amount may not be recoverable include, but are not limited to, a signifcant decrease in the market value of the business or asset acquired, a signifcant adverse change in the extent or manner in which the business or asset acquired is used or signifcant adverse change in the business climate. If such events or changes in circumstances are present, the undiscounted cash fow method is used to determine whether the asset or asset group is impaired. See Note 6 to these consolidated fnancial statements for a discussion of our impairment of certain long-lived assets during 2023, 2022 and 2021.</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Deferred fnancing costs and debt discount</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Deferred fnancing costs included in other assets represent the direct third-party costs of entering into the revolving (line-of-credit) porton of our credit facility in October 2020 and portons of the unamortzed deferred fnancing costs from prior facilites. These costs are amortzed ratably over the term of the credit facility as interest expense.</w:t>
      </w:r>
    </w:p>
    <w:p>
      <w:pPr>
        <w:spacing w:after="0" w:line="325"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78</w:t>
      </w:r>
      <w:r>
        <w:rPr>
          <w:sz w:val="20"/>
          <w:szCs w:val="20"/>
          <w:color w:val="auto"/>
        </w:rPr>
        <w:tab/>
      </w:r>
      <w:r>
        <w:rPr>
          <w:sz w:val="1"/>
          <w:szCs w:val="1"/>
          <w:color w:val="auto"/>
        </w:rPr>
        <w:drawing>
          <wp:inline distT="0" distB="0" distL="0" distR="0">
            <wp:extent cx="728345" cy="18859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Other debt issuance costs, as well as the debt discount associated with our 2021 Incremental Term Loan (as defned below), 2020 Credit facility (as defned below) and portons of the unamortzed balances from prior facilites, are recorded as a direct deducton from debt. These costs are amortzed over the term of the credit facility as interest expense.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Stock-based compensaton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measure stock-based compensaton cost at the grant date based on the fair value of the award and recognize it as expense over the requisite service period, which is the vestng period.</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recognize the efect of awards for which the requisite service period is not rendered when the award is forfeited (that is, we recognize the efect of forfeitures in compensaton cost when they occur). Previously recognized compensaton cost for an award is reversed in the period that the award is forfeited. Income tax benefts resultng from the vestng and exercise of stock-based compensaton awards are recognized in the period the unit or award is vested or opton or right is exercised.</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Income taxes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make estmates and judgments in accountng for income taxes. The calculaton of the income tax provision requires estmates due to transactons, credits and calculatons where the ultmate tax determinaton is uncertain. Uncertaintes arise as a consequence of the actual source of taxable income between domestc and foreign locatons, the outcome of tax audits and the ultmate utlizaton of tax credits. To the extent actual results difer from estmated amounts recorded, such diferences will impact the income tax provision in the period in which the determinaton is made.</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make estmates in determining tax assets and liabilites, which arise from diferences in the tming of recogniton of revenue and expense for tax and fnancial statement purposes. We record valuaton allowances to reduce our deferred tax assets to the amount expected to be realized. In assessing the adequacy of a recorded valuaton allowance signifcant judgment is required. We consider all positve and negatve evidence and a variety of factors including the scheduled reversal of deferred tax liabilites, historical and projected future taxable income, and prudent and feasible tax planning strategies. If we determine there is less than a 50% likelihood that we will be able to use a deferred tax asset in the future in excess of its net carrying value, then an adjustment to the deferred tax asset valuaton allowance is made to increase income tax expense, thereby reducing net income in the period such determinaton was made.</w:t>
      </w:r>
    </w:p>
    <w:p>
      <w:pPr>
        <w:spacing w:after="0" w:line="1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measure and recognize uncertain tax positons. To recognize such positons, we must frst determine if it is more likely than not that the positon will be sustained upon audit. We must then measure the beneft as the largest amount that is more than 50% likely of being realized upon ultmate setlement. Signifcant judgment is required in the identfcaton and measurement of uncertain tax positons.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Foreign currency</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Net assets recorded in a foreign currency are translated at the exchange rate on the balance sheet date. Revenue and expense items are translated using an average of monthly exchange rates. The resultng translaton adjustments are recorded in accumulated other comprehensive income.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Gains and losses resultng from foreign currency transactons denominated in currency other than the functonal currency are recorded at the approximate rate of exchange at the transacton date in other income, net. For the years ended December 31, 2023 and 2021, we recorded net foreign currency losses that were insignifcant and $1.6 million, respectvely. During the year ended December 31, 2022, we recorded a net foreign currency gain of $4.6 million.</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Research and development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 xml:space="preserve">Research and development costs are expensed as incurred except as noted below under </w:t>
      </w:r>
      <w:r>
        <w:rPr>
          <w:rFonts w:ascii="Calibri" w:cs="Calibri" w:eastAsia="Calibri" w:hAnsi="Calibri"/>
          <w:sz w:val="18"/>
          <w:szCs w:val="18"/>
          <w:i w:val="1"/>
          <w:iCs w:val="1"/>
          <w:color w:val="51555C"/>
        </w:rPr>
        <w:t>Sofware and content development costs</w:t>
      </w:r>
      <w:r>
        <w:rPr>
          <w:rFonts w:ascii="Calibri" w:cs="Calibri" w:eastAsia="Calibri" w:hAnsi="Calibri"/>
          <w:sz w:val="18"/>
          <w:szCs w:val="18"/>
          <w:color w:val="51555C"/>
        </w:rPr>
        <w:t>. These costs include compensaton costs for engineering and product management personnel, third-party contractor expenses, sofware development tools and other expenses related to researching and developing new solutons or upgrading and enhancing existng solutons that do not qualify for capitalizaton, and allocated depreciaton, facilites and IT support costs.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Sofware and content development costs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incur certain costs associated with the development of internal-use sofware and content, which are primarily related to actvites performed to develop our cloud solutons and the development of online educaton curriculum to be delivered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220980</wp:posOffset>
            </wp:positionV>
            <wp:extent cx="728980" cy="1885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79</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Company's cloud platorm. Internal and external costs incurred in the preliminary project stage of internal-use sofware development and content are expensed as incurred. Once the sofware or content being developed has reached the applicaton development stage, qualifying internal costs including payroll and payroll-related costs of employees who are directly associated with and devote tme to the sofware or content project as well as external direct costs of materials and services are capitalized. Capitalizaton ceases at the point at which the developed sofware or content is substantally complete and ready for its intended use, which is typically upon completon of all substantal testng. Qualifying costs capitalized during the applicaton development stage include those related to specifc upgrades and enhancements when it is probable that those costs incurred will result in additonal functonality. Overhead costs, including general and administratve costs, as well as maintenance, training and all other costs associated with post-implementaton stage actvites are expensed as incurred. In additon, internal costs that cannot be reasonably separated between maintenance and relatvely minor upgrades and enhancements are expensed as incurred. In certain circumstances, content development costs are considered deferred costs, when ownership of developed content belongs to the customer.</w:t>
      </w:r>
    </w:p>
    <w:p>
      <w:pPr>
        <w:spacing w:after="0" w:line="1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Qualifying capitalized sofware and content development costs are amortzed on a straight-line basis over the sofware asset's estmated useful life, which is generally three to seven years. We evaluate the useful lives of these assets on an annual basis and test for impairment whenever events or changes in circumstances occur that could impact the recoverability of these assets. See Note 6 to these consolidated fnancial statements for a discussion of our impairment of certain capitalized sofware development costs during 2022. There were no impairments of capitalized sofware assets during 2023 and 2021. We write of the gross carrying amount and accumulated amortzaton balances for all fully amortzed capitalized sofware and content development cost assets.</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Allowance for credit losses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accounts receivable consist of a single portolio segment. Accounts receivable are recorded at original invoice amounts less an allowance for credit losses, an amount we estmate to be sufcient to provide adequate protecton against lifetme expected losses resultng from extending credit to our customers. In judging the adequacy of the allowance for credit losses, we consider multple factors including historical bad debt experience, the current aging of our receivables and current economic conditons that may afect our customers' ability to pay. A considerable amount of judgment is required in assessing these factors and if any receivables were to deteriorate, an additonal provision for credit losses could be required. Accounts are writen of afer all means of collecton are exhausted and recovery is considered remote. Provisions for credit losses are recorded in general and administratve expense.</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color w:val="51555C"/>
        </w:rPr>
        <w:t>Below is a summary of the changes in our allowance for credit losses.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ended December 31,</w:t>
            </w:r>
          </w:p>
        </w:tc>
        <w:tc>
          <w:tcPr>
            <w:tcW w:w="500" w:type="dxa"/>
            <w:vAlign w:val="bottom"/>
            <w:shd w:val="clear" w:color="auto" w:fill="004054"/>
          </w:tcPr>
          <w:p>
            <w:pPr>
              <w:spacing w:after="0"/>
              <w:rPr>
                <w:sz w:val="16"/>
                <w:szCs w:val="16"/>
                <w:color w:val="auto"/>
              </w:rPr>
            </w:pPr>
          </w:p>
        </w:tc>
        <w:tc>
          <w:tcPr>
            <w:tcW w:w="14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at</w:t>
            </w:r>
          </w:p>
        </w:tc>
        <w:tc>
          <w:tcPr>
            <w:tcW w:w="480" w:type="dxa"/>
            <w:vAlign w:val="bottom"/>
            <w:shd w:val="clear" w:color="auto" w:fill="004054"/>
          </w:tcPr>
          <w:p>
            <w:pPr>
              <w:spacing w:after="0"/>
              <w:rPr>
                <w:sz w:val="16"/>
                <w:szCs w:val="16"/>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Provision/</w:t>
            </w:r>
          </w:p>
        </w:tc>
        <w:tc>
          <w:tcPr>
            <w:tcW w:w="54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56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60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at</w:t>
            </w:r>
          </w:p>
        </w:tc>
      </w:tr>
      <w:tr>
        <w:trPr>
          <w:trHeight w:val="170"/>
        </w:trPr>
        <w:tc>
          <w:tcPr>
            <w:tcW w:w="28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500" w:type="dxa"/>
            <w:vAlign w:val="bottom"/>
            <w:shd w:val="clear" w:color="auto" w:fill="004054"/>
          </w:tcPr>
          <w:p>
            <w:pPr>
              <w:spacing w:after="0"/>
              <w:rPr>
                <w:sz w:val="14"/>
                <w:szCs w:val="14"/>
                <w:color w:val="auto"/>
              </w:rPr>
            </w:pPr>
          </w:p>
        </w:tc>
        <w:tc>
          <w:tcPr>
            <w:tcW w:w="14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beginning of year</w:t>
            </w:r>
          </w:p>
        </w:tc>
        <w:tc>
          <w:tcPr>
            <w:tcW w:w="480" w:type="dxa"/>
            <w:vAlign w:val="bottom"/>
            <w:shd w:val="clear" w:color="auto" w:fill="004054"/>
          </w:tcPr>
          <w:p>
            <w:pPr>
              <w:spacing w:after="0"/>
              <w:rPr>
                <w:sz w:val="14"/>
                <w:szCs w:val="14"/>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adjustment</w:t>
            </w:r>
          </w:p>
        </w:tc>
        <w:tc>
          <w:tcPr>
            <w:tcW w:w="540" w:type="dxa"/>
            <w:vAlign w:val="bottom"/>
            <w:shd w:val="clear" w:color="auto" w:fill="004054"/>
          </w:tcPr>
          <w:p>
            <w:pPr>
              <w:spacing w:after="0"/>
              <w:rPr>
                <w:sz w:val="14"/>
                <w:szCs w:val="14"/>
                <w:color w:val="auto"/>
              </w:rPr>
            </w:pPr>
          </w:p>
        </w:tc>
        <w:tc>
          <w:tcPr>
            <w:tcW w:w="1000" w:type="dxa"/>
            <w:vAlign w:val="bottom"/>
            <w:shd w:val="clear" w:color="auto" w:fill="004054"/>
          </w:tcPr>
          <w:p>
            <w:pPr>
              <w:jc w:val="center"/>
              <w:ind w:left="335"/>
              <w:spacing w:after="0"/>
              <w:rPr>
                <w:sz w:val="20"/>
                <w:szCs w:val="20"/>
                <w:color w:val="auto"/>
              </w:rPr>
            </w:pPr>
            <w:r>
              <w:rPr>
                <w:rFonts w:ascii="Calibri" w:cs="Calibri" w:eastAsia="Calibri" w:hAnsi="Calibri"/>
                <w:sz w:val="14"/>
                <w:szCs w:val="14"/>
                <w:b w:val="1"/>
                <w:bCs w:val="1"/>
                <w:color w:val="FFFFFF"/>
              </w:rPr>
              <w:t>Write-of</w:t>
            </w:r>
          </w:p>
        </w:tc>
        <w:tc>
          <w:tcPr>
            <w:tcW w:w="560" w:type="dxa"/>
            <w:vAlign w:val="bottom"/>
            <w:shd w:val="clear" w:color="auto" w:fill="004054"/>
          </w:tcPr>
          <w:p>
            <w:pPr>
              <w:spacing w:after="0"/>
              <w:rPr>
                <w:sz w:val="14"/>
                <w:szCs w:val="1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Recovery</w:t>
            </w:r>
          </w:p>
        </w:tc>
        <w:tc>
          <w:tcPr>
            <w:tcW w:w="60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end of year</w:t>
            </w:r>
          </w:p>
        </w:tc>
      </w:tr>
      <w:tr>
        <w:trPr>
          <w:trHeight w:val="74"/>
        </w:trPr>
        <w:tc>
          <w:tcPr>
            <w:tcW w:w="280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146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54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56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60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r>
      <w:tr>
        <w:trPr>
          <w:trHeight w:val="304"/>
        </w:trPr>
        <w:tc>
          <w:tcPr>
            <w:tcW w:w="2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2023</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Calibri" w:cs="Calibri" w:eastAsia="Calibri" w:hAnsi="Calibri"/>
                <w:sz w:val="18"/>
                <w:szCs w:val="18"/>
                <w:color w:val="51555C"/>
              </w:rPr>
              <w:t>$</w:t>
            </w:r>
          </w:p>
        </w:tc>
        <w:tc>
          <w:tcPr>
            <w:tcW w:w="14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6,022</w:t>
            </w:r>
          </w:p>
        </w:tc>
        <w:tc>
          <w:tcPr>
            <w:tcW w:w="480" w:type="dxa"/>
            <w:vAlign w:val="bottom"/>
            <w:tcBorders>
              <w:bottom w:val="single" w:sz="8" w:color="EBFBFF"/>
            </w:tcBorders>
            <w:shd w:val="clear" w:color="auto" w:fill="EBFBFF"/>
          </w:tcPr>
          <w:p>
            <w:pPr>
              <w:jc w:val="right"/>
              <w:ind w:right="290"/>
              <w:spacing w:after="0"/>
              <w:rPr>
                <w:sz w:val="20"/>
                <w:szCs w:val="20"/>
                <w:color w:val="auto"/>
              </w:rPr>
            </w:pPr>
            <w:r>
              <w:rPr>
                <w:rFonts w:ascii="Calibri" w:cs="Calibri" w:eastAsia="Calibri" w:hAnsi="Calibri"/>
                <w:sz w:val="18"/>
                <w:szCs w:val="18"/>
                <w:color w:val="51555C"/>
                <w:w w:val="87"/>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2,012</w:t>
            </w:r>
          </w:p>
        </w:tc>
        <w:tc>
          <w:tcPr>
            <w:tcW w:w="540" w:type="dxa"/>
            <w:vAlign w:val="bottom"/>
            <w:tcBorders>
              <w:bottom w:val="single" w:sz="8" w:color="EBFBFF"/>
            </w:tcBorders>
            <w:shd w:val="clear" w:color="auto" w:fill="EBFBFF"/>
          </w:tcPr>
          <w:p>
            <w:pPr>
              <w:jc w:val="right"/>
              <w:ind w:right="350"/>
              <w:spacing w:after="0"/>
              <w:rPr>
                <w:sz w:val="20"/>
                <w:szCs w:val="20"/>
                <w:color w:val="auto"/>
              </w:rPr>
            </w:pPr>
            <w:r>
              <w:rPr>
                <w:rFonts w:ascii="Calibri" w:cs="Calibri" w:eastAsia="Calibri" w:hAnsi="Calibri"/>
                <w:sz w:val="18"/>
                <w:szCs w:val="18"/>
                <w:color w:val="51555C"/>
                <w:w w:val="87"/>
              </w:rPr>
              <w:t>$</w:t>
            </w:r>
          </w:p>
        </w:tc>
        <w:tc>
          <w:tcPr>
            <w:tcW w:w="1000" w:type="dxa"/>
            <w:vAlign w:val="bottom"/>
            <w:tcBorders>
              <w:bottom w:val="single" w:sz="8" w:color="EBFBFF"/>
            </w:tcBorders>
            <w:shd w:val="clear" w:color="auto" w:fill="EBFBFF"/>
          </w:tcPr>
          <w:p>
            <w:pPr>
              <w:jc w:val="center"/>
              <w:ind w:left="375"/>
              <w:spacing w:after="0"/>
              <w:rPr>
                <w:sz w:val="20"/>
                <w:szCs w:val="20"/>
                <w:color w:val="auto"/>
              </w:rPr>
            </w:pPr>
            <w:r>
              <w:rPr>
                <w:rFonts w:ascii="Calibri" w:cs="Calibri" w:eastAsia="Calibri" w:hAnsi="Calibri"/>
                <w:sz w:val="18"/>
                <w:szCs w:val="18"/>
                <w:color w:val="51555C"/>
                <w:w w:val="96"/>
              </w:rPr>
              <w:t>(2,539)</w:t>
            </w: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Calibri" w:cs="Calibri" w:eastAsia="Calibri" w:hAnsi="Calibri"/>
                <w:sz w:val="18"/>
                <w:szCs w:val="18"/>
                <w:color w:val="51555C"/>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601</w:t>
            </w:r>
          </w:p>
        </w:tc>
        <w:tc>
          <w:tcPr>
            <w:tcW w:w="600" w:type="dxa"/>
            <w:vAlign w:val="bottom"/>
            <w:tcBorders>
              <w:bottom w:val="single" w:sz="8" w:color="EBFBFF"/>
            </w:tcBorders>
            <w:shd w:val="clear" w:color="auto" w:fill="EBFBFF"/>
          </w:tcPr>
          <w:p>
            <w:pPr>
              <w:jc w:val="right"/>
              <w:ind w:right="410"/>
              <w:spacing w:after="0"/>
              <w:rPr>
                <w:sz w:val="20"/>
                <w:szCs w:val="20"/>
                <w:color w:val="auto"/>
              </w:rPr>
            </w:pPr>
            <w:r>
              <w:rPr>
                <w:rFonts w:ascii="Calibri" w:cs="Calibri" w:eastAsia="Calibri" w:hAnsi="Calibri"/>
                <w:sz w:val="18"/>
                <w:szCs w:val="18"/>
                <w:color w:val="51555C"/>
                <w:w w:val="87"/>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6,096</w:t>
            </w:r>
          </w:p>
        </w:tc>
      </w:tr>
      <w:tr>
        <w:trPr>
          <w:trHeight w:val="274"/>
        </w:trPr>
        <w:tc>
          <w:tcPr>
            <w:tcW w:w="2800" w:type="dxa"/>
            <w:vAlign w:val="bottom"/>
          </w:tcPr>
          <w:p>
            <w:pPr>
              <w:ind w:left="20"/>
              <w:spacing w:after="0"/>
              <w:rPr>
                <w:sz w:val="20"/>
                <w:szCs w:val="20"/>
                <w:color w:val="auto"/>
              </w:rPr>
            </w:pPr>
            <w:r>
              <w:rPr>
                <w:rFonts w:ascii="Calibri" w:cs="Calibri" w:eastAsia="Calibri" w:hAnsi="Calibri"/>
                <w:sz w:val="18"/>
                <w:szCs w:val="18"/>
                <w:color w:val="51555C"/>
              </w:rPr>
              <w:t>2022</w:t>
            </w:r>
          </w:p>
        </w:tc>
        <w:tc>
          <w:tcPr>
            <w:tcW w:w="5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Calibri" w:cs="Calibri" w:eastAsia="Calibri" w:hAnsi="Calibri"/>
                <w:sz w:val="18"/>
                <w:szCs w:val="18"/>
                <w:color w:val="51555C"/>
              </w:rPr>
              <w:t>9,375</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1,281</w:t>
            </w:r>
          </w:p>
        </w:tc>
        <w:tc>
          <w:tcPr>
            <w:tcW w:w="540" w:type="dxa"/>
            <w:vAlign w:val="bottom"/>
          </w:tcPr>
          <w:p>
            <w:pPr>
              <w:spacing w:after="0"/>
              <w:rPr>
                <w:sz w:val="23"/>
                <w:szCs w:val="23"/>
                <w:color w:val="auto"/>
              </w:rPr>
            </w:pPr>
          </w:p>
        </w:tc>
        <w:tc>
          <w:tcPr>
            <w:tcW w:w="1000" w:type="dxa"/>
            <w:vAlign w:val="bottom"/>
          </w:tcPr>
          <w:p>
            <w:pPr>
              <w:jc w:val="center"/>
              <w:ind w:left="375"/>
              <w:spacing w:after="0"/>
              <w:rPr>
                <w:sz w:val="20"/>
                <w:szCs w:val="20"/>
                <w:color w:val="auto"/>
              </w:rPr>
            </w:pPr>
            <w:r>
              <w:rPr>
                <w:rFonts w:ascii="Calibri" w:cs="Calibri" w:eastAsia="Calibri" w:hAnsi="Calibri"/>
                <w:sz w:val="18"/>
                <w:szCs w:val="18"/>
                <w:color w:val="51555C"/>
                <w:w w:val="96"/>
              </w:rPr>
              <w:t>(5,162)</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528</w:t>
            </w:r>
          </w:p>
        </w:tc>
        <w:tc>
          <w:tcPr>
            <w:tcW w:w="6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color w:val="51555C"/>
              </w:rPr>
              <w:t>6,022</w:t>
            </w:r>
          </w:p>
        </w:tc>
      </w:tr>
      <w:tr>
        <w:trPr>
          <w:trHeight w:val="50"/>
        </w:trPr>
        <w:tc>
          <w:tcPr>
            <w:tcW w:w="2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04"/>
        </w:trPr>
        <w:tc>
          <w:tcPr>
            <w:tcW w:w="2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2021</w:t>
            </w:r>
          </w:p>
        </w:tc>
        <w:tc>
          <w:tcPr>
            <w:tcW w:w="500" w:type="dxa"/>
            <w:vAlign w:val="bottom"/>
            <w:tcBorders>
              <w:bottom w:val="single" w:sz="8" w:color="EBFBFF"/>
            </w:tcBorders>
            <w:shd w:val="clear" w:color="auto" w:fill="EBFBFF"/>
          </w:tcPr>
          <w:p>
            <w:pPr>
              <w:spacing w:after="0"/>
              <w:rPr>
                <w:sz w:val="24"/>
                <w:szCs w:val="24"/>
                <w:color w:val="auto"/>
              </w:rPr>
            </w:pPr>
          </w:p>
        </w:tc>
        <w:tc>
          <w:tcPr>
            <w:tcW w:w="14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9,016</w:t>
            </w:r>
          </w:p>
        </w:tc>
        <w:tc>
          <w:tcPr>
            <w:tcW w:w="48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4,483</w:t>
            </w:r>
          </w:p>
        </w:tc>
        <w:tc>
          <w:tcPr>
            <w:tcW w:w="54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jc w:val="center"/>
              <w:ind w:left="375"/>
              <w:spacing w:after="0"/>
              <w:rPr>
                <w:sz w:val="20"/>
                <w:szCs w:val="20"/>
                <w:color w:val="auto"/>
              </w:rPr>
            </w:pPr>
            <w:r>
              <w:rPr>
                <w:rFonts w:ascii="Calibri" w:cs="Calibri" w:eastAsia="Calibri" w:hAnsi="Calibri"/>
                <w:sz w:val="18"/>
                <w:szCs w:val="18"/>
                <w:color w:val="51555C"/>
                <w:w w:val="96"/>
              </w:rPr>
              <w:t>(4,565)</w:t>
            </w:r>
          </w:p>
        </w:tc>
        <w:tc>
          <w:tcPr>
            <w:tcW w:w="56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441</w:t>
            </w:r>
          </w:p>
        </w:tc>
        <w:tc>
          <w:tcPr>
            <w:tcW w:w="600" w:type="dxa"/>
            <w:vAlign w:val="bottom"/>
            <w:tcBorders>
              <w:bottom w:val="single" w:sz="8" w:color="EBFBFF"/>
            </w:tcBorders>
            <w:shd w:val="clear" w:color="auto" w:fill="EBFBFF"/>
          </w:tcPr>
          <w:p>
            <w:pPr>
              <w:spacing w:after="0"/>
              <w:rPr>
                <w:sz w:val="24"/>
                <w:szCs w:val="24"/>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9,375</w:t>
            </w:r>
          </w:p>
        </w:tc>
      </w:tr>
      <w:tr>
        <w:trPr>
          <w:trHeight w:val="20"/>
        </w:trPr>
        <w:tc>
          <w:tcPr>
            <w:tcW w:w="280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46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60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r>
    </w:tbl>
    <w:p>
      <w:pPr>
        <w:spacing w:after="0" w:line="23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amount of write-ofs during the year ended December 31, 2023 was lower than during the same periods in 2022 and 2021 as we experienced payment delays during those years related to the COVID-19 pandemic.</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Allowance for sales returns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maintain a reserve for returns and credits which is estmated based on several factors including historical experience, known credits yet to be issued, the aging of customer accounts and the nature of service level commitments. A considerable amount of judgment is required in assessing these factors. Provisions for sales returns and credits are charged against the related revenue items.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Below is a summary of the changes in our allowance for sales returns.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1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ended December 31,</w:t>
            </w:r>
          </w:p>
        </w:tc>
        <w:tc>
          <w:tcPr>
            <w:tcW w:w="1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at</w:t>
            </w:r>
          </w:p>
        </w:tc>
        <w:tc>
          <w:tcPr>
            <w:tcW w:w="2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Provision/</w:t>
            </w:r>
          </w:p>
        </w:tc>
        <w:tc>
          <w:tcPr>
            <w:tcW w:w="2330" w:type="dxa"/>
            <w:vAlign w:val="bottom"/>
            <w:shd w:val="clear" w:color="auto" w:fill="004054"/>
          </w:tcPr>
          <w:p>
            <w:pPr>
              <w:spacing w:after="0"/>
              <w:rPr>
                <w:sz w:val="15"/>
                <w:szCs w:val="15"/>
                <w:color w:val="auto"/>
              </w:rPr>
            </w:pPr>
          </w:p>
        </w:tc>
        <w:tc>
          <w:tcPr>
            <w:tcW w:w="1790" w:type="dxa"/>
            <w:vAlign w:val="bottom"/>
            <w:shd w:val="clear" w:color="auto" w:fill="004054"/>
          </w:tcPr>
          <w:p>
            <w:pPr>
              <w:jc w:val="center"/>
              <w:ind w:left="978"/>
              <w:spacing w:after="0"/>
              <w:rPr>
                <w:sz w:val="20"/>
                <w:szCs w:val="20"/>
                <w:color w:val="auto"/>
              </w:rPr>
            </w:pPr>
            <w:r>
              <w:rPr>
                <w:rFonts w:ascii="Calibri" w:cs="Calibri" w:eastAsia="Calibri" w:hAnsi="Calibri"/>
                <w:sz w:val="14"/>
                <w:szCs w:val="14"/>
                <w:b w:val="1"/>
                <w:bCs w:val="1"/>
                <w:color w:val="FFFFFF"/>
              </w:rPr>
              <w:t>Balance at</w:t>
            </w:r>
          </w:p>
        </w:tc>
      </w:tr>
      <w:tr>
        <w:trPr>
          <w:trHeight w:val="183"/>
        </w:trPr>
        <w:tc>
          <w:tcPr>
            <w:tcW w:w="281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1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beginning of year</w:t>
            </w:r>
          </w:p>
        </w:tc>
        <w:tc>
          <w:tcPr>
            <w:tcW w:w="2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adjustment</w:t>
            </w:r>
          </w:p>
        </w:tc>
        <w:tc>
          <w:tcPr>
            <w:tcW w:w="2330" w:type="dxa"/>
            <w:vAlign w:val="bottom"/>
            <w:shd w:val="clear" w:color="auto" w:fill="004054"/>
          </w:tcPr>
          <w:p>
            <w:pPr>
              <w:ind w:left="1680"/>
              <w:spacing w:after="0"/>
              <w:rPr>
                <w:sz w:val="20"/>
                <w:szCs w:val="20"/>
                <w:color w:val="auto"/>
              </w:rPr>
            </w:pPr>
            <w:r>
              <w:rPr>
                <w:rFonts w:ascii="Calibri" w:cs="Calibri" w:eastAsia="Calibri" w:hAnsi="Calibri"/>
                <w:sz w:val="14"/>
                <w:szCs w:val="14"/>
                <w:b w:val="1"/>
                <w:bCs w:val="1"/>
                <w:color w:val="FFFFFF"/>
              </w:rPr>
              <w:t>Deducton</w:t>
            </w:r>
          </w:p>
        </w:tc>
        <w:tc>
          <w:tcPr>
            <w:tcW w:w="1790" w:type="dxa"/>
            <w:vAlign w:val="bottom"/>
            <w:shd w:val="clear" w:color="auto" w:fill="004054"/>
          </w:tcPr>
          <w:p>
            <w:pPr>
              <w:jc w:val="center"/>
              <w:ind w:left="998"/>
              <w:spacing w:after="0"/>
              <w:rPr>
                <w:sz w:val="20"/>
                <w:szCs w:val="20"/>
                <w:color w:val="auto"/>
              </w:rPr>
            </w:pPr>
            <w:r>
              <w:rPr>
                <w:rFonts w:ascii="Calibri" w:cs="Calibri" w:eastAsia="Calibri" w:hAnsi="Calibri"/>
                <w:sz w:val="14"/>
                <w:szCs w:val="14"/>
                <w:b w:val="1"/>
                <w:bCs w:val="1"/>
                <w:color w:val="FFFFFF"/>
              </w:rPr>
              <w:t>end of year</w:t>
            </w:r>
          </w:p>
        </w:tc>
      </w:tr>
      <w:tr>
        <w:trPr>
          <w:trHeight w:val="74"/>
        </w:trPr>
        <w:tc>
          <w:tcPr>
            <w:tcW w:w="2810" w:type="dxa"/>
            <w:vAlign w:val="bottom"/>
            <w:shd w:val="clear" w:color="auto" w:fill="004054"/>
          </w:tcPr>
          <w:p>
            <w:pPr>
              <w:spacing w:after="0"/>
              <w:rPr>
                <w:sz w:val="6"/>
                <w:szCs w:val="6"/>
                <w:color w:val="auto"/>
              </w:rPr>
            </w:pPr>
          </w:p>
        </w:tc>
        <w:tc>
          <w:tcPr>
            <w:tcW w:w="1970" w:type="dxa"/>
            <w:vAlign w:val="bottom"/>
            <w:shd w:val="clear" w:color="auto" w:fill="004054"/>
          </w:tcPr>
          <w:p>
            <w:pPr>
              <w:spacing w:after="0"/>
              <w:rPr>
                <w:sz w:val="6"/>
                <w:szCs w:val="6"/>
                <w:color w:val="auto"/>
              </w:rPr>
            </w:pPr>
          </w:p>
        </w:tc>
        <w:tc>
          <w:tcPr>
            <w:tcW w:w="2320" w:type="dxa"/>
            <w:vAlign w:val="bottom"/>
            <w:shd w:val="clear" w:color="auto" w:fill="004054"/>
          </w:tcPr>
          <w:p>
            <w:pPr>
              <w:spacing w:after="0"/>
              <w:rPr>
                <w:sz w:val="6"/>
                <w:szCs w:val="6"/>
                <w:color w:val="auto"/>
              </w:rPr>
            </w:pPr>
          </w:p>
        </w:tc>
        <w:tc>
          <w:tcPr>
            <w:tcW w:w="2330" w:type="dxa"/>
            <w:vAlign w:val="bottom"/>
            <w:shd w:val="clear" w:color="auto" w:fill="004054"/>
          </w:tcPr>
          <w:p>
            <w:pPr>
              <w:spacing w:after="0"/>
              <w:rPr>
                <w:sz w:val="6"/>
                <w:szCs w:val="6"/>
                <w:color w:val="auto"/>
              </w:rPr>
            </w:pPr>
          </w:p>
        </w:tc>
        <w:tc>
          <w:tcPr>
            <w:tcW w:w="179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2146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15175" cy="21463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80" w:type="dxa"/>
            <w:vAlign w:val="bottom"/>
          </w:tcPr>
          <w:p>
            <w:pPr>
              <w:ind w:left="20"/>
              <w:spacing w:after="0"/>
              <w:rPr>
                <w:sz w:val="20"/>
                <w:szCs w:val="20"/>
                <w:color w:val="auto"/>
              </w:rPr>
            </w:pPr>
            <w:r>
              <w:rPr>
                <w:rFonts w:ascii="Calibri" w:cs="Calibri" w:eastAsia="Calibri" w:hAnsi="Calibri"/>
                <w:sz w:val="18"/>
                <w:szCs w:val="18"/>
                <w:color w:val="51555C"/>
              </w:rPr>
              <w:t>2023</w:t>
            </w:r>
          </w:p>
        </w:tc>
        <w:tc>
          <w:tcPr>
            <w:tcW w:w="2520" w:type="dxa"/>
            <w:vAlign w:val="bottom"/>
          </w:tcPr>
          <w:p>
            <w:pPr>
              <w:jc w:val="right"/>
              <w:ind w:right="599"/>
              <w:spacing w:after="0"/>
              <w:rPr>
                <w:sz w:val="20"/>
                <w:szCs w:val="20"/>
                <w:color w:val="auto"/>
              </w:rPr>
            </w:pPr>
            <w:r>
              <w:rPr>
                <w:rFonts w:ascii="Calibri" w:cs="Calibri" w:eastAsia="Calibri" w:hAnsi="Calibri"/>
                <w:sz w:val="18"/>
                <w:szCs w:val="18"/>
                <w:color w:val="51555C"/>
              </w:rPr>
              <w:t>$</w:t>
            </w: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1,296</w:t>
            </w:r>
          </w:p>
        </w:tc>
        <w:tc>
          <w:tcPr>
            <w:tcW w:w="1000" w:type="dxa"/>
            <w:vAlign w:val="bottom"/>
          </w:tcPr>
          <w:p>
            <w:pPr>
              <w:jc w:val="right"/>
              <w:ind w:right="790"/>
              <w:spacing w:after="0"/>
              <w:rPr>
                <w:sz w:val="20"/>
                <w:szCs w:val="20"/>
                <w:color w:val="auto"/>
              </w:rPr>
            </w:pPr>
            <w:r>
              <w:rPr>
                <w:rFonts w:ascii="Calibri" w:cs="Calibri" w:eastAsia="Calibri" w:hAnsi="Calibri"/>
                <w:sz w:val="18"/>
                <w:szCs w:val="18"/>
                <w:color w:val="51555C"/>
              </w:rPr>
              <w:t>$</w:t>
            </w:r>
          </w:p>
        </w:tc>
        <w:tc>
          <w:tcPr>
            <w:tcW w:w="1320" w:type="dxa"/>
            <w:vAlign w:val="bottom"/>
          </w:tcPr>
          <w:p>
            <w:pPr>
              <w:jc w:val="right"/>
              <w:spacing w:after="0"/>
              <w:rPr>
                <w:sz w:val="20"/>
                <w:szCs w:val="20"/>
                <w:color w:val="auto"/>
              </w:rPr>
            </w:pPr>
            <w:r>
              <w:rPr>
                <w:rFonts w:ascii="Calibri" w:cs="Calibri" w:eastAsia="Calibri" w:hAnsi="Calibri"/>
                <w:sz w:val="18"/>
                <w:szCs w:val="18"/>
                <w:color w:val="51555C"/>
              </w:rPr>
              <w:t>2,488</w:t>
            </w:r>
          </w:p>
        </w:tc>
        <w:tc>
          <w:tcPr>
            <w:tcW w:w="960" w:type="dxa"/>
            <w:vAlign w:val="bottom"/>
          </w:tcPr>
          <w:p>
            <w:pPr>
              <w:jc w:val="right"/>
              <w:ind w:right="750"/>
              <w:spacing w:after="0"/>
              <w:rPr>
                <w:sz w:val="20"/>
                <w:szCs w:val="20"/>
                <w:color w:val="auto"/>
              </w:rPr>
            </w:pPr>
            <w:r>
              <w:rPr>
                <w:rFonts w:ascii="Calibri" w:cs="Calibri" w:eastAsia="Calibri" w:hAnsi="Calibri"/>
                <w:sz w:val="18"/>
                <w:szCs w:val="18"/>
                <w:color w:val="51555C"/>
              </w:rPr>
              <w:t>$</w:t>
            </w:r>
          </w:p>
        </w:tc>
        <w:tc>
          <w:tcPr>
            <w:tcW w:w="1380" w:type="dxa"/>
            <w:vAlign w:val="bottom"/>
          </w:tcPr>
          <w:p>
            <w:pPr>
              <w:jc w:val="right"/>
              <w:spacing w:after="0"/>
              <w:rPr>
                <w:sz w:val="20"/>
                <w:szCs w:val="20"/>
                <w:color w:val="auto"/>
              </w:rPr>
            </w:pPr>
            <w:r>
              <w:rPr>
                <w:rFonts w:ascii="Calibri" w:cs="Calibri" w:eastAsia="Calibri" w:hAnsi="Calibri"/>
                <w:sz w:val="18"/>
                <w:szCs w:val="18"/>
                <w:color w:val="51555C"/>
              </w:rPr>
              <w:t>(2,973)</w:t>
            </w:r>
          </w:p>
        </w:tc>
        <w:tc>
          <w:tcPr>
            <w:tcW w:w="720" w:type="dxa"/>
            <w:vAlign w:val="bottom"/>
          </w:tcPr>
          <w:p>
            <w:pPr>
              <w:jc w:val="right"/>
              <w:ind w:right="530"/>
              <w:spacing w:after="0"/>
              <w:rPr>
                <w:sz w:val="20"/>
                <w:szCs w:val="20"/>
                <w:color w:val="auto"/>
              </w:rPr>
            </w:pPr>
            <w:r>
              <w:rPr>
                <w:rFonts w:ascii="Calibri" w:cs="Calibri" w:eastAsia="Calibri" w:hAnsi="Calibri"/>
                <w:sz w:val="18"/>
                <w:szCs w:val="18"/>
                <w:color w:val="51555C"/>
                <w:w w:val="87"/>
              </w:rPr>
              <w:t>$</w:t>
            </w: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811</w:t>
            </w:r>
          </w:p>
        </w:tc>
        <w:tc>
          <w:tcPr>
            <w:tcW w:w="20" w:type="dxa"/>
            <w:vAlign w:val="bottom"/>
          </w:tcPr>
          <w:p>
            <w:pPr>
              <w:spacing w:after="0"/>
              <w:rPr>
                <w:sz w:val="19"/>
                <w:szCs w:val="19"/>
                <w:color w:val="auto"/>
              </w:rPr>
            </w:pPr>
          </w:p>
        </w:tc>
      </w:tr>
      <w:tr>
        <w:trPr>
          <w:trHeight w:val="324"/>
        </w:trPr>
        <w:tc>
          <w:tcPr>
            <w:tcW w:w="1080" w:type="dxa"/>
            <w:vAlign w:val="bottom"/>
          </w:tcPr>
          <w:p>
            <w:pPr>
              <w:ind w:left="20"/>
              <w:spacing w:after="0"/>
              <w:rPr>
                <w:sz w:val="20"/>
                <w:szCs w:val="20"/>
                <w:color w:val="auto"/>
              </w:rPr>
            </w:pPr>
            <w:r>
              <w:rPr>
                <w:rFonts w:ascii="Calibri" w:cs="Calibri" w:eastAsia="Calibri" w:hAnsi="Calibri"/>
                <w:sz w:val="18"/>
                <w:szCs w:val="18"/>
                <w:color w:val="51555C"/>
              </w:rPr>
              <w:t>2022</w:t>
            </w:r>
          </w:p>
        </w:tc>
        <w:tc>
          <w:tcPr>
            <w:tcW w:w="2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1,780</w:t>
            </w:r>
          </w:p>
        </w:tc>
        <w:tc>
          <w:tcPr>
            <w:tcW w:w="10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18"/>
                <w:szCs w:val="18"/>
                <w:color w:val="51555C"/>
              </w:rPr>
              <w:t>4,785</w:t>
            </w:r>
          </w:p>
        </w:tc>
        <w:tc>
          <w:tcPr>
            <w:tcW w:w="9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alibri" w:cs="Calibri" w:eastAsia="Calibri" w:hAnsi="Calibri"/>
                <w:sz w:val="18"/>
                <w:szCs w:val="18"/>
                <w:color w:val="51555C"/>
              </w:rPr>
              <w:t>(5,269)</w:t>
            </w: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1,296</w:t>
            </w:r>
          </w:p>
        </w:tc>
        <w:tc>
          <w:tcPr>
            <w:tcW w:w="20" w:type="dxa"/>
            <w:vAlign w:val="bottom"/>
          </w:tcPr>
          <w:p>
            <w:pPr>
              <w:spacing w:after="0"/>
              <w:rPr>
                <w:sz w:val="24"/>
                <w:szCs w:val="24"/>
                <w:color w:val="auto"/>
              </w:rPr>
            </w:pPr>
          </w:p>
        </w:tc>
      </w:tr>
      <w:tr>
        <w:trPr>
          <w:trHeight w:val="51"/>
        </w:trPr>
        <w:tc>
          <w:tcPr>
            <w:tcW w:w="10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9"/>
        </w:trPr>
        <w:tc>
          <w:tcPr>
            <w:tcW w:w="10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2021</w:t>
            </w:r>
          </w:p>
        </w:tc>
        <w:tc>
          <w:tcPr>
            <w:tcW w:w="2520" w:type="dxa"/>
            <w:vAlign w:val="bottom"/>
            <w:tcBorders>
              <w:bottom w:val="single" w:sz="8" w:color="EBFBFF"/>
            </w:tcBorders>
            <w:shd w:val="clear" w:color="auto" w:fill="EBFBFF"/>
          </w:tcPr>
          <w:p>
            <w:pPr>
              <w:spacing w:after="0"/>
              <w:rPr>
                <w:sz w:val="24"/>
                <w:szCs w:val="24"/>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1,276</w:t>
            </w:r>
          </w:p>
        </w:tc>
        <w:tc>
          <w:tcPr>
            <w:tcW w:w="1000" w:type="dxa"/>
            <w:vAlign w:val="bottom"/>
            <w:tcBorders>
              <w:bottom w:val="single" w:sz="8" w:color="EBFBFF"/>
            </w:tcBorders>
            <w:shd w:val="clear" w:color="auto" w:fill="EBFBFF"/>
          </w:tcPr>
          <w:p>
            <w:pPr>
              <w:spacing w:after="0"/>
              <w:rPr>
                <w:sz w:val="24"/>
                <w:szCs w:val="24"/>
                <w:color w:val="auto"/>
              </w:rPr>
            </w:pPr>
          </w:p>
        </w:tc>
        <w:tc>
          <w:tcPr>
            <w:tcW w:w="13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6,967</w:t>
            </w:r>
          </w:p>
        </w:tc>
        <w:tc>
          <w:tcPr>
            <w:tcW w:w="960" w:type="dxa"/>
            <w:vAlign w:val="bottom"/>
            <w:tcBorders>
              <w:bottom w:val="single" w:sz="8" w:color="EBFBFF"/>
            </w:tcBorders>
            <w:shd w:val="clear" w:color="auto" w:fill="EBFBFF"/>
          </w:tcPr>
          <w:p>
            <w:pPr>
              <w:spacing w:after="0"/>
              <w:rPr>
                <w:sz w:val="24"/>
                <w:szCs w:val="24"/>
                <w:color w:val="auto"/>
              </w:rPr>
            </w:pPr>
          </w:p>
        </w:tc>
        <w:tc>
          <w:tcPr>
            <w:tcW w:w="13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(6,463)</w:t>
            </w:r>
          </w:p>
        </w:tc>
        <w:tc>
          <w:tcPr>
            <w:tcW w:w="72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1,780</w:t>
            </w:r>
          </w:p>
        </w:tc>
        <w:tc>
          <w:tcPr>
            <w:tcW w:w="20" w:type="dxa"/>
            <w:vAlign w:val="bottom"/>
          </w:tcPr>
          <w:p>
            <w:pPr>
              <w:spacing w:after="0"/>
              <w:rPr>
                <w:sz w:val="24"/>
                <w:szCs w:val="24"/>
                <w:color w:val="auto"/>
              </w:rPr>
            </w:pPr>
          </w:p>
        </w:tc>
      </w:tr>
      <w:tr>
        <w:trPr>
          <w:trHeight w:val="662"/>
        </w:trPr>
        <w:tc>
          <w:tcPr>
            <w:tcW w:w="1080" w:type="dxa"/>
            <w:vAlign w:val="bottom"/>
            <w:tcBorders>
              <w:top w:val="single" w:sz="8" w:color="0CD973"/>
            </w:tcBorders>
          </w:tcPr>
          <w:p>
            <w:pPr>
              <w:ind w:left="20"/>
              <w:spacing w:after="0"/>
              <w:rPr>
                <w:sz w:val="20"/>
                <w:szCs w:val="20"/>
                <w:color w:val="auto"/>
              </w:rPr>
            </w:pPr>
            <w:r>
              <w:rPr>
                <w:rFonts w:ascii="Calibri" w:cs="Calibri" w:eastAsia="Calibri" w:hAnsi="Calibri"/>
                <w:sz w:val="14"/>
                <w:szCs w:val="14"/>
                <w:color w:val="51555C"/>
              </w:rPr>
              <w:t>80</w:t>
            </w:r>
          </w:p>
        </w:tc>
        <w:tc>
          <w:tcPr>
            <w:tcW w:w="2520" w:type="dxa"/>
            <w:vAlign w:val="bottom"/>
            <w:tcBorders>
              <w:top w:val="single" w:sz="8" w:color="0CD973"/>
            </w:tcBorders>
          </w:tcPr>
          <w:p>
            <w:pPr>
              <w:jc w:val="right"/>
              <w:ind w:right="819"/>
              <w:spacing w:after="0"/>
              <w:rPr>
                <w:sz w:val="20"/>
                <w:szCs w:val="20"/>
                <w:color w:val="auto"/>
              </w:rPr>
            </w:pPr>
            <w:r>
              <w:rPr>
                <w:rFonts w:ascii="Calibri" w:cs="Calibri" w:eastAsia="Calibri" w:hAnsi="Calibri"/>
                <w:sz w:val="14"/>
                <w:szCs w:val="14"/>
                <w:color w:val="51555C"/>
              </w:rPr>
              <w:t>2023 Form 10-K</w:t>
            </w:r>
          </w:p>
        </w:tc>
        <w:tc>
          <w:tcPr>
            <w:tcW w:w="1160" w:type="dxa"/>
            <w:vAlign w:val="bottom"/>
            <w:tcBorders>
              <w:top w:val="single" w:sz="8" w:color="0CD973"/>
            </w:tcBorders>
          </w:tcPr>
          <w:p>
            <w:pPr>
              <w:spacing w:after="0"/>
              <w:rPr>
                <w:sz w:val="24"/>
                <w:szCs w:val="24"/>
                <w:color w:val="auto"/>
              </w:rPr>
            </w:pPr>
          </w:p>
        </w:tc>
        <w:tc>
          <w:tcPr>
            <w:tcW w:w="1000" w:type="dxa"/>
            <w:vAlign w:val="bottom"/>
            <w:tcBorders>
              <w:top w:val="single" w:sz="8" w:color="0CD973"/>
            </w:tcBorders>
          </w:tcPr>
          <w:p>
            <w:pPr>
              <w:spacing w:after="0"/>
              <w:rPr>
                <w:sz w:val="24"/>
                <w:szCs w:val="24"/>
                <w:color w:val="auto"/>
              </w:rPr>
            </w:pPr>
          </w:p>
        </w:tc>
        <w:tc>
          <w:tcPr>
            <w:tcW w:w="1320" w:type="dxa"/>
            <w:vAlign w:val="bottom"/>
            <w:tcBorders>
              <w:top w:val="single" w:sz="8" w:color="0CD973"/>
            </w:tcBorders>
          </w:tcPr>
          <w:p>
            <w:pPr>
              <w:spacing w:after="0"/>
              <w:rPr>
                <w:sz w:val="24"/>
                <w:szCs w:val="24"/>
                <w:color w:val="auto"/>
              </w:rPr>
            </w:pPr>
          </w:p>
        </w:tc>
        <w:tc>
          <w:tcPr>
            <w:tcW w:w="960" w:type="dxa"/>
            <w:vAlign w:val="bottom"/>
            <w:tcBorders>
              <w:top w:val="single" w:sz="8" w:color="0CD973"/>
            </w:tcBorders>
          </w:tcPr>
          <w:p>
            <w:pPr>
              <w:spacing w:after="0"/>
              <w:rPr>
                <w:sz w:val="24"/>
                <w:szCs w:val="24"/>
                <w:color w:val="auto"/>
              </w:rPr>
            </w:pPr>
          </w:p>
        </w:tc>
        <w:tc>
          <w:tcPr>
            <w:tcW w:w="1380" w:type="dxa"/>
            <w:vAlign w:val="bottom"/>
            <w:tcBorders>
              <w:top w:val="single" w:sz="8" w:color="0CD973"/>
            </w:tcBorders>
          </w:tcPr>
          <w:p>
            <w:pPr>
              <w:spacing w:after="0"/>
              <w:rPr>
                <w:sz w:val="24"/>
                <w:szCs w:val="24"/>
                <w:color w:val="auto"/>
              </w:rPr>
            </w:pPr>
          </w:p>
        </w:tc>
        <w:tc>
          <w:tcPr>
            <w:tcW w:w="720" w:type="dxa"/>
            <w:vAlign w:val="bottom"/>
            <w:tcBorders>
              <w:top w:val="single" w:sz="8" w:color="0CD973"/>
            </w:tcBorders>
          </w:tcPr>
          <w:p>
            <w:pPr>
              <w:spacing w:after="0"/>
              <w:rPr>
                <w:sz w:val="24"/>
                <w:szCs w:val="24"/>
                <w:color w:val="auto"/>
              </w:rPr>
            </w:pPr>
          </w:p>
        </w:tc>
        <w:tc>
          <w:tcPr>
            <w:tcW w:w="10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0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-385445</wp:posOffset>
            </wp:positionV>
            <wp:extent cx="728345"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Advertsing costs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expense advertsing costs as incurred, which were $14.0 million, $16.5 million and $7.1 million for the years ended December 31, 2023, 2022 and 2021, respectvely.</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Restructuring costs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Restructuring costs include charges for the costs of exit or disposal actvites. The liability for costs associated with exit or disposal actvites is measured initally at fair value and only recognized when the liability is incurred.</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Leases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determine if an arrangement is a lease at incepton. Operatng leases are included in operatng lease right-of-use ("ROU") assets, accrued expense and other current liabilites, and operatng lease liabilites, net of current porton in our consolidated balance sheet as of December 31, 2023 and 2022.</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ROU assets represent our right to use an underlying asset for the lease term and lease liabilites represent our obligaton to make lease payments arising from the lease. Operatng lease ROU assets and liabilites are recognized at the lease commencement date based on the present value of lease payments over the lease term. As most of our leases do not provide an implicit rate, we generally use our incremental borrowing rate in determining the present value of lease payments. Our incremental borrowing rate is based on the estmated rate of interest for collateralized borrowing over a similar term of the lease payments at the commencement date. We use the implicit rate when readily determinable. The operatng lease ROU asset also includes any inital direct costs and lease payments made and excludes lease incentves. Our lease terms may include optons to extend or terminate the lease when it is reasonably certain that we will exercise that opton. Lease expense for lease payments related to our operatng leases is recognized on a straight-line basis over the lease term. We have lease agreements with lease and non-lease components, which are generally accounted for separately. We do not recognize short-term leases (those that, at the commencement date, have a lease term of 12 months or less) on our consolidated balance sheets. Variable lease payments, which are primarily comprised of common-area maintenance, utlites and real estate taxes that are passed on from the lessor in proporton to the space leased by us, are recognized in operatng expenses in the period in which the obligaton for those payments is incurred.</w:t>
      </w:r>
    </w:p>
    <w:p>
      <w:pPr>
        <w:spacing w:after="0" w:line="167"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Loss contngencies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are subject to the possibility of various loss contngencies, including legal proceedings and claims, that arise in the normal course of business, as well as certain other non-ordinary course proceedings, claims and investgatons, as described in Note 11 to these consolidated fnancial statements. We record an accrual for a loss contngency when it is both probable that a liability has been incurred and the amount of the loss can be reasonably estmated. Ofen these issues are subject to substantal uncertaintes and, therefore, the probability of loss and the estmaton of damages are difcult to ascertain. These assessments can involve a series of complex judgments about future events and can rely heavily on estmates and assumptons that have been deemed reasonable by us. Although we believe we have substantal defenses in these maters, we could incur judgments or enter into setlements of claims that could have a material adverse efect on our consolidated fnancial positon, results of operatons or cash fows in any partcular period.</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Earnings (loss) per share</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compute basic earnings (loss) per share by dividing net (loss) income atributable to common stockholders by the weighted average number of common shares outstanding during the period. Diluted earnings per share is computed by dividing net income atributable to common stockholders by the weighted average number of common shares and dilutve potental common shares outstanding during the period. Diluted earnings per share refects the assumed exercise, setlement and vestng of all dilutve securites using the “treasury stock method” except when the efect is ant-dilutve. Potentally dilutve securites consist of shares issuable upon the exercise of stock optons and stock appreciaton rights and vestng of restricted stock awards and units. In periods where there are net losses and the inclusion of potentally dilutve securites would be ant-dilutve, diluted loss per share is the same as basic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223520</wp:posOffset>
            </wp:positionV>
            <wp:extent cx="728980"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81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3. Business Combinatons and Dispositons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2022 Dispositon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Blackbaud FIMS™ and DonorCentral® NXT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September 9, 2022, we sold our Foundaton Informaton Management System ("FIMS") and DonorCentral NXT solutons to Fusion Laboratories, LLC for cash proceeds of approximately $6.4 million, subject to closing adjustments. During the year ended December 31, 2022, we recognized a noncash impairment charge of $2.0 million against certain insignifcant FIMS customer relatonship intangible assets that were then held for sale. The impairment charge was recorded in general and administratve expense in our consolidated statements of comprehensive loss.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2022 Acquisiton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Kilter</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August 19, 2022, we acquired all of the outstanding stock of Kilter, Inc., a Delaware corporaton, pursuant to an agreement and plan of merger, for approximately $2.9 million in cash, net of closing adjustments. In additon to the consideraton paid at closing, we may be required to pay up to a maximum of $3.0 million in additonal cash consideraton if during the two-year period commencing January 1, 2023 Kilter meets certain applicaton partcipaton targets. As of December 31, 2023, a liability for the contngent consideraton is recorded at its current estmated fair value of $1.4 million in other liabilites in our consolidated balance sheet. Any change in the fair value of the contngent liability, or any change upon fnal setlement, will be recognized in income from operatons. Fair values were also assigned to the other assets acquired and liabilites assumed, primarily consistng of goodwill and a fnite-lived developed technology intangible asset, which will be amortzed over an estmated useful life of three years. We fnalized the purchase price allocaton of Kilter, including the valuaton of assets acquired and liabilites assumed, during the third quarter of 2023. Insignifcant acquisiton-related costs, which primarily consisted of legal services, were recorded as general and administratve expense during the year ended December 31, 2023.</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2021 Acquisiton</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EVERFI</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December 31, 2021, we acquired all of the outstanding equity securites, including all votng equity interests, of EVERFI, Inc., a Delaware corporaton, pursuant to an agreement and plan of merger. We acquired the equity securites for approximately $441.8 million in cash consideraton and 3,810,888 shares of our common stock, valued at approximately $301.0 million, for an aggregate purchase price of approximately $742.8 million, net of closing adjustments. The cash consideraton and related expenses were funded primarily through cash on hand and new borrowings under the 2020 Credit Facility (as defned below). As a result of the acquisiton, EVERFI became a wholly owned subsidiary of ours. The operatng results of EVERFI have been included in our consolidated fnancial statements from the date of acquisiton. During the year ended December 31, 2021, we incurred insignifcant acquisiton-related expenses associated with the acquisiton, which were recorded in general and administratve expense. In accordance with applicable accountng rules, we determined that the impact of this acquisiton was not material to our consolidated fnancial statements; therefore, revenue and earnings since the acquisiton date and pro forma informaton are not required or presented. We fnalized the purchase price allocaton of EVERFI, including the valuaton of assets acquired and liabilites assumed, during the fourth quarter of 2022.</w:t>
      </w:r>
    </w:p>
    <w:p>
      <w:pPr>
        <w:spacing w:after="0" w:line="317"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82</w:t>
      </w:r>
      <w:r>
        <w:rPr>
          <w:sz w:val="20"/>
          <w:szCs w:val="20"/>
          <w:color w:val="auto"/>
        </w:rPr>
        <w:tab/>
      </w:r>
      <w:r>
        <w:rPr>
          <w:sz w:val="1"/>
          <w:szCs w:val="1"/>
          <w:color w:val="auto"/>
        </w:rPr>
        <w:drawing>
          <wp:inline distT="0" distB="0" distL="0" distR="0">
            <wp:extent cx="728345" cy="18859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4.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color w:val="51555C"/>
        </w:rPr>
        <w:t>The change in goodwill during 2023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60" w:type="dxa"/>
            <w:vAlign w:val="bottom"/>
            <w:shd w:val="clear" w:color="auto" w:fill="004054"/>
          </w:tcPr>
          <w:p>
            <w:pPr>
              <w:spacing w:after="0"/>
              <w:rPr>
                <w:sz w:val="16"/>
                <w:szCs w:val="16"/>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20" w:type="dxa"/>
            <w:vAlign w:val="bottom"/>
            <w:shd w:val="clear" w:color="auto" w:fill="004054"/>
          </w:tcPr>
          <w:p>
            <w:pPr>
              <w:spacing w:after="0"/>
              <w:rPr>
                <w:sz w:val="16"/>
                <w:szCs w:val="16"/>
                <w:color w:val="auto"/>
              </w:rPr>
            </w:pPr>
          </w:p>
        </w:tc>
      </w:tr>
      <w:tr>
        <w:trPr>
          <w:trHeight w:val="67"/>
        </w:trPr>
        <w:tc>
          <w:tcPr>
            <w:tcW w:w="10060" w:type="dxa"/>
            <w:vAlign w:val="bottom"/>
            <w:shd w:val="clear" w:color="auto" w:fill="004054"/>
          </w:tcPr>
          <w:p>
            <w:pPr>
              <w:spacing w:after="0"/>
              <w:rPr>
                <w:sz w:val="5"/>
                <w:szCs w:val="5"/>
                <w:color w:val="auto"/>
              </w:rPr>
            </w:pPr>
          </w:p>
        </w:tc>
        <w:tc>
          <w:tcPr>
            <w:tcW w:w="260" w:type="dxa"/>
            <w:vAlign w:val="bottom"/>
            <w:shd w:val="clear" w:color="auto" w:fill="004054"/>
          </w:tcPr>
          <w:p>
            <w:pPr>
              <w:spacing w:after="0"/>
              <w:rPr>
                <w:sz w:val="5"/>
                <w:szCs w:val="5"/>
                <w:color w:val="auto"/>
              </w:rPr>
            </w:pPr>
          </w:p>
        </w:tc>
        <w:tc>
          <w:tcPr>
            <w:tcW w:w="92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r>
      <w:tr>
        <w:trPr>
          <w:trHeight w:val="250"/>
        </w:trPr>
        <w:tc>
          <w:tcPr>
            <w:tcW w:w="100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Balance at December 31, 2022</w:t>
            </w:r>
          </w:p>
        </w:tc>
        <w:tc>
          <w:tcPr>
            <w:tcW w:w="26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1,050,272</w:t>
            </w:r>
          </w:p>
        </w:tc>
        <w:tc>
          <w:tcPr>
            <w:tcW w:w="20" w:type="dxa"/>
            <w:vAlign w:val="bottom"/>
          </w:tcPr>
          <w:p>
            <w:pPr>
              <w:spacing w:after="0"/>
              <w:rPr>
                <w:sz w:val="21"/>
                <w:szCs w:val="21"/>
                <w:color w:val="auto"/>
              </w:rPr>
            </w:pPr>
          </w:p>
        </w:tc>
      </w:tr>
      <w:tr>
        <w:trPr>
          <w:trHeight w:val="323"/>
        </w:trPr>
        <w:tc>
          <w:tcPr>
            <w:tcW w:w="10060" w:type="dxa"/>
            <w:vAlign w:val="bottom"/>
          </w:tcPr>
          <w:p>
            <w:pPr>
              <w:ind w:left="140"/>
              <w:spacing w:after="0"/>
              <w:rPr>
                <w:sz w:val="20"/>
                <w:szCs w:val="20"/>
                <w:color w:val="auto"/>
              </w:rPr>
            </w:pPr>
            <w:r>
              <w:rPr>
                <w:rFonts w:ascii="Calibri" w:cs="Calibri" w:eastAsia="Calibri" w:hAnsi="Calibri"/>
                <w:sz w:val="18"/>
                <w:szCs w:val="18"/>
                <w:color w:val="51555C"/>
              </w:rPr>
              <w:t>Adjustments related to prior year business combinaton</w:t>
            </w:r>
            <w:r>
              <w:rPr>
                <w:rFonts w:ascii="Calibri" w:cs="Calibri" w:eastAsia="Calibri" w:hAnsi="Calibri"/>
                <w:sz w:val="23"/>
                <w:szCs w:val="23"/>
                <w:color w:val="51555C"/>
                <w:vertAlign w:val="superscript"/>
              </w:rPr>
              <w:t>(1)</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36</w:t>
            </w:r>
          </w:p>
        </w:tc>
        <w:tc>
          <w:tcPr>
            <w:tcW w:w="20" w:type="dxa"/>
            <w:vAlign w:val="bottom"/>
          </w:tcPr>
          <w:p>
            <w:pPr>
              <w:spacing w:after="0"/>
              <w:rPr>
                <w:sz w:val="24"/>
                <w:szCs w:val="24"/>
                <w:color w:val="auto"/>
              </w:rPr>
            </w:pPr>
          </w:p>
        </w:tc>
      </w:tr>
      <w:tr>
        <w:trPr>
          <w:trHeight w:val="271"/>
        </w:trPr>
        <w:tc>
          <w:tcPr>
            <w:tcW w:w="100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Efect of foreign currency translaton</w:t>
            </w:r>
          </w:p>
        </w:tc>
        <w:tc>
          <w:tcPr>
            <w:tcW w:w="26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3,430</w:t>
            </w:r>
          </w:p>
        </w:tc>
        <w:tc>
          <w:tcPr>
            <w:tcW w:w="20" w:type="dxa"/>
            <w:vAlign w:val="bottom"/>
          </w:tcPr>
          <w:p>
            <w:pPr>
              <w:spacing w:after="0"/>
              <w:rPr>
                <w:sz w:val="23"/>
                <w:szCs w:val="23"/>
                <w:color w:val="auto"/>
              </w:rPr>
            </w:pPr>
          </w:p>
        </w:tc>
      </w:tr>
      <w:tr>
        <w:trPr>
          <w:trHeight w:val="213"/>
        </w:trPr>
        <w:tc>
          <w:tcPr>
            <w:tcW w:w="10060" w:type="dxa"/>
            <w:vAlign w:val="bottom"/>
          </w:tcPr>
          <w:p>
            <w:pPr>
              <w:ind w:left="20"/>
              <w:spacing w:after="0" w:line="213" w:lineRule="exact"/>
              <w:rPr>
                <w:sz w:val="20"/>
                <w:szCs w:val="20"/>
                <w:color w:val="auto"/>
              </w:rPr>
            </w:pPr>
            <w:r>
              <w:rPr>
                <w:rFonts w:ascii="Calibri" w:cs="Calibri" w:eastAsia="Calibri" w:hAnsi="Calibri"/>
                <w:sz w:val="18"/>
                <w:szCs w:val="18"/>
                <w:b w:val="1"/>
                <w:bCs w:val="1"/>
                <w:color w:val="51555C"/>
              </w:rPr>
              <w:t>Balance at December 31, 2023</w:t>
            </w:r>
          </w:p>
        </w:tc>
        <w:tc>
          <w:tcPr>
            <w:tcW w:w="260" w:type="dxa"/>
            <w:vAlign w:val="bottom"/>
            <w:tcBorders>
              <w:top w:val="single" w:sz="8" w:color="51555C"/>
            </w:tcBorders>
          </w:tcPr>
          <w:p>
            <w:pPr>
              <w:jc w:val="right"/>
              <w:ind w:right="70"/>
              <w:spacing w:after="0" w:line="213" w:lineRule="exact"/>
              <w:rPr>
                <w:sz w:val="20"/>
                <w:szCs w:val="20"/>
                <w:color w:val="auto"/>
              </w:rPr>
            </w:pPr>
            <w:r>
              <w:rPr>
                <w:rFonts w:ascii="Calibri" w:cs="Calibri" w:eastAsia="Calibri" w:hAnsi="Calibri"/>
                <w:sz w:val="18"/>
                <w:szCs w:val="18"/>
                <w:color w:val="51555C"/>
                <w:w w:val="87"/>
              </w:rPr>
              <w:t>$</w:t>
            </w:r>
          </w:p>
        </w:tc>
        <w:tc>
          <w:tcPr>
            <w:tcW w:w="9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1,053,738</w:t>
            </w:r>
          </w:p>
        </w:tc>
        <w:tc>
          <w:tcPr>
            <w:tcW w:w="20" w:type="dxa"/>
            <w:vAlign w:val="bottom"/>
          </w:tcPr>
          <w:p>
            <w:pPr>
              <w:spacing w:after="0"/>
              <w:rPr>
                <w:sz w:val="18"/>
                <w:szCs w:val="18"/>
                <w:color w:val="auto"/>
              </w:rPr>
            </w:pPr>
          </w:p>
        </w:tc>
      </w:tr>
      <w:tr>
        <w:trPr>
          <w:trHeight w:val="50"/>
        </w:trPr>
        <w:tc>
          <w:tcPr>
            <w:tcW w:w="10060" w:type="dxa"/>
            <w:vAlign w:val="bottom"/>
            <w:tcBorders>
              <w:bottom w:val="single" w:sz="8" w:color="0CD973"/>
            </w:tcBorders>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92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52" w:lineRule="exact"/>
        <w:rPr>
          <w:sz w:val="20"/>
          <w:szCs w:val="20"/>
          <w:color w:val="auto"/>
        </w:rPr>
      </w:pPr>
    </w:p>
    <w:p>
      <w:pPr>
        <w:ind w:left="340" w:hanging="332"/>
        <w:spacing w:after="0"/>
        <w:tabs>
          <w:tab w:leader="none" w:pos="340" w:val="left"/>
        </w:tabs>
        <w:numPr>
          <w:ilvl w:val="0"/>
          <w:numId w:val="51"/>
        </w:numPr>
        <w:rPr>
          <w:rFonts w:ascii="Calibri" w:cs="Calibri" w:eastAsia="Calibri" w:hAnsi="Calibri"/>
          <w:sz w:val="14"/>
          <w:szCs w:val="14"/>
          <w:color w:val="51555C"/>
        </w:rPr>
      </w:pPr>
      <w:r>
        <w:rPr>
          <w:rFonts w:ascii="Calibri" w:cs="Calibri" w:eastAsia="Calibri" w:hAnsi="Calibri"/>
          <w:sz w:val="14"/>
          <w:szCs w:val="14"/>
          <w:color w:val="51555C"/>
        </w:rPr>
        <w:t>Represents immaterial measurement period adjustments during the year ended December 31, 2023 to the fair value of the Kilter assets acquired and liabilites assumed.</w:t>
      </w:r>
    </w:p>
    <w:p>
      <w:pPr>
        <w:spacing w:after="0" w:line="17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recorded intangible assets acquired in various business combinatons based on their fair values at the date of acquisiton. The table below sets forth the balances of each class of intangible asset and related amortzaton as 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236"/>
        </w:trPr>
        <w:tc>
          <w:tcPr>
            <w:tcW w:w="85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60" w:type="dxa"/>
            <w:vAlign w:val="bottom"/>
            <w:shd w:val="clear" w:color="auto" w:fill="004054"/>
          </w:tcPr>
          <w:p>
            <w:pPr>
              <w:spacing w:after="0"/>
              <w:rPr>
                <w:sz w:val="20"/>
                <w:szCs w:val="20"/>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00" w:type="dxa"/>
            <w:vAlign w:val="bottom"/>
            <w:shd w:val="clear" w:color="auto" w:fill="004054"/>
          </w:tcPr>
          <w:p>
            <w:pPr>
              <w:spacing w:after="0"/>
              <w:rPr>
                <w:sz w:val="20"/>
                <w:szCs w:val="20"/>
                <w:color w:val="auto"/>
              </w:rPr>
            </w:pPr>
          </w:p>
        </w:tc>
        <w:tc>
          <w:tcPr>
            <w:tcW w:w="10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r>
      <w:tr>
        <w:trPr>
          <w:trHeight w:val="74"/>
        </w:trPr>
        <w:tc>
          <w:tcPr>
            <w:tcW w:w="854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040" w:type="dxa"/>
            <w:vAlign w:val="bottom"/>
            <w:shd w:val="clear" w:color="auto" w:fill="004054"/>
          </w:tcPr>
          <w:p>
            <w:pPr>
              <w:spacing w:after="0"/>
              <w:rPr>
                <w:sz w:val="6"/>
                <w:szCs w:val="6"/>
                <w:color w:val="auto"/>
              </w:rPr>
            </w:pPr>
          </w:p>
        </w:tc>
      </w:tr>
      <w:tr>
        <w:trPr>
          <w:trHeight w:val="250"/>
        </w:trPr>
        <w:tc>
          <w:tcPr>
            <w:tcW w:w="8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Finite-lived gross carrying amount</w:t>
            </w:r>
          </w:p>
        </w:tc>
        <w:tc>
          <w:tcPr>
            <w:tcW w:w="3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r>
      <w:tr>
        <w:trPr>
          <w:trHeight w:val="220"/>
        </w:trPr>
        <w:tc>
          <w:tcPr>
            <w:tcW w:w="8540" w:type="dxa"/>
            <w:vAlign w:val="bottom"/>
          </w:tcPr>
          <w:p>
            <w:pPr>
              <w:ind w:left="140"/>
              <w:spacing w:after="0"/>
              <w:rPr>
                <w:sz w:val="20"/>
                <w:szCs w:val="20"/>
                <w:color w:val="auto"/>
              </w:rPr>
            </w:pPr>
            <w:r>
              <w:rPr>
                <w:rFonts w:ascii="Calibri" w:cs="Calibri" w:eastAsia="Calibri" w:hAnsi="Calibri"/>
                <w:sz w:val="18"/>
                <w:szCs w:val="18"/>
                <w:color w:val="51555C"/>
              </w:rPr>
              <w:t>Customer relatonships</w:t>
            </w:r>
          </w:p>
        </w:tc>
        <w:tc>
          <w:tcPr>
            <w:tcW w:w="360" w:type="dxa"/>
            <w:vAlign w:val="bottom"/>
          </w:tcPr>
          <w:p>
            <w:pPr>
              <w:jc w:val="right"/>
              <w:ind w:right="170"/>
              <w:spacing w:after="0"/>
              <w:rPr>
                <w:sz w:val="20"/>
                <w:szCs w:val="20"/>
                <w:color w:val="auto"/>
              </w:rPr>
            </w:pPr>
            <w:r>
              <w:rPr>
                <w:rFonts w:ascii="Calibri" w:cs="Calibri" w:eastAsia="Calibri" w:hAnsi="Calibri"/>
                <w:sz w:val="18"/>
                <w:szCs w:val="18"/>
                <w:color w:val="51555C"/>
                <w:w w:val="87"/>
              </w:rPr>
              <w:t>$</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570,104</w:t>
            </w: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51555C"/>
                <w:w w:val="87"/>
              </w:rPr>
              <w:t>$</w:t>
            </w: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569,009</w:t>
            </w:r>
          </w:p>
        </w:tc>
      </w:tr>
      <w:tr>
        <w:trPr>
          <w:trHeight w:val="50"/>
        </w:trPr>
        <w:tc>
          <w:tcPr>
            <w:tcW w:w="8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Marketng assets</w:t>
            </w:r>
          </w:p>
        </w:tc>
        <w:tc>
          <w:tcPr>
            <w:tcW w:w="3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71,308</w:t>
            </w:r>
          </w:p>
        </w:tc>
        <w:tc>
          <w:tcPr>
            <w:tcW w:w="3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69,643</w:t>
            </w:r>
          </w:p>
        </w:tc>
      </w:tr>
      <w:tr>
        <w:trPr>
          <w:trHeight w:val="220"/>
        </w:trPr>
        <w:tc>
          <w:tcPr>
            <w:tcW w:w="8540" w:type="dxa"/>
            <w:vAlign w:val="bottom"/>
          </w:tcPr>
          <w:p>
            <w:pPr>
              <w:ind w:left="140"/>
              <w:spacing w:after="0"/>
              <w:rPr>
                <w:sz w:val="20"/>
                <w:szCs w:val="20"/>
                <w:color w:val="auto"/>
              </w:rPr>
            </w:pPr>
            <w:r>
              <w:rPr>
                <w:rFonts w:ascii="Calibri" w:cs="Calibri" w:eastAsia="Calibri" w:hAnsi="Calibri"/>
                <w:sz w:val="18"/>
                <w:szCs w:val="18"/>
                <w:color w:val="51555C"/>
              </w:rPr>
              <w:t>Developed technology</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182,956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182,463</w:t>
            </w:r>
          </w:p>
        </w:tc>
      </w:tr>
      <w:tr>
        <w:trPr>
          <w:trHeight w:val="50"/>
        </w:trPr>
        <w:tc>
          <w:tcPr>
            <w:tcW w:w="8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Content</w:t>
            </w:r>
          </w:p>
        </w:tc>
        <w:tc>
          <w:tcPr>
            <w:tcW w:w="36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17,900</w:t>
            </w:r>
          </w:p>
        </w:tc>
        <w:tc>
          <w:tcPr>
            <w:tcW w:w="30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17,900</w:t>
            </w:r>
          </w:p>
        </w:tc>
      </w:tr>
      <w:tr>
        <w:trPr>
          <w:trHeight w:val="213"/>
        </w:trPr>
        <w:tc>
          <w:tcPr>
            <w:tcW w:w="8540" w:type="dxa"/>
            <w:vAlign w:val="bottom"/>
          </w:tcPr>
          <w:p>
            <w:pPr>
              <w:ind w:left="20"/>
              <w:spacing w:after="0" w:line="199" w:lineRule="exact"/>
              <w:rPr>
                <w:sz w:val="20"/>
                <w:szCs w:val="20"/>
                <w:color w:val="auto"/>
              </w:rPr>
            </w:pPr>
            <w:r>
              <w:rPr>
                <w:rFonts w:ascii="Calibri" w:cs="Calibri" w:eastAsia="Calibri" w:hAnsi="Calibri"/>
                <w:sz w:val="18"/>
                <w:szCs w:val="18"/>
                <w:b w:val="1"/>
                <w:bCs w:val="1"/>
                <w:color w:val="51555C"/>
              </w:rPr>
              <w:t>Total fnite-lived gross carrying amount</w:t>
            </w: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51555C"/>
              </w:rPr>
              <w:t>842,268</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51555C"/>
              </w:rPr>
              <w:t>839,015</w:t>
            </w:r>
          </w:p>
        </w:tc>
      </w:tr>
      <w:tr>
        <w:trPr>
          <w:trHeight w:val="50"/>
        </w:trPr>
        <w:tc>
          <w:tcPr>
            <w:tcW w:w="8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Accumulated amortzaton</w:t>
            </w:r>
          </w:p>
        </w:tc>
        <w:tc>
          <w:tcPr>
            <w:tcW w:w="3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r>
      <w:tr>
        <w:trPr>
          <w:trHeight w:val="220"/>
        </w:trPr>
        <w:tc>
          <w:tcPr>
            <w:tcW w:w="8540" w:type="dxa"/>
            <w:vAlign w:val="bottom"/>
          </w:tcPr>
          <w:p>
            <w:pPr>
              <w:ind w:left="140"/>
              <w:spacing w:after="0"/>
              <w:rPr>
                <w:sz w:val="20"/>
                <w:szCs w:val="20"/>
                <w:color w:val="auto"/>
              </w:rPr>
            </w:pPr>
            <w:r>
              <w:rPr>
                <w:rFonts w:ascii="Calibri" w:cs="Calibri" w:eastAsia="Calibri" w:hAnsi="Calibri"/>
                <w:sz w:val="18"/>
                <w:szCs w:val="18"/>
                <w:color w:val="51555C"/>
              </w:rPr>
              <w:t>Customer relatonships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(174,982)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(146,948)</w:t>
            </w:r>
          </w:p>
        </w:tc>
      </w:tr>
      <w:tr>
        <w:trPr>
          <w:trHeight w:val="50"/>
        </w:trPr>
        <w:tc>
          <w:tcPr>
            <w:tcW w:w="8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Marketng assets</w:t>
            </w:r>
          </w:p>
        </w:tc>
        <w:tc>
          <w:tcPr>
            <w:tcW w:w="3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(11,985)</w:t>
            </w:r>
          </w:p>
        </w:tc>
        <w:tc>
          <w:tcPr>
            <w:tcW w:w="3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(8,371)</w:t>
            </w:r>
          </w:p>
        </w:tc>
      </w:tr>
      <w:tr>
        <w:trPr>
          <w:trHeight w:val="220"/>
        </w:trPr>
        <w:tc>
          <w:tcPr>
            <w:tcW w:w="8540" w:type="dxa"/>
            <w:vAlign w:val="bottom"/>
          </w:tcPr>
          <w:p>
            <w:pPr>
              <w:ind w:left="140"/>
              <w:spacing w:after="0"/>
              <w:rPr>
                <w:sz w:val="20"/>
                <w:szCs w:val="20"/>
                <w:color w:val="auto"/>
              </w:rPr>
            </w:pPr>
            <w:r>
              <w:rPr>
                <w:rFonts w:ascii="Calibri" w:cs="Calibri" w:eastAsia="Calibri" w:hAnsi="Calibri"/>
                <w:sz w:val="18"/>
                <w:szCs w:val="18"/>
                <w:color w:val="51555C"/>
              </w:rPr>
              <w:t>Developed technology</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(69,386)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(46,571)</w:t>
            </w:r>
          </w:p>
        </w:tc>
      </w:tr>
      <w:tr>
        <w:trPr>
          <w:trHeight w:val="50"/>
        </w:trPr>
        <w:tc>
          <w:tcPr>
            <w:tcW w:w="8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85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Content</w:t>
            </w:r>
          </w:p>
        </w:tc>
        <w:tc>
          <w:tcPr>
            <w:tcW w:w="36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(3,978)</w:t>
            </w:r>
          </w:p>
        </w:tc>
        <w:tc>
          <w:tcPr>
            <w:tcW w:w="30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(1,989)</w:t>
            </w:r>
          </w:p>
        </w:tc>
      </w:tr>
      <w:tr>
        <w:trPr>
          <w:trHeight w:val="213"/>
        </w:trPr>
        <w:tc>
          <w:tcPr>
            <w:tcW w:w="8540" w:type="dxa"/>
            <w:vAlign w:val="bottom"/>
          </w:tcPr>
          <w:p>
            <w:pPr>
              <w:ind w:left="20"/>
              <w:spacing w:after="0" w:line="199" w:lineRule="exact"/>
              <w:rPr>
                <w:sz w:val="20"/>
                <w:szCs w:val="20"/>
                <w:color w:val="auto"/>
              </w:rPr>
            </w:pPr>
            <w:r>
              <w:rPr>
                <w:rFonts w:ascii="Calibri" w:cs="Calibri" w:eastAsia="Calibri" w:hAnsi="Calibri"/>
                <w:sz w:val="18"/>
                <w:szCs w:val="18"/>
                <w:b w:val="1"/>
                <w:bCs w:val="1"/>
                <w:color w:val="51555C"/>
              </w:rPr>
              <w:t>Total accumulated amortzaton</w:t>
            </w: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51555C"/>
              </w:rPr>
              <w:t>(260,331)</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51555C"/>
              </w:rPr>
              <w:t>(203,879)</w:t>
            </w:r>
          </w:p>
        </w:tc>
      </w:tr>
      <w:tr>
        <w:trPr>
          <w:trHeight w:val="50"/>
        </w:trPr>
        <w:tc>
          <w:tcPr>
            <w:tcW w:w="8540" w:type="dxa"/>
            <w:vAlign w:val="bottom"/>
            <w:tcBorders>
              <w:bottom w:val="single" w:sz="8" w:color="EBFB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854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Intangible assets, net</w:t>
            </w:r>
          </w:p>
        </w:tc>
        <w:tc>
          <w:tcPr>
            <w:tcW w:w="360" w:type="dxa"/>
            <w:vAlign w:val="bottom"/>
            <w:tcBorders>
              <w:bottom w:val="single" w:sz="8" w:color="EBFBFF"/>
            </w:tcBorders>
            <w:shd w:val="clear" w:color="auto" w:fill="EBFBFF"/>
          </w:tcPr>
          <w:p>
            <w:pPr>
              <w:jc w:val="right"/>
              <w:ind w:right="170"/>
              <w:spacing w:after="0" w:line="213" w:lineRule="exact"/>
              <w:rPr>
                <w:sz w:val="20"/>
                <w:szCs w:val="20"/>
                <w:color w:val="auto"/>
              </w:rPr>
            </w:pPr>
            <w:r>
              <w:rPr>
                <w:rFonts w:ascii="Calibri" w:cs="Calibri" w:eastAsia="Calibri" w:hAnsi="Calibri"/>
                <w:sz w:val="18"/>
                <w:szCs w:val="18"/>
                <w:color w:val="51555C"/>
                <w:w w:val="87"/>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581,937</w:t>
            </w:r>
          </w:p>
        </w:tc>
        <w:tc>
          <w:tcPr>
            <w:tcW w:w="300" w:type="dxa"/>
            <w:vAlign w:val="bottom"/>
            <w:tcBorders>
              <w:bottom w:val="single" w:sz="8" w:color="EBFBFF"/>
            </w:tcBorders>
            <w:shd w:val="clear" w:color="auto" w:fill="EBFBFF"/>
          </w:tcPr>
          <w:p>
            <w:pPr>
              <w:jc w:val="right"/>
              <w:ind w:right="110"/>
              <w:spacing w:after="0" w:line="213" w:lineRule="exact"/>
              <w:rPr>
                <w:sz w:val="20"/>
                <w:szCs w:val="20"/>
                <w:color w:val="auto"/>
              </w:rPr>
            </w:pPr>
            <w:r>
              <w:rPr>
                <w:rFonts w:ascii="Calibri" w:cs="Calibri" w:eastAsia="Calibri" w:hAnsi="Calibri"/>
                <w:sz w:val="18"/>
                <w:szCs w:val="18"/>
                <w:color w:val="51555C"/>
                <w:w w:val="87"/>
              </w:rPr>
              <w:t>$</w:t>
            </w:r>
          </w:p>
        </w:tc>
        <w:tc>
          <w:tcPr>
            <w:tcW w:w="10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635,136</w:t>
            </w:r>
          </w:p>
        </w:tc>
      </w:tr>
      <w:tr>
        <w:trPr>
          <w:trHeight w:val="20"/>
        </w:trPr>
        <w:tc>
          <w:tcPr>
            <w:tcW w:w="854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04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-2425065</wp:posOffset>
            </wp:positionV>
            <wp:extent cx="17062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spacing w:after="0" w:line="214"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51555C"/>
        </w:rPr>
        <w:t>During the year ended December 31, 2023, changes to the gross carrying amounts of intangible asset classes were primarily related to write-ofs of fully amortzed intangible assets and the efect of foreign currency translaton.</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Amortzaton expense</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Amortzaton expense related to fnite-lived intangible assets acquired in business combinatons is allocated to cost of revenue on the consolidated statements of comprehensive income based on the revenue stream to which the asset contributes, except for marketng assets and non-compete agreements, for which the associated amortzaton expense is included in operatng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221615</wp:posOffset>
            </wp:positionV>
            <wp:extent cx="728980" cy="1885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83</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amortzaton expense of our fnite-lived intangible assets: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224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r>
      <w:tr>
        <w:trPr>
          <w:trHeight w:val="236"/>
        </w:trPr>
        <w:tc>
          <w:tcPr>
            <w:tcW w:w="72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40" w:type="dxa"/>
            <w:vAlign w:val="bottom"/>
            <w:shd w:val="clear" w:color="auto" w:fill="004054"/>
          </w:tcPr>
          <w:p>
            <w:pPr>
              <w:spacing w:after="0"/>
              <w:rPr>
                <w:sz w:val="20"/>
                <w:szCs w:val="20"/>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40" w:type="dxa"/>
            <w:vAlign w:val="bottom"/>
            <w:shd w:val="clear" w:color="auto" w:fill="004054"/>
          </w:tcPr>
          <w:p>
            <w:pPr>
              <w:spacing w:after="0"/>
              <w:rPr>
                <w:sz w:val="20"/>
                <w:szCs w:val="20"/>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440" w:type="dxa"/>
            <w:vAlign w:val="bottom"/>
            <w:shd w:val="clear" w:color="auto" w:fill="004054"/>
          </w:tcPr>
          <w:p>
            <w:pPr>
              <w:spacing w:after="0"/>
              <w:rPr>
                <w:sz w:val="20"/>
                <w:szCs w:val="20"/>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r>
      <w:tr>
        <w:trPr>
          <w:trHeight w:val="74"/>
        </w:trPr>
        <w:tc>
          <w:tcPr>
            <w:tcW w:w="720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r>
      <w:tr>
        <w:trPr>
          <w:trHeight w:val="250"/>
        </w:trPr>
        <w:tc>
          <w:tcPr>
            <w:tcW w:w="72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Included in cost of revenue:</w:t>
            </w:r>
          </w:p>
        </w:tc>
        <w:tc>
          <w:tcPr>
            <w:tcW w:w="44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r>
      <w:tr>
        <w:trPr>
          <w:trHeight w:val="219"/>
        </w:trPr>
        <w:tc>
          <w:tcPr>
            <w:tcW w:w="7200" w:type="dxa"/>
            <w:vAlign w:val="bottom"/>
          </w:tcPr>
          <w:p>
            <w:pPr>
              <w:ind w:left="140"/>
              <w:spacing w:after="0"/>
              <w:rPr>
                <w:sz w:val="20"/>
                <w:szCs w:val="20"/>
                <w:color w:val="auto"/>
              </w:rPr>
            </w:pPr>
            <w:r>
              <w:rPr>
                <w:rFonts w:ascii="Calibri" w:cs="Calibri" w:eastAsia="Calibri" w:hAnsi="Calibri"/>
                <w:sz w:val="18"/>
                <w:szCs w:val="18"/>
                <w:color w:val="51555C"/>
              </w:rPr>
              <w:t>Cost of recurring</w:t>
            </w:r>
          </w:p>
        </w:tc>
        <w:tc>
          <w:tcPr>
            <w:tcW w:w="440" w:type="dxa"/>
            <w:vAlign w:val="bottom"/>
          </w:tcPr>
          <w:p>
            <w:pPr>
              <w:jc w:val="right"/>
              <w:ind w:right="230"/>
              <w:spacing w:after="0"/>
              <w:rPr>
                <w:sz w:val="20"/>
                <w:szCs w:val="20"/>
                <w:color w:val="auto"/>
              </w:rPr>
            </w:pPr>
            <w:r>
              <w:rPr>
                <w:rFonts w:ascii="Calibri" w:cs="Calibri" w:eastAsia="Calibri" w:hAnsi="Calibri"/>
                <w:sz w:val="18"/>
                <w:szCs w:val="18"/>
                <w:color w:val="51555C"/>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51,079</w:t>
            </w:r>
          </w:p>
        </w:tc>
        <w:tc>
          <w:tcPr>
            <w:tcW w:w="440" w:type="dxa"/>
            <w:vAlign w:val="bottom"/>
          </w:tcPr>
          <w:p>
            <w:pPr>
              <w:jc w:val="right"/>
              <w:ind w:right="25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47,085</w:t>
            </w:r>
          </w:p>
        </w:tc>
        <w:tc>
          <w:tcPr>
            <w:tcW w:w="440" w:type="dxa"/>
            <w:vAlign w:val="bottom"/>
          </w:tcPr>
          <w:p>
            <w:pPr>
              <w:jc w:val="right"/>
              <w:ind w:right="25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33,132</w:t>
            </w:r>
          </w:p>
        </w:tc>
      </w:tr>
      <w:tr>
        <w:trPr>
          <w:trHeight w:val="51"/>
        </w:trPr>
        <w:tc>
          <w:tcPr>
            <w:tcW w:w="7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72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Cost of one-tme services and other</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1,384</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1,407</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1,680</w:t>
            </w:r>
          </w:p>
        </w:tc>
      </w:tr>
      <w:tr>
        <w:trPr>
          <w:trHeight w:val="213"/>
        </w:trPr>
        <w:tc>
          <w:tcPr>
            <w:tcW w:w="7200" w:type="dxa"/>
            <w:vAlign w:val="bottom"/>
          </w:tcPr>
          <w:p>
            <w:pPr>
              <w:ind w:left="240"/>
              <w:spacing w:after="0" w:line="199" w:lineRule="exact"/>
              <w:rPr>
                <w:sz w:val="20"/>
                <w:szCs w:val="20"/>
                <w:color w:val="auto"/>
              </w:rPr>
            </w:pPr>
            <w:r>
              <w:rPr>
                <w:rFonts w:ascii="Calibri" w:cs="Calibri" w:eastAsia="Calibri" w:hAnsi="Calibri"/>
                <w:sz w:val="18"/>
                <w:szCs w:val="18"/>
                <w:color w:val="51555C"/>
              </w:rPr>
              <w:t>Total included in cost of revenue</w:t>
            </w:r>
          </w:p>
        </w:tc>
        <w:tc>
          <w:tcPr>
            <w:tcW w:w="44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52,463</w:t>
            </w:r>
          </w:p>
        </w:tc>
        <w:tc>
          <w:tcPr>
            <w:tcW w:w="44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48,492</w:t>
            </w:r>
          </w:p>
        </w:tc>
        <w:tc>
          <w:tcPr>
            <w:tcW w:w="44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34,812</w:t>
            </w:r>
          </w:p>
        </w:tc>
      </w:tr>
      <w:tr>
        <w:trPr>
          <w:trHeight w:val="50"/>
        </w:trPr>
        <w:tc>
          <w:tcPr>
            <w:tcW w:w="7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72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Included in operatng expenses</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3,139</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2,925</w:t>
            </w:r>
          </w:p>
        </w:tc>
        <w:tc>
          <w:tcPr>
            <w:tcW w:w="44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2,227</w:t>
            </w:r>
          </w:p>
        </w:tc>
      </w:tr>
      <w:tr>
        <w:trPr>
          <w:trHeight w:val="213"/>
        </w:trPr>
        <w:tc>
          <w:tcPr>
            <w:tcW w:w="7200" w:type="dxa"/>
            <w:vAlign w:val="bottom"/>
          </w:tcPr>
          <w:p>
            <w:pPr>
              <w:ind w:left="460"/>
              <w:spacing w:after="0" w:line="199" w:lineRule="exact"/>
              <w:rPr>
                <w:sz w:val="20"/>
                <w:szCs w:val="20"/>
                <w:color w:val="auto"/>
              </w:rPr>
            </w:pPr>
            <w:r>
              <w:rPr>
                <w:rFonts w:ascii="Calibri" w:cs="Calibri" w:eastAsia="Calibri" w:hAnsi="Calibri"/>
                <w:sz w:val="18"/>
                <w:szCs w:val="18"/>
                <w:color w:val="51555C"/>
              </w:rPr>
              <w:t>Total amortzaton of intangibles from business combinatons</w:t>
            </w:r>
          </w:p>
        </w:tc>
        <w:tc>
          <w:tcPr>
            <w:tcW w:w="440" w:type="dxa"/>
            <w:vAlign w:val="bottom"/>
            <w:tcBorders>
              <w:top w:val="single" w:sz="8" w:color="51555C"/>
            </w:tcBorders>
          </w:tcPr>
          <w:p>
            <w:pPr>
              <w:jc w:val="right"/>
              <w:ind w:right="230"/>
              <w:spacing w:after="0" w:line="213" w:lineRule="exact"/>
              <w:rPr>
                <w:sz w:val="20"/>
                <w:szCs w:val="20"/>
                <w:color w:val="auto"/>
              </w:rPr>
            </w:pPr>
            <w:r>
              <w:rPr>
                <w:rFonts w:ascii="Calibri" w:cs="Calibri" w:eastAsia="Calibri" w:hAnsi="Calibri"/>
                <w:sz w:val="18"/>
                <w:szCs w:val="18"/>
                <w:color w:val="51555C"/>
              </w:rPr>
              <w:t>$</w:t>
            </w: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55,602</w:t>
            </w:r>
          </w:p>
        </w:tc>
        <w:tc>
          <w:tcPr>
            <w:tcW w:w="44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51,417</w:t>
            </w:r>
          </w:p>
        </w:tc>
        <w:tc>
          <w:tcPr>
            <w:tcW w:w="44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37,039</w:t>
            </w:r>
          </w:p>
        </w:tc>
      </w:tr>
      <w:tr>
        <w:trPr>
          <w:trHeight w:val="50"/>
        </w:trPr>
        <w:tc>
          <w:tcPr>
            <w:tcW w:w="7200" w:type="dxa"/>
            <w:vAlign w:val="bottom"/>
            <w:tcBorders>
              <w:bottom w:val="single" w:sz="8" w:color="0CD973"/>
            </w:tcBorders>
          </w:tcPr>
          <w:p>
            <w:pPr>
              <w:spacing w:after="0"/>
              <w:rPr>
                <w:sz w:val="4"/>
                <w:szCs w:val="4"/>
                <w:color w:val="auto"/>
              </w:rPr>
            </w:pPr>
          </w:p>
        </w:tc>
        <w:tc>
          <w:tcPr>
            <w:tcW w:w="440" w:type="dxa"/>
            <w:vAlign w:val="bottom"/>
            <w:tcBorders>
              <w:bottom w:val="single" w:sz="8" w:color="0CD973"/>
            </w:tcBorders>
          </w:tcPr>
          <w:p>
            <w:pPr>
              <w:spacing w:after="0"/>
              <w:rPr>
                <w:sz w:val="4"/>
                <w:szCs w:val="4"/>
                <w:color w:val="auto"/>
              </w:rPr>
            </w:pPr>
          </w:p>
        </w:tc>
        <w:tc>
          <w:tcPr>
            <w:tcW w:w="900" w:type="dxa"/>
            <w:vAlign w:val="bottom"/>
            <w:tcBorders>
              <w:bottom w:val="single" w:sz="8" w:color="0CD973"/>
            </w:tcBorders>
          </w:tcPr>
          <w:p>
            <w:pPr>
              <w:spacing w:after="0"/>
              <w:rPr>
                <w:sz w:val="4"/>
                <w:szCs w:val="4"/>
                <w:color w:val="auto"/>
              </w:rPr>
            </w:pPr>
          </w:p>
        </w:tc>
        <w:tc>
          <w:tcPr>
            <w:tcW w:w="440" w:type="dxa"/>
            <w:vAlign w:val="bottom"/>
            <w:tcBorders>
              <w:bottom w:val="single" w:sz="8" w:color="0CD973"/>
            </w:tcBorders>
          </w:tcPr>
          <w:p>
            <w:pPr>
              <w:spacing w:after="0"/>
              <w:rPr>
                <w:sz w:val="4"/>
                <w:szCs w:val="4"/>
                <w:color w:val="auto"/>
              </w:rPr>
            </w:pPr>
          </w:p>
        </w:tc>
        <w:tc>
          <w:tcPr>
            <w:tcW w:w="900" w:type="dxa"/>
            <w:vAlign w:val="bottom"/>
            <w:tcBorders>
              <w:bottom w:val="single" w:sz="8" w:color="0CD973"/>
            </w:tcBorders>
          </w:tcPr>
          <w:p>
            <w:pPr>
              <w:spacing w:after="0"/>
              <w:rPr>
                <w:sz w:val="4"/>
                <w:szCs w:val="4"/>
                <w:color w:val="auto"/>
              </w:rPr>
            </w:pPr>
          </w:p>
        </w:tc>
        <w:tc>
          <w:tcPr>
            <w:tcW w:w="440" w:type="dxa"/>
            <w:vAlign w:val="bottom"/>
            <w:tcBorders>
              <w:bottom w:val="single" w:sz="8" w:color="0CD973"/>
            </w:tcBorders>
          </w:tcPr>
          <w:p>
            <w:pPr>
              <w:spacing w:after="0"/>
              <w:rPr>
                <w:sz w:val="4"/>
                <w:szCs w:val="4"/>
                <w:color w:val="auto"/>
              </w:rPr>
            </w:pPr>
          </w:p>
        </w:tc>
        <w:tc>
          <w:tcPr>
            <w:tcW w:w="900" w:type="dxa"/>
            <w:vAlign w:val="bottom"/>
            <w:tcBorders>
              <w:bottom w:val="single" w:sz="8" w:color="0CD973"/>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-1216660</wp:posOffset>
            </wp:positionV>
            <wp:extent cx="255460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following table outlines the estmated future amortzaton expense for each of the next fve years for our fnite-lived intangible assets as of 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ending December 31,</w:t>
            </w:r>
          </w:p>
        </w:tc>
        <w:tc>
          <w:tcPr>
            <w:tcW w:w="480" w:type="dxa"/>
            <w:vAlign w:val="bottom"/>
            <w:shd w:val="clear" w:color="auto" w:fill="004054"/>
          </w:tcPr>
          <w:p>
            <w:pPr>
              <w:spacing w:after="0"/>
              <w:rPr>
                <w:sz w:val="15"/>
                <w:szCs w:val="15"/>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Amortzaton</w:t>
            </w:r>
          </w:p>
        </w:tc>
        <w:tc>
          <w:tcPr>
            <w:tcW w:w="20" w:type="dxa"/>
            <w:vAlign w:val="bottom"/>
            <w:shd w:val="clear" w:color="auto" w:fill="004054"/>
          </w:tcPr>
          <w:p>
            <w:pPr>
              <w:spacing w:after="0"/>
              <w:rPr>
                <w:sz w:val="15"/>
                <w:szCs w:val="15"/>
                <w:color w:val="auto"/>
              </w:rPr>
            </w:pPr>
          </w:p>
        </w:tc>
      </w:tr>
      <w:tr>
        <w:trPr>
          <w:trHeight w:val="170"/>
        </w:trPr>
        <w:tc>
          <w:tcPr>
            <w:tcW w:w="96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80" w:type="dxa"/>
            <w:vAlign w:val="bottom"/>
            <w:shd w:val="clear" w:color="auto" w:fill="004054"/>
          </w:tcPr>
          <w:p>
            <w:pPr>
              <w:spacing w:after="0"/>
              <w:rPr>
                <w:sz w:val="14"/>
                <w:szCs w:val="14"/>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expense</w:t>
            </w:r>
          </w:p>
        </w:tc>
        <w:tc>
          <w:tcPr>
            <w:tcW w:w="20" w:type="dxa"/>
            <w:vAlign w:val="bottom"/>
            <w:shd w:val="clear" w:color="auto" w:fill="004054"/>
          </w:tcPr>
          <w:p>
            <w:pPr>
              <w:spacing w:after="0"/>
              <w:rPr>
                <w:sz w:val="14"/>
                <w:szCs w:val="14"/>
                <w:color w:val="auto"/>
              </w:rPr>
            </w:pPr>
          </w:p>
        </w:tc>
      </w:tr>
      <w:tr>
        <w:trPr>
          <w:trHeight w:val="88"/>
        </w:trPr>
        <w:tc>
          <w:tcPr>
            <w:tcW w:w="9600" w:type="dxa"/>
            <w:vAlign w:val="bottom"/>
            <w:shd w:val="clear" w:color="auto" w:fill="004054"/>
          </w:tcPr>
          <w:p>
            <w:pPr>
              <w:spacing w:after="0"/>
              <w:rPr>
                <w:sz w:val="7"/>
                <w:szCs w:val="7"/>
                <w:color w:val="auto"/>
              </w:rPr>
            </w:pPr>
          </w:p>
        </w:tc>
        <w:tc>
          <w:tcPr>
            <w:tcW w:w="480" w:type="dxa"/>
            <w:vAlign w:val="bottom"/>
            <w:shd w:val="clear" w:color="auto" w:fill="004054"/>
          </w:tcPr>
          <w:p>
            <w:pPr>
              <w:spacing w:after="0"/>
              <w:rPr>
                <w:sz w:val="7"/>
                <w:szCs w:val="7"/>
                <w:color w:val="auto"/>
              </w:rPr>
            </w:pPr>
          </w:p>
        </w:tc>
        <w:tc>
          <w:tcPr>
            <w:tcW w:w="1160" w:type="dxa"/>
            <w:vAlign w:val="bottom"/>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r>
      <w:tr>
        <w:trPr>
          <w:trHeight w:val="250"/>
        </w:trPr>
        <w:tc>
          <w:tcPr>
            <w:tcW w:w="96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2024</w:t>
            </w:r>
          </w:p>
        </w:tc>
        <w:tc>
          <w:tcPr>
            <w:tcW w:w="4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62,332</w:t>
            </w:r>
          </w:p>
        </w:tc>
        <w:tc>
          <w:tcPr>
            <w:tcW w:w="20" w:type="dxa"/>
            <w:vAlign w:val="bottom"/>
          </w:tcPr>
          <w:p>
            <w:pPr>
              <w:spacing w:after="0"/>
              <w:rPr>
                <w:sz w:val="21"/>
                <w:szCs w:val="21"/>
                <w:color w:val="auto"/>
              </w:rPr>
            </w:pPr>
          </w:p>
        </w:tc>
      </w:tr>
      <w:tr>
        <w:trPr>
          <w:trHeight w:val="220"/>
        </w:trPr>
        <w:tc>
          <w:tcPr>
            <w:tcW w:w="9600" w:type="dxa"/>
            <w:vAlign w:val="bottom"/>
          </w:tcPr>
          <w:p>
            <w:pPr>
              <w:ind w:left="20"/>
              <w:spacing w:after="0"/>
              <w:rPr>
                <w:sz w:val="20"/>
                <w:szCs w:val="20"/>
                <w:color w:val="auto"/>
              </w:rPr>
            </w:pPr>
            <w:r>
              <w:rPr>
                <w:rFonts w:ascii="Calibri" w:cs="Calibri" w:eastAsia="Calibri" w:hAnsi="Calibri"/>
                <w:sz w:val="18"/>
                <w:szCs w:val="18"/>
                <w:color w:val="51555C"/>
              </w:rPr>
              <w:t>2025</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65,873</w:t>
            </w:r>
          </w:p>
        </w:tc>
        <w:tc>
          <w:tcPr>
            <w:tcW w:w="20" w:type="dxa"/>
            <w:vAlign w:val="bottom"/>
          </w:tcPr>
          <w:p>
            <w:pPr>
              <w:spacing w:after="0"/>
              <w:rPr>
                <w:sz w:val="19"/>
                <w:szCs w:val="19"/>
                <w:color w:val="auto"/>
              </w:rPr>
            </w:pPr>
          </w:p>
        </w:tc>
      </w:tr>
      <w:tr>
        <w:trPr>
          <w:trHeight w:val="50"/>
        </w:trPr>
        <w:tc>
          <w:tcPr>
            <w:tcW w:w="9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6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2026</w:t>
            </w:r>
          </w:p>
        </w:tc>
        <w:tc>
          <w:tcPr>
            <w:tcW w:w="4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64,234</w:t>
            </w:r>
          </w:p>
        </w:tc>
        <w:tc>
          <w:tcPr>
            <w:tcW w:w="20" w:type="dxa"/>
            <w:vAlign w:val="bottom"/>
          </w:tcPr>
          <w:p>
            <w:pPr>
              <w:spacing w:after="0"/>
              <w:rPr>
                <w:sz w:val="21"/>
                <w:szCs w:val="21"/>
                <w:color w:val="auto"/>
              </w:rPr>
            </w:pPr>
          </w:p>
        </w:tc>
      </w:tr>
      <w:tr>
        <w:trPr>
          <w:trHeight w:val="220"/>
        </w:trPr>
        <w:tc>
          <w:tcPr>
            <w:tcW w:w="9600" w:type="dxa"/>
            <w:vAlign w:val="bottom"/>
          </w:tcPr>
          <w:p>
            <w:pPr>
              <w:ind w:left="20"/>
              <w:spacing w:after="0"/>
              <w:rPr>
                <w:sz w:val="20"/>
                <w:szCs w:val="20"/>
                <w:color w:val="auto"/>
              </w:rPr>
            </w:pPr>
            <w:r>
              <w:rPr>
                <w:rFonts w:ascii="Calibri" w:cs="Calibri" w:eastAsia="Calibri" w:hAnsi="Calibri"/>
                <w:sz w:val="18"/>
                <w:szCs w:val="18"/>
                <w:color w:val="51555C"/>
              </w:rPr>
              <w:t>2027</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60,038</w:t>
            </w:r>
          </w:p>
        </w:tc>
        <w:tc>
          <w:tcPr>
            <w:tcW w:w="20" w:type="dxa"/>
            <w:vAlign w:val="bottom"/>
          </w:tcPr>
          <w:p>
            <w:pPr>
              <w:spacing w:after="0"/>
              <w:rPr>
                <w:sz w:val="19"/>
                <w:szCs w:val="19"/>
                <w:color w:val="auto"/>
              </w:rPr>
            </w:pPr>
          </w:p>
        </w:tc>
      </w:tr>
      <w:tr>
        <w:trPr>
          <w:trHeight w:val="50"/>
        </w:trPr>
        <w:tc>
          <w:tcPr>
            <w:tcW w:w="9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96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2028</w:t>
            </w:r>
          </w:p>
        </w:tc>
        <w:tc>
          <w:tcPr>
            <w:tcW w:w="480" w:type="dxa"/>
            <w:vAlign w:val="bottom"/>
            <w:tcBorders>
              <w:bottom w:val="single" w:sz="8" w:color="EBFBFF"/>
            </w:tcBorders>
            <w:shd w:val="clear" w:color="auto" w:fill="EBFBFF"/>
          </w:tcPr>
          <w:p>
            <w:pPr>
              <w:spacing w:after="0"/>
              <w:rPr>
                <w:sz w:val="23"/>
                <w:szCs w:val="23"/>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52,544</w:t>
            </w:r>
          </w:p>
        </w:tc>
        <w:tc>
          <w:tcPr>
            <w:tcW w:w="20" w:type="dxa"/>
            <w:vAlign w:val="bottom"/>
          </w:tcPr>
          <w:p>
            <w:pPr>
              <w:spacing w:after="0"/>
              <w:rPr>
                <w:sz w:val="23"/>
                <w:szCs w:val="23"/>
                <w:color w:val="auto"/>
              </w:rPr>
            </w:pPr>
          </w:p>
        </w:tc>
      </w:tr>
      <w:tr>
        <w:trPr>
          <w:trHeight w:val="213"/>
        </w:trPr>
        <w:tc>
          <w:tcPr>
            <w:tcW w:w="9600" w:type="dxa"/>
            <w:vAlign w:val="bottom"/>
          </w:tcPr>
          <w:p>
            <w:pPr>
              <w:ind w:left="220"/>
              <w:spacing w:after="0" w:line="213" w:lineRule="exact"/>
              <w:rPr>
                <w:sz w:val="20"/>
                <w:szCs w:val="20"/>
                <w:color w:val="auto"/>
              </w:rPr>
            </w:pPr>
            <w:r>
              <w:rPr>
                <w:rFonts w:ascii="Calibri" w:cs="Calibri" w:eastAsia="Calibri" w:hAnsi="Calibri"/>
                <w:sz w:val="18"/>
                <w:szCs w:val="18"/>
                <w:color w:val="51555C"/>
              </w:rPr>
              <w:t>Total</w:t>
            </w:r>
          </w:p>
        </w:tc>
        <w:tc>
          <w:tcPr>
            <w:tcW w:w="480" w:type="dxa"/>
            <w:vAlign w:val="bottom"/>
            <w:tcBorders>
              <w:top w:val="single" w:sz="8" w:color="51555C"/>
            </w:tcBorders>
          </w:tcPr>
          <w:p>
            <w:pPr>
              <w:jc w:val="right"/>
              <w:ind w:right="290"/>
              <w:spacing w:after="0" w:line="213" w:lineRule="exact"/>
              <w:rPr>
                <w:sz w:val="20"/>
                <w:szCs w:val="20"/>
                <w:color w:val="auto"/>
              </w:rPr>
            </w:pPr>
            <w:r>
              <w:rPr>
                <w:rFonts w:ascii="Calibri" w:cs="Calibri" w:eastAsia="Calibri" w:hAnsi="Calibri"/>
                <w:sz w:val="18"/>
                <w:szCs w:val="18"/>
                <w:color w:val="51555C"/>
                <w:w w:val="87"/>
              </w:rPr>
              <w:t>$</w:t>
            </w:r>
          </w:p>
        </w:tc>
        <w:tc>
          <w:tcPr>
            <w:tcW w:w="1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305,021</w:t>
            </w:r>
          </w:p>
        </w:tc>
        <w:tc>
          <w:tcPr>
            <w:tcW w:w="20" w:type="dxa"/>
            <w:vAlign w:val="bottom"/>
          </w:tcPr>
          <w:p>
            <w:pPr>
              <w:spacing w:after="0"/>
              <w:rPr>
                <w:sz w:val="18"/>
                <w:szCs w:val="18"/>
                <w:color w:val="auto"/>
              </w:rPr>
            </w:pPr>
          </w:p>
        </w:tc>
      </w:tr>
      <w:tr>
        <w:trPr>
          <w:trHeight w:val="50"/>
        </w:trPr>
        <w:tc>
          <w:tcPr>
            <w:tcW w:w="9600" w:type="dxa"/>
            <w:vAlign w:val="bottom"/>
            <w:tcBorders>
              <w:bottom w:val="single" w:sz="8" w:color="0CD973"/>
            </w:tcBorders>
          </w:tcPr>
          <w:p>
            <w:pPr>
              <w:spacing w:after="0"/>
              <w:rPr>
                <w:sz w:val="4"/>
                <w:szCs w:val="4"/>
                <w:color w:val="auto"/>
              </w:rPr>
            </w:pPr>
          </w:p>
        </w:tc>
        <w:tc>
          <w:tcPr>
            <w:tcW w:w="480" w:type="dxa"/>
            <w:vAlign w:val="bottom"/>
            <w:tcBorders>
              <w:bottom w:val="single" w:sz="8" w:color="0CD973"/>
            </w:tcBorders>
          </w:tcPr>
          <w:p>
            <w:pPr>
              <w:spacing w:after="0"/>
              <w:rPr>
                <w:sz w:val="4"/>
                <w:szCs w:val="4"/>
                <w:color w:val="auto"/>
              </w:rPr>
            </w:pPr>
          </w:p>
        </w:tc>
        <w:tc>
          <w:tcPr>
            <w:tcW w:w="116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5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5.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sets forth the computaton of basic and diluted earnings (loss) per share: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232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73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 except per share amounts)</w:t>
            </w:r>
          </w:p>
        </w:tc>
        <w:tc>
          <w:tcPr>
            <w:tcW w:w="26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8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8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0"/>
                <w:szCs w:val="20"/>
                <w:color w:val="auto"/>
              </w:rPr>
            </w:pPr>
          </w:p>
        </w:tc>
      </w:tr>
      <w:tr>
        <w:trPr>
          <w:trHeight w:val="74"/>
        </w:trPr>
        <w:tc>
          <w:tcPr>
            <w:tcW w:w="736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3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Numerator:</w:t>
            </w:r>
          </w:p>
        </w:tc>
        <w:tc>
          <w:tcPr>
            <w:tcW w:w="2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7360" w:type="dxa"/>
            <w:vAlign w:val="bottom"/>
          </w:tcPr>
          <w:p>
            <w:pPr>
              <w:ind w:left="140"/>
              <w:spacing w:after="0"/>
              <w:rPr>
                <w:sz w:val="20"/>
                <w:szCs w:val="20"/>
                <w:color w:val="auto"/>
              </w:rPr>
            </w:pPr>
            <w:r>
              <w:rPr>
                <w:rFonts w:ascii="Calibri" w:cs="Calibri" w:eastAsia="Calibri" w:hAnsi="Calibri"/>
                <w:sz w:val="18"/>
                <w:szCs w:val="18"/>
                <w:color w:val="51555C"/>
              </w:rPr>
              <w:t>Net income (loss)</w:t>
            </w:r>
          </w:p>
        </w:tc>
        <w:tc>
          <w:tcPr>
            <w:tcW w:w="260" w:type="dxa"/>
            <w:vAlign w:val="bottom"/>
          </w:tcPr>
          <w:p>
            <w:pPr>
              <w:jc w:val="right"/>
              <w:ind w:right="70"/>
              <w:spacing w:after="0"/>
              <w:rPr>
                <w:sz w:val="20"/>
                <w:szCs w:val="20"/>
                <w:color w:val="auto"/>
              </w:rPr>
            </w:pPr>
            <w:r>
              <w:rPr>
                <w:rFonts w:ascii="Calibri" w:cs="Calibri" w:eastAsia="Calibri" w:hAnsi="Calibri"/>
                <w:sz w:val="18"/>
                <w:szCs w:val="18"/>
                <w:color w:val="51555C"/>
                <w:w w:val="87"/>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1,820</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(45,407)</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5,698</w:t>
            </w:r>
          </w:p>
        </w:tc>
        <w:tc>
          <w:tcPr>
            <w:tcW w:w="20" w:type="dxa"/>
            <w:vAlign w:val="bottom"/>
          </w:tcPr>
          <w:p>
            <w:pPr>
              <w:spacing w:after="0"/>
              <w:rPr>
                <w:sz w:val="19"/>
                <w:szCs w:val="19"/>
                <w:color w:val="auto"/>
              </w:rPr>
            </w:pPr>
          </w:p>
        </w:tc>
      </w:tr>
      <w:tr>
        <w:trPr>
          <w:trHeight w:val="50"/>
        </w:trPr>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3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Denominator:</w:t>
            </w:r>
          </w:p>
        </w:tc>
        <w:tc>
          <w:tcPr>
            <w:tcW w:w="2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7360" w:type="dxa"/>
            <w:vAlign w:val="bottom"/>
          </w:tcPr>
          <w:p>
            <w:pPr>
              <w:ind w:left="140"/>
              <w:spacing w:after="0"/>
              <w:rPr>
                <w:sz w:val="20"/>
                <w:szCs w:val="20"/>
                <w:color w:val="auto"/>
              </w:rPr>
            </w:pPr>
            <w:r>
              <w:rPr>
                <w:rFonts w:ascii="Calibri" w:cs="Calibri" w:eastAsia="Calibri" w:hAnsi="Calibri"/>
                <w:sz w:val="18"/>
                <w:szCs w:val="18"/>
                <w:color w:val="51555C"/>
              </w:rPr>
              <w:t>Weighted average common shares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52,546,406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51,569,148</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47,412,306</w:t>
            </w:r>
          </w:p>
        </w:tc>
        <w:tc>
          <w:tcPr>
            <w:tcW w:w="20" w:type="dxa"/>
            <w:vAlign w:val="bottom"/>
          </w:tcPr>
          <w:p>
            <w:pPr>
              <w:spacing w:after="0"/>
              <w:rPr>
                <w:sz w:val="19"/>
                <w:szCs w:val="19"/>
                <w:color w:val="auto"/>
              </w:rPr>
            </w:pPr>
          </w:p>
        </w:tc>
      </w:tr>
      <w:tr>
        <w:trPr>
          <w:trHeight w:val="50"/>
        </w:trPr>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3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Add efect of dilutve securites:</w:t>
            </w:r>
          </w:p>
        </w:tc>
        <w:tc>
          <w:tcPr>
            <w:tcW w:w="2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7360" w:type="dxa"/>
            <w:vAlign w:val="bottom"/>
          </w:tcPr>
          <w:p>
            <w:pPr>
              <w:ind w:left="360"/>
              <w:spacing w:after="0"/>
              <w:rPr>
                <w:sz w:val="20"/>
                <w:szCs w:val="20"/>
                <w:color w:val="auto"/>
              </w:rPr>
            </w:pPr>
            <w:r>
              <w:rPr>
                <w:rFonts w:ascii="Calibri" w:cs="Calibri" w:eastAsia="Calibri" w:hAnsi="Calibri"/>
                <w:sz w:val="18"/>
                <w:szCs w:val="18"/>
                <w:color w:val="51555C"/>
              </w:rPr>
              <w:t>Stock-based awards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1,174,936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818,132</w:t>
            </w:r>
          </w:p>
        </w:tc>
        <w:tc>
          <w:tcPr>
            <w:tcW w:w="20" w:type="dxa"/>
            <w:vAlign w:val="bottom"/>
          </w:tcPr>
          <w:p>
            <w:pPr>
              <w:spacing w:after="0"/>
              <w:rPr>
                <w:sz w:val="19"/>
                <w:szCs w:val="19"/>
                <w:color w:val="auto"/>
              </w:rPr>
            </w:pPr>
          </w:p>
        </w:tc>
      </w:tr>
      <w:tr>
        <w:trPr>
          <w:trHeight w:val="50"/>
        </w:trPr>
        <w:tc>
          <w:tcPr>
            <w:tcW w:w="7360" w:type="dxa"/>
            <w:vAlign w:val="bottom"/>
            <w:tcBorders>
              <w:bottom w:val="single" w:sz="8" w:color="EBFBFF"/>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736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Weighted average common shares assuming diluton</w:t>
            </w:r>
          </w:p>
        </w:tc>
        <w:tc>
          <w:tcPr>
            <w:tcW w:w="26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53,721,342</w:t>
            </w:r>
          </w:p>
        </w:tc>
        <w:tc>
          <w:tcPr>
            <w:tcW w:w="28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51,569,148</w:t>
            </w:r>
          </w:p>
        </w:tc>
        <w:tc>
          <w:tcPr>
            <w:tcW w:w="28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48,230,438</w:t>
            </w:r>
          </w:p>
        </w:tc>
        <w:tc>
          <w:tcPr>
            <w:tcW w:w="20" w:type="dxa"/>
            <w:vAlign w:val="bottom"/>
          </w:tcPr>
          <w:p>
            <w:pPr>
              <w:spacing w:after="0"/>
              <w:rPr>
                <w:sz w:val="22"/>
                <w:szCs w:val="22"/>
                <w:color w:val="auto"/>
              </w:rPr>
            </w:pPr>
          </w:p>
        </w:tc>
      </w:tr>
      <w:tr>
        <w:trPr>
          <w:trHeight w:val="200"/>
        </w:trPr>
        <w:tc>
          <w:tcPr>
            <w:tcW w:w="7360" w:type="dxa"/>
            <w:vAlign w:val="bottom"/>
          </w:tcPr>
          <w:p>
            <w:pPr>
              <w:ind w:left="20"/>
              <w:spacing w:after="0" w:line="199" w:lineRule="exact"/>
              <w:rPr>
                <w:sz w:val="20"/>
                <w:szCs w:val="20"/>
                <w:color w:val="auto"/>
              </w:rPr>
            </w:pPr>
            <w:r>
              <w:rPr>
                <w:rFonts w:ascii="Calibri" w:cs="Calibri" w:eastAsia="Calibri" w:hAnsi="Calibri"/>
                <w:sz w:val="18"/>
                <w:szCs w:val="18"/>
                <w:color w:val="51555C"/>
              </w:rPr>
              <w:t>Earnings (loss) per share</w:t>
            </w:r>
          </w:p>
        </w:tc>
        <w:tc>
          <w:tcPr>
            <w:tcW w:w="26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spacing w:after="0"/>
              <w:rPr>
                <w:sz w:val="17"/>
                <w:szCs w:val="17"/>
                <w:color w:val="auto"/>
              </w:rPr>
            </w:pPr>
          </w:p>
        </w:tc>
        <w:tc>
          <w:tcPr>
            <w:tcW w:w="28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spacing w:after="0"/>
              <w:rPr>
                <w:sz w:val="17"/>
                <w:szCs w:val="17"/>
                <w:color w:val="auto"/>
              </w:rPr>
            </w:pPr>
          </w:p>
        </w:tc>
        <w:tc>
          <w:tcPr>
            <w:tcW w:w="28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spacing w:after="0"/>
              <w:rPr>
                <w:sz w:val="17"/>
                <w:szCs w:val="17"/>
                <w:color w:val="auto"/>
              </w:rPr>
            </w:pPr>
          </w:p>
        </w:tc>
        <w:tc>
          <w:tcPr>
            <w:tcW w:w="20" w:type="dxa"/>
            <w:vAlign w:val="bottom"/>
          </w:tcPr>
          <w:p>
            <w:pPr>
              <w:spacing w:after="0"/>
              <w:rPr>
                <w:sz w:val="17"/>
                <w:szCs w:val="17"/>
                <w:color w:val="auto"/>
              </w:rPr>
            </w:pPr>
          </w:p>
        </w:tc>
      </w:tr>
      <w:tr>
        <w:trPr>
          <w:trHeight w:val="50"/>
        </w:trPr>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3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Basic</w:t>
            </w:r>
          </w:p>
        </w:tc>
        <w:tc>
          <w:tcPr>
            <w:tcW w:w="26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w w:val="87"/>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0.03</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(0.88)</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0.12</w:t>
            </w:r>
          </w:p>
        </w:tc>
        <w:tc>
          <w:tcPr>
            <w:tcW w:w="20" w:type="dxa"/>
            <w:vAlign w:val="bottom"/>
          </w:tcPr>
          <w:p>
            <w:pPr>
              <w:spacing w:after="0"/>
              <w:rPr>
                <w:sz w:val="21"/>
                <w:szCs w:val="21"/>
                <w:color w:val="auto"/>
              </w:rPr>
            </w:pPr>
          </w:p>
        </w:tc>
      </w:tr>
      <w:tr>
        <w:trPr>
          <w:trHeight w:val="220"/>
        </w:trPr>
        <w:tc>
          <w:tcPr>
            <w:tcW w:w="7360" w:type="dxa"/>
            <w:vAlign w:val="bottom"/>
          </w:tcPr>
          <w:p>
            <w:pPr>
              <w:ind w:left="140"/>
              <w:spacing w:after="0"/>
              <w:rPr>
                <w:sz w:val="20"/>
                <w:szCs w:val="20"/>
                <w:color w:val="auto"/>
              </w:rPr>
            </w:pPr>
            <w:r>
              <w:rPr>
                <w:rFonts w:ascii="Calibri" w:cs="Calibri" w:eastAsia="Calibri" w:hAnsi="Calibri"/>
                <w:sz w:val="18"/>
                <w:szCs w:val="18"/>
                <w:color w:val="51555C"/>
              </w:rPr>
              <w:t>Diluted</w:t>
            </w:r>
          </w:p>
        </w:tc>
        <w:tc>
          <w:tcPr>
            <w:tcW w:w="260" w:type="dxa"/>
            <w:vAlign w:val="bottom"/>
          </w:tcPr>
          <w:p>
            <w:pPr>
              <w:jc w:val="right"/>
              <w:ind w:right="70"/>
              <w:spacing w:after="0"/>
              <w:rPr>
                <w:sz w:val="20"/>
                <w:szCs w:val="20"/>
                <w:color w:val="auto"/>
              </w:rPr>
            </w:pPr>
            <w:r>
              <w:rPr>
                <w:rFonts w:ascii="Calibri" w:cs="Calibri" w:eastAsia="Calibri" w:hAnsi="Calibri"/>
                <w:sz w:val="18"/>
                <w:szCs w:val="18"/>
                <w:color w:val="51555C"/>
                <w:w w:val="87"/>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0.03</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(0.88)</w:t>
            </w:r>
          </w:p>
        </w:tc>
        <w:tc>
          <w:tcPr>
            <w:tcW w:w="280" w:type="dxa"/>
            <w:vAlign w:val="bottom"/>
          </w:tcPr>
          <w:p>
            <w:pPr>
              <w:jc w:val="right"/>
              <w:ind w:right="7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0.12</w:t>
            </w:r>
          </w:p>
        </w:tc>
        <w:tc>
          <w:tcPr>
            <w:tcW w:w="20" w:type="dxa"/>
            <w:vAlign w:val="bottom"/>
          </w:tcPr>
          <w:p>
            <w:pPr>
              <w:spacing w:after="0"/>
              <w:rPr>
                <w:sz w:val="19"/>
                <w:szCs w:val="19"/>
                <w:color w:val="auto"/>
              </w:rPr>
            </w:pPr>
          </w:p>
        </w:tc>
      </w:tr>
      <w:tr>
        <w:trPr>
          <w:trHeight w:val="50"/>
        </w:trPr>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360" w:type="dxa"/>
            <w:vAlign w:val="bottom"/>
            <w:shd w:val="clear" w:color="auto" w:fill="EBFBFF"/>
          </w:tcPr>
          <w:p>
            <w:pPr>
              <w:spacing w:after="0"/>
              <w:rPr>
                <w:sz w:val="23"/>
                <w:szCs w:val="23"/>
                <w:color w:val="auto"/>
              </w:rPr>
            </w:pPr>
          </w:p>
        </w:tc>
        <w:tc>
          <w:tcPr>
            <w:tcW w:w="260" w:type="dxa"/>
            <w:vAlign w:val="bottom"/>
            <w:shd w:val="clear" w:color="auto" w:fill="EBFBFF"/>
          </w:tcPr>
          <w:p>
            <w:pPr>
              <w:spacing w:after="0"/>
              <w:rPr>
                <w:sz w:val="23"/>
                <w:szCs w:val="23"/>
                <w:color w:val="auto"/>
              </w:rPr>
            </w:pPr>
          </w:p>
        </w:tc>
        <w:tc>
          <w:tcPr>
            <w:tcW w:w="102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020" w:type="dxa"/>
            <w:vAlign w:val="bottom"/>
            <w:shd w:val="clear" w:color="auto" w:fill="EBFBFF"/>
          </w:tcPr>
          <w:p>
            <w:pPr>
              <w:spacing w:after="0"/>
              <w:rPr>
                <w:sz w:val="23"/>
                <w:szCs w:val="23"/>
                <w:color w:val="auto"/>
              </w:rPr>
            </w:pPr>
          </w:p>
        </w:tc>
        <w:tc>
          <w:tcPr>
            <w:tcW w:w="280" w:type="dxa"/>
            <w:vAlign w:val="bottom"/>
            <w:shd w:val="clear" w:color="auto" w:fill="EBFBFF"/>
          </w:tcPr>
          <w:p>
            <w:pPr>
              <w:spacing w:after="0"/>
              <w:rPr>
                <w:sz w:val="23"/>
                <w:szCs w:val="23"/>
                <w:color w:val="auto"/>
              </w:rPr>
            </w:pPr>
          </w:p>
        </w:tc>
        <w:tc>
          <w:tcPr>
            <w:tcW w:w="102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19"/>
        </w:trPr>
        <w:tc>
          <w:tcPr>
            <w:tcW w:w="7360" w:type="dxa"/>
            <w:vAlign w:val="bottom"/>
          </w:tcPr>
          <w:p>
            <w:pPr>
              <w:ind w:left="20"/>
              <w:spacing w:after="0"/>
              <w:rPr>
                <w:sz w:val="20"/>
                <w:szCs w:val="20"/>
                <w:color w:val="auto"/>
              </w:rPr>
            </w:pPr>
            <w:r>
              <w:rPr>
                <w:rFonts w:ascii="Calibri" w:cs="Calibri" w:eastAsia="Calibri" w:hAnsi="Calibri"/>
                <w:sz w:val="18"/>
                <w:szCs w:val="18"/>
                <w:color w:val="51555C"/>
              </w:rPr>
              <w:t>Ant-dilutve shares excluded from calculatons of diluted earnings (loss) per share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45,614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1,046,307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974,110</w:t>
            </w:r>
          </w:p>
        </w:tc>
        <w:tc>
          <w:tcPr>
            <w:tcW w:w="20" w:type="dxa"/>
            <w:vAlign w:val="bottom"/>
          </w:tcPr>
          <w:p>
            <w:pPr>
              <w:spacing w:after="0"/>
              <w:rPr>
                <w:sz w:val="19"/>
                <w:szCs w:val="19"/>
                <w:color w:val="auto"/>
              </w:rPr>
            </w:pPr>
          </w:p>
        </w:tc>
      </w:tr>
      <w:tr>
        <w:trPr>
          <w:trHeight w:val="51"/>
        </w:trPr>
        <w:tc>
          <w:tcPr>
            <w:tcW w:w="7360" w:type="dxa"/>
            <w:vAlign w:val="bottom"/>
            <w:tcBorders>
              <w:bottom w:val="single" w:sz="8" w:color="0CD973"/>
            </w:tcBorders>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c>
          <w:tcPr>
            <w:tcW w:w="28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c>
          <w:tcPr>
            <w:tcW w:w="28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-2236470</wp:posOffset>
            </wp:positionV>
            <wp:extent cx="24771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Diluted loss per share for the year ended December 31, 2022 was the same as basic loss per share as there was a net loss in the period and inclusion of potentally dilutve securites was ant-dilutve.</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84</w:t>
      </w:r>
      <w:r>
        <w:rPr>
          <w:sz w:val="20"/>
          <w:szCs w:val="20"/>
          <w:color w:val="auto"/>
        </w:rPr>
        <w:tab/>
      </w:r>
      <w:r>
        <w:rPr>
          <w:sz w:val="1"/>
          <w:szCs w:val="1"/>
          <w:color w:val="auto"/>
        </w:rPr>
        <w:drawing>
          <wp:inline distT="0" distB="0" distL="0" distR="0">
            <wp:extent cx="728345" cy="18859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6.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Recurring fair value measurements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Financial assets and liabilites that are measured at fair value on a recurring basis consisted of the following, as of the dates indicated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2880" w:type="dxa"/>
            <w:vAlign w:val="bottom"/>
            <w:gridSpan w:val="4"/>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Fair value measurement using</w:t>
            </w:r>
          </w:p>
        </w:tc>
        <w:tc>
          <w:tcPr>
            <w:tcW w:w="100" w:type="dxa"/>
            <w:vAlign w:val="bottom"/>
            <w:shd w:val="clear" w:color="auto" w:fill="004054"/>
          </w:tcPr>
          <w:p>
            <w:pPr>
              <w:spacing w:after="0"/>
              <w:rPr>
                <w:sz w:val="16"/>
                <w:szCs w:val="16"/>
                <w:color w:val="auto"/>
              </w:rPr>
            </w:pPr>
          </w:p>
        </w:tc>
        <w:tc>
          <w:tcPr>
            <w:tcW w:w="52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28"/>
        </w:trPr>
        <w:tc>
          <w:tcPr>
            <w:tcW w:w="4940" w:type="dxa"/>
            <w:vAlign w:val="bottom"/>
            <w:shd w:val="clear" w:color="auto" w:fill="004054"/>
          </w:tcPr>
          <w:p>
            <w:pPr>
              <w:spacing w:after="0"/>
              <w:rPr>
                <w:sz w:val="19"/>
                <w:szCs w:val="19"/>
                <w:color w:val="auto"/>
              </w:rPr>
            </w:pPr>
          </w:p>
        </w:tc>
        <w:tc>
          <w:tcPr>
            <w:tcW w:w="148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Quoted Prices in Actve</w:t>
            </w:r>
          </w:p>
        </w:tc>
        <w:tc>
          <w:tcPr>
            <w:tcW w:w="10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126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160" w:type="dxa"/>
            <w:vAlign w:val="bottom"/>
            <w:shd w:val="clear" w:color="auto" w:fill="004054"/>
          </w:tcPr>
          <w:p>
            <w:pPr>
              <w:spacing w:after="0"/>
              <w:rPr>
                <w:sz w:val="19"/>
                <w:szCs w:val="19"/>
                <w:color w:val="auto"/>
              </w:rPr>
            </w:pPr>
          </w:p>
        </w:tc>
        <w:tc>
          <w:tcPr>
            <w:tcW w:w="1340" w:type="dxa"/>
            <w:vAlign w:val="bottom"/>
            <w:shd w:val="clear" w:color="auto" w:fill="004054"/>
          </w:tcPr>
          <w:p>
            <w:pPr>
              <w:spacing w:after="0"/>
              <w:rPr>
                <w:sz w:val="19"/>
                <w:szCs w:val="19"/>
                <w:color w:val="auto"/>
              </w:rPr>
            </w:pPr>
          </w:p>
        </w:tc>
        <w:tc>
          <w:tcPr>
            <w:tcW w:w="100" w:type="dxa"/>
            <w:vAlign w:val="bottom"/>
            <w:shd w:val="clear" w:color="auto" w:fill="004054"/>
          </w:tcPr>
          <w:p>
            <w:pPr>
              <w:spacing w:after="0"/>
              <w:rPr>
                <w:sz w:val="19"/>
                <w:szCs w:val="19"/>
                <w:color w:val="auto"/>
              </w:rPr>
            </w:pPr>
          </w:p>
        </w:tc>
        <w:tc>
          <w:tcPr>
            <w:tcW w:w="520" w:type="dxa"/>
            <w:vAlign w:val="bottom"/>
            <w:shd w:val="clear" w:color="auto" w:fill="004054"/>
          </w:tcPr>
          <w:p>
            <w:pPr>
              <w:spacing w:after="0"/>
              <w:rPr>
                <w:sz w:val="19"/>
                <w:szCs w:val="19"/>
                <w:color w:val="auto"/>
              </w:rPr>
            </w:pPr>
          </w:p>
        </w:tc>
        <w:tc>
          <w:tcPr>
            <w:tcW w:w="98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r>
      <w:tr>
        <w:trPr>
          <w:trHeight w:val="176"/>
        </w:trPr>
        <w:tc>
          <w:tcPr>
            <w:tcW w:w="494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Markets for Identcal</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Signifcant Other</w:t>
            </w:r>
          </w:p>
        </w:tc>
        <w:tc>
          <w:tcPr>
            <w:tcW w:w="1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Signifcant</w:t>
            </w:r>
          </w:p>
        </w:tc>
        <w:tc>
          <w:tcPr>
            <w:tcW w:w="100" w:type="dxa"/>
            <w:vAlign w:val="bottom"/>
            <w:shd w:val="clear" w:color="auto" w:fill="004054"/>
          </w:tcPr>
          <w:p>
            <w:pPr>
              <w:spacing w:after="0"/>
              <w:rPr>
                <w:sz w:val="15"/>
                <w:szCs w:val="15"/>
                <w:color w:val="auto"/>
              </w:rPr>
            </w:pPr>
          </w:p>
        </w:tc>
        <w:tc>
          <w:tcPr>
            <w:tcW w:w="520" w:type="dxa"/>
            <w:vAlign w:val="bottom"/>
            <w:shd w:val="clear" w:color="auto" w:fill="004054"/>
          </w:tcPr>
          <w:p>
            <w:pPr>
              <w:spacing w:after="0"/>
              <w:rPr>
                <w:sz w:val="15"/>
                <w:szCs w:val="15"/>
                <w:color w:val="auto"/>
              </w:rPr>
            </w:pPr>
          </w:p>
        </w:tc>
        <w:tc>
          <w:tcPr>
            <w:tcW w:w="98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70"/>
        </w:trPr>
        <w:tc>
          <w:tcPr>
            <w:tcW w:w="4940" w:type="dxa"/>
            <w:vAlign w:val="bottom"/>
            <w:shd w:val="clear" w:color="auto" w:fill="004054"/>
          </w:tcPr>
          <w:p>
            <w:pPr>
              <w:spacing w:after="0"/>
              <w:rPr>
                <w:sz w:val="14"/>
                <w:szCs w:val="14"/>
                <w:color w:val="auto"/>
              </w:rPr>
            </w:pPr>
          </w:p>
        </w:tc>
        <w:tc>
          <w:tcPr>
            <w:tcW w:w="16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Assets and Liabilites</w:t>
            </w:r>
          </w:p>
        </w:tc>
        <w:tc>
          <w:tcPr>
            <w:tcW w:w="10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Observable Inputs</w:t>
            </w:r>
          </w:p>
        </w:tc>
        <w:tc>
          <w:tcPr>
            <w:tcW w:w="120" w:type="dxa"/>
            <w:vAlign w:val="bottom"/>
            <w:shd w:val="clear" w:color="auto" w:fill="004054"/>
          </w:tcPr>
          <w:p>
            <w:pPr>
              <w:spacing w:after="0"/>
              <w:rPr>
                <w:sz w:val="14"/>
                <w:szCs w:val="14"/>
                <w:color w:val="auto"/>
              </w:rPr>
            </w:pPr>
          </w:p>
        </w:tc>
        <w:tc>
          <w:tcPr>
            <w:tcW w:w="160" w:type="dxa"/>
            <w:vAlign w:val="bottom"/>
            <w:shd w:val="clear" w:color="auto" w:fill="004054"/>
          </w:tcPr>
          <w:p>
            <w:pPr>
              <w:spacing w:after="0"/>
              <w:rPr>
                <w:sz w:val="14"/>
                <w:szCs w:val="14"/>
                <w:color w:val="auto"/>
              </w:rPr>
            </w:pPr>
          </w:p>
        </w:tc>
        <w:tc>
          <w:tcPr>
            <w:tcW w:w="13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Unobservable Inputs</w:t>
            </w:r>
          </w:p>
        </w:tc>
        <w:tc>
          <w:tcPr>
            <w:tcW w:w="100" w:type="dxa"/>
            <w:vAlign w:val="bottom"/>
            <w:shd w:val="clear" w:color="auto" w:fill="004054"/>
          </w:tcPr>
          <w:p>
            <w:pPr>
              <w:spacing w:after="0"/>
              <w:rPr>
                <w:sz w:val="14"/>
                <w:szCs w:val="14"/>
                <w:color w:val="auto"/>
              </w:rPr>
            </w:pPr>
          </w:p>
        </w:tc>
        <w:tc>
          <w:tcPr>
            <w:tcW w:w="520" w:type="dxa"/>
            <w:vAlign w:val="bottom"/>
            <w:shd w:val="clear" w:color="auto" w:fill="004054"/>
          </w:tcPr>
          <w:p>
            <w:pPr>
              <w:spacing w:after="0"/>
              <w:rPr>
                <w:sz w:val="14"/>
                <w:szCs w:val="14"/>
                <w:color w:val="auto"/>
              </w:rPr>
            </w:pPr>
          </w:p>
        </w:tc>
        <w:tc>
          <w:tcPr>
            <w:tcW w:w="980" w:type="dxa"/>
            <w:vAlign w:val="bottom"/>
            <w:shd w:val="clear" w:color="auto" w:fill="004054"/>
          </w:tcPr>
          <w:p>
            <w:pPr>
              <w:spacing w:after="0"/>
              <w:rPr>
                <w:sz w:val="14"/>
                <w:szCs w:val="14"/>
                <w:color w:val="auto"/>
              </w:rPr>
            </w:pPr>
          </w:p>
        </w:tc>
        <w:tc>
          <w:tcPr>
            <w:tcW w:w="20" w:type="dxa"/>
            <w:vAlign w:val="bottom"/>
            <w:shd w:val="clear" w:color="auto" w:fill="004054"/>
          </w:tcPr>
          <w:p>
            <w:pPr>
              <w:spacing w:after="0"/>
              <w:rPr>
                <w:sz w:val="14"/>
                <w:szCs w:val="14"/>
                <w:color w:val="auto"/>
              </w:rPr>
            </w:pPr>
          </w:p>
        </w:tc>
      </w:tr>
      <w:tr>
        <w:trPr>
          <w:trHeight w:val="175"/>
        </w:trPr>
        <w:tc>
          <w:tcPr>
            <w:tcW w:w="4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6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(Level 1)</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2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(Level 2)</w:t>
            </w:r>
          </w:p>
        </w:tc>
        <w:tc>
          <w:tcPr>
            <w:tcW w:w="12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(Level 3)</w:t>
            </w:r>
          </w:p>
        </w:tc>
        <w:tc>
          <w:tcPr>
            <w:tcW w:w="100" w:type="dxa"/>
            <w:vAlign w:val="bottom"/>
            <w:shd w:val="clear" w:color="auto" w:fill="004054"/>
          </w:tcPr>
          <w:p>
            <w:pPr>
              <w:spacing w:after="0"/>
              <w:rPr>
                <w:sz w:val="15"/>
                <w:szCs w:val="15"/>
                <w:color w:val="auto"/>
              </w:rPr>
            </w:pPr>
          </w:p>
        </w:tc>
        <w:tc>
          <w:tcPr>
            <w:tcW w:w="52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20" w:type="dxa"/>
            <w:vAlign w:val="bottom"/>
            <w:shd w:val="clear" w:color="auto" w:fill="004054"/>
          </w:tcPr>
          <w:p>
            <w:pPr>
              <w:spacing w:after="0"/>
              <w:rPr>
                <w:sz w:val="15"/>
                <w:szCs w:val="15"/>
                <w:color w:val="auto"/>
              </w:rPr>
            </w:pPr>
          </w:p>
        </w:tc>
      </w:tr>
      <w:tr>
        <w:trPr>
          <w:trHeight w:val="74"/>
        </w:trPr>
        <w:tc>
          <w:tcPr>
            <w:tcW w:w="4940" w:type="dxa"/>
            <w:vAlign w:val="bottom"/>
            <w:shd w:val="clear" w:color="auto" w:fill="004054"/>
          </w:tcPr>
          <w:p>
            <w:pPr>
              <w:spacing w:after="0"/>
              <w:rPr>
                <w:sz w:val="6"/>
                <w:szCs w:val="6"/>
                <w:color w:val="auto"/>
              </w:rPr>
            </w:pPr>
          </w:p>
        </w:tc>
        <w:tc>
          <w:tcPr>
            <w:tcW w:w="160" w:type="dxa"/>
            <w:vAlign w:val="bottom"/>
            <w:shd w:val="clear" w:color="auto" w:fill="004054"/>
          </w:tcPr>
          <w:p>
            <w:pPr>
              <w:spacing w:after="0"/>
              <w:rPr>
                <w:sz w:val="6"/>
                <w:szCs w:val="6"/>
                <w:color w:val="auto"/>
              </w:rPr>
            </w:pPr>
          </w:p>
        </w:tc>
        <w:tc>
          <w:tcPr>
            <w:tcW w:w="132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240" w:type="dxa"/>
            <w:vAlign w:val="bottom"/>
            <w:shd w:val="clear" w:color="auto" w:fill="004054"/>
          </w:tcPr>
          <w:p>
            <w:pPr>
              <w:spacing w:after="0"/>
              <w:rPr>
                <w:sz w:val="6"/>
                <w:szCs w:val="6"/>
                <w:color w:val="auto"/>
              </w:rPr>
            </w:pPr>
          </w:p>
        </w:tc>
        <w:tc>
          <w:tcPr>
            <w:tcW w:w="1260" w:type="dxa"/>
            <w:vAlign w:val="bottom"/>
            <w:shd w:val="clear" w:color="auto" w:fill="004054"/>
          </w:tcPr>
          <w:p>
            <w:pPr>
              <w:spacing w:after="0"/>
              <w:rPr>
                <w:sz w:val="6"/>
                <w:szCs w:val="6"/>
                <w:color w:val="auto"/>
              </w:rPr>
            </w:pPr>
          </w:p>
        </w:tc>
        <w:tc>
          <w:tcPr>
            <w:tcW w:w="120" w:type="dxa"/>
            <w:vAlign w:val="bottom"/>
            <w:shd w:val="clear" w:color="auto" w:fill="004054"/>
          </w:tcPr>
          <w:p>
            <w:pPr>
              <w:spacing w:after="0"/>
              <w:rPr>
                <w:sz w:val="6"/>
                <w:szCs w:val="6"/>
                <w:color w:val="auto"/>
              </w:rPr>
            </w:pPr>
          </w:p>
        </w:tc>
        <w:tc>
          <w:tcPr>
            <w:tcW w:w="160" w:type="dxa"/>
            <w:vAlign w:val="bottom"/>
            <w:shd w:val="clear" w:color="auto" w:fill="004054"/>
          </w:tcPr>
          <w:p>
            <w:pPr>
              <w:spacing w:after="0"/>
              <w:rPr>
                <w:sz w:val="6"/>
                <w:szCs w:val="6"/>
                <w:color w:val="auto"/>
              </w:rPr>
            </w:pPr>
          </w:p>
        </w:tc>
        <w:tc>
          <w:tcPr>
            <w:tcW w:w="134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520" w:type="dxa"/>
            <w:vAlign w:val="bottom"/>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Fair value as of December 31, 2023</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Financial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Interest rate swaps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16,198</w:t>
            </w:r>
          </w:p>
        </w:tc>
        <w:tc>
          <w:tcPr>
            <w:tcW w:w="120" w:type="dxa"/>
            <w:vAlign w:val="bottom"/>
            <w:tcBorders>
              <w:bottom w:val="single" w:sz="8" w:color="EBFBFF"/>
            </w:tcBorders>
            <w:shd w:val="clear" w:color="auto" w:fill="EBFBFF"/>
          </w:tcPr>
          <w:p>
            <w:pPr>
              <w:spacing w:after="0"/>
              <w:rPr>
                <w:sz w:val="23"/>
                <w:szCs w:val="23"/>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16,198</w:t>
            </w:r>
          </w:p>
        </w:tc>
        <w:tc>
          <w:tcPr>
            <w:tcW w:w="20" w:type="dxa"/>
            <w:vAlign w:val="bottom"/>
          </w:tcPr>
          <w:p>
            <w:pPr>
              <w:spacing w:after="0"/>
              <w:rPr>
                <w:sz w:val="23"/>
                <w:szCs w:val="23"/>
                <w:color w:val="auto"/>
              </w:rPr>
            </w:pPr>
          </w:p>
        </w:tc>
      </w:tr>
      <w:tr>
        <w:trPr>
          <w:trHeight w:val="213"/>
        </w:trPr>
        <w:tc>
          <w:tcPr>
            <w:tcW w:w="4940" w:type="dxa"/>
            <w:vAlign w:val="bottom"/>
          </w:tcPr>
          <w:p>
            <w:pPr>
              <w:ind w:left="240"/>
              <w:spacing w:after="0" w:line="213" w:lineRule="exact"/>
              <w:rPr>
                <w:sz w:val="20"/>
                <w:szCs w:val="20"/>
                <w:color w:val="auto"/>
              </w:rPr>
            </w:pPr>
            <w:r>
              <w:rPr>
                <w:rFonts w:ascii="Calibri" w:cs="Calibri" w:eastAsia="Calibri" w:hAnsi="Calibri"/>
                <w:sz w:val="18"/>
                <w:szCs w:val="18"/>
                <w:color w:val="51555C"/>
              </w:rPr>
              <w:t>Total fnancial assets</w:t>
            </w:r>
          </w:p>
        </w:tc>
        <w:tc>
          <w:tcPr>
            <w:tcW w:w="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20" w:type="dxa"/>
            <w:vAlign w:val="bottom"/>
            <w:tcBorders>
              <w:top w:val="single" w:sz="8" w:color="51555C"/>
            </w:tcBorders>
          </w:tcPr>
          <w:p>
            <w:pPr>
              <w:ind w:left="1100"/>
              <w:spacing w:after="0" w:line="213" w:lineRule="exact"/>
              <w:rPr>
                <w:sz w:val="20"/>
                <w:szCs w:val="20"/>
                <w:color w:val="auto"/>
              </w:rPr>
            </w:pPr>
            <w:r>
              <w:rPr>
                <w:rFonts w:ascii="Calibri" w:cs="Calibri" w:eastAsia="Calibri" w:hAnsi="Calibri"/>
                <w:sz w:val="18"/>
                <w:szCs w:val="18"/>
                <w:color w:val="51555C"/>
              </w:rPr>
              <w:t>—</w:t>
            </w:r>
          </w:p>
        </w:tc>
        <w:tc>
          <w:tcPr>
            <w:tcW w:w="100" w:type="dxa"/>
            <w:vAlign w:val="bottom"/>
          </w:tcPr>
          <w:p>
            <w:pPr>
              <w:spacing w:after="0"/>
              <w:rPr>
                <w:sz w:val="18"/>
                <w:szCs w:val="18"/>
                <w:color w:val="auto"/>
              </w:rPr>
            </w:pPr>
          </w:p>
        </w:tc>
        <w:tc>
          <w:tcPr>
            <w:tcW w:w="240" w:type="dxa"/>
            <w:vAlign w:val="bottom"/>
            <w:tcBorders>
              <w:top w:val="single" w:sz="8" w:color="51555C"/>
            </w:tcBorders>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16,198</w:t>
            </w:r>
          </w:p>
        </w:tc>
        <w:tc>
          <w:tcPr>
            <w:tcW w:w="120" w:type="dxa"/>
            <w:vAlign w:val="bottom"/>
          </w:tcPr>
          <w:p>
            <w:pPr>
              <w:spacing w:after="0"/>
              <w:rPr>
                <w:sz w:val="18"/>
                <w:szCs w:val="18"/>
                <w:color w:val="auto"/>
              </w:rPr>
            </w:pPr>
          </w:p>
        </w:tc>
        <w:tc>
          <w:tcPr>
            <w:tcW w:w="1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w:t>
            </w:r>
          </w:p>
        </w:tc>
        <w:tc>
          <w:tcPr>
            <w:tcW w:w="100" w:type="dxa"/>
            <w:vAlign w:val="bottom"/>
          </w:tcPr>
          <w:p>
            <w:pPr>
              <w:spacing w:after="0"/>
              <w:rPr>
                <w:sz w:val="18"/>
                <w:szCs w:val="18"/>
                <w:color w:val="auto"/>
              </w:rPr>
            </w:pPr>
          </w:p>
        </w:tc>
        <w:tc>
          <w:tcPr>
            <w:tcW w:w="520" w:type="dxa"/>
            <w:vAlign w:val="bottom"/>
            <w:tcBorders>
              <w:top w:val="single" w:sz="8" w:color="51555C"/>
            </w:tcBorders>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16,198</w:t>
            </w:r>
          </w:p>
        </w:tc>
        <w:tc>
          <w:tcPr>
            <w:tcW w:w="20" w:type="dxa"/>
            <w:vAlign w:val="bottom"/>
          </w:tcPr>
          <w:p>
            <w:pPr>
              <w:spacing w:after="0"/>
              <w:rPr>
                <w:sz w:val="18"/>
                <w:szCs w:val="18"/>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940" w:type="dxa"/>
            <w:vAlign w:val="bottom"/>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32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240" w:type="dxa"/>
            <w:vAlign w:val="bottom"/>
            <w:shd w:val="clear" w:color="auto" w:fill="EBFBFF"/>
          </w:tcPr>
          <w:p>
            <w:pPr>
              <w:spacing w:after="0"/>
              <w:rPr>
                <w:sz w:val="23"/>
                <w:szCs w:val="23"/>
                <w:color w:val="auto"/>
              </w:rPr>
            </w:pPr>
          </w:p>
        </w:tc>
        <w:tc>
          <w:tcPr>
            <w:tcW w:w="1260" w:type="dxa"/>
            <w:vAlign w:val="bottom"/>
            <w:shd w:val="clear" w:color="auto" w:fill="EBFBFF"/>
          </w:tcPr>
          <w:p>
            <w:pPr>
              <w:spacing w:after="0"/>
              <w:rPr>
                <w:sz w:val="23"/>
                <w:szCs w:val="23"/>
                <w:color w:val="auto"/>
              </w:rPr>
            </w:pPr>
          </w:p>
        </w:tc>
        <w:tc>
          <w:tcPr>
            <w:tcW w:w="120" w:type="dxa"/>
            <w:vAlign w:val="bottom"/>
            <w:shd w:val="clear" w:color="auto" w:fill="EBFBFF"/>
          </w:tcPr>
          <w:p>
            <w:pPr>
              <w:spacing w:after="0"/>
              <w:rPr>
                <w:sz w:val="23"/>
                <w:szCs w:val="23"/>
                <w:color w:val="auto"/>
              </w:rPr>
            </w:pPr>
          </w:p>
        </w:tc>
        <w:tc>
          <w:tcPr>
            <w:tcW w:w="160" w:type="dxa"/>
            <w:vAlign w:val="bottom"/>
            <w:shd w:val="clear" w:color="auto" w:fill="EBFBFF"/>
          </w:tcPr>
          <w:p>
            <w:pPr>
              <w:spacing w:after="0"/>
              <w:rPr>
                <w:sz w:val="23"/>
                <w:szCs w:val="23"/>
                <w:color w:val="auto"/>
              </w:rPr>
            </w:pPr>
          </w:p>
        </w:tc>
        <w:tc>
          <w:tcPr>
            <w:tcW w:w="134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520" w:type="dxa"/>
            <w:vAlign w:val="bottom"/>
            <w:shd w:val="clear" w:color="auto" w:fill="EBFBFF"/>
          </w:tcPr>
          <w:p>
            <w:pPr>
              <w:spacing w:after="0"/>
              <w:rPr>
                <w:sz w:val="23"/>
                <w:szCs w:val="23"/>
                <w:color w:val="auto"/>
              </w:rPr>
            </w:pPr>
          </w:p>
        </w:tc>
        <w:tc>
          <w:tcPr>
            <w:tcW w:w="98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b w:val="1"/>
                <w:bCs w:val="1"/>
                <w:color w:val="51555C"/>
              </w:rPr>
              <w:t>Fair value as of December 31, 2023</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Financial liabilites:</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940" w:type="dxa"/>
            <w:vAlign w:val="bottom"/>
          </w:tcPr>
          <w:p>
            <w:pPr>
              <w:ind w:left="140"/>
              <w:spacing w:after="0"/>
              <w:rPr>
                <w:sz w:val="20"/>
                <w:szCs w:val="20"/>
                <w:color w:val="auto"/>
              </w:rPr>
            </w:pPr>
            <w:r>
              <w:rPr>
                <w:rFonts w:ascii="Calibri" w:cs="Calibri" w:eastAsia="Calibri" w:hAnsi="Calibri"/>
                <w:sz w:val="18"/>
                <w:szCs w:val="18"/>
                <w:i w:val="1"/>
                <w:iCs w:val="1"/>
                <w:color w:val="51555C"/>
              </w:rPr>
              <w:t>Interest rate swaps</w:t>
            </w:r>
          </w:p>
        </w:tc>
        <w:tc>
          <w:tcPr>
            <w:tcW w:w="160" w:type="dxa"/>
            <w:vAlign w:val="bottom"/>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5,004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gridSpan w:val="2"/>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5,004</w:t>
            </w:r>
          </w:p>
        </w:tc>
        <w:tc>
          <w:tcPr>
            <w:tcW w:w="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Foreign currency forward contracts</w:t>
            </w:r>
          </w:p>
        </w:tc>
        <w:tc>
          <w:tcPr>
            <w:tcW w:w="160" w:type="dxa"/>
            <w:vAlign w:val="bottom"/>
            <w:tcBorders>
              <w:bottom w:val="single" w:sz="8" w:color="EBFBFF"/>
            </w:tcBorders>
            <w:shd w:val="clear" w:color="auto" w:fill="EBFBFF"/>
          </w:tcPr>
          <w:p>
            <w:pPr>
              <w:spacing w:after="0"/>
              <w:rPr>
                <w:sz w:val="21"/>
                <w:szCs w:val="21"/>
                <w:color w:val="auto"/>
              </w:rPr>
            </w:pP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536</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536</w:t>
            </w:r>
          </w:p>
        </w:tc>
        <w:tc>
          <w:tcPr>
            <w:tcW w:w="20" w:type="dxa"/>
            <w:vAlign w:val="bottom"/>
          </w:tcPr>
          <w:p>
            <w:pPr>
              <w:spacing w:after="0"/>
              <w:rPr>
                <w:sz w:val="21"/>
                <w:szCs w:val="2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Contngent consideraton obligatons</w:t>
            </w:r>
          </w:p>
        </w:tc>
        <w:tc>
          <w:tcPr>
            <w:tcW w:w="16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Calibri" w:cs="Calibri" w:eastAsia="Calibri" w:hAnsi="Calibri"/>
                <w:sz w:val="18"/>
                <w:szCs w:val="18"/>
                <w:color w:val="51555C"/>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51555C"/>
              </w:rPr>
              <w:t>1,403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1,403</w:t>
            </w:r>
          </w:p>
        </w:tc>
        <w:tc>
          <w:tcPr>
            <w:tcW w:w="20" w:type="dxa"/>
            <w:vAlign w:val="bottom"/>
          </w:tcPr>
          <w:p>
            <w:pPr>
              <w:spacing w:after="0"/>
              <w:rPr>
                <w:sz w:val="19"/>
                <w:szCs w:val="19"/>
                <w:color w:val="auto"/>
              </w:rPr>
            </w:pPr>
          </w:p>
        </w:tc>
      </w:tr>
      <w:tr>
        <w:trPr>
          <w:trHeight w:val="50"/>
        </w:trPr>
        <w:tc>
          <w:tcPr>
            <w:tcW w:w="494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2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2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4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2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494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Total fnancial liabilites</w:t>
            </w: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line="213" w:lineRule="exact"/>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5,540</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1,403</w:t>
            </w: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6,943</w:t>
            </w:r>
          </w:p>
        </w:tc>
        <w:tc>
          <w:tcPr>
            <w:tcW w:w="20" w:type="dxa"/>
            <w:vAlign w:val="bottom"/>
          </w:tcPr>
          <w:p>
            <w:pPr>
              <w:spacing w:after="0"/>
              <w:rPr>
                <w:sz w:val="21"/>
                <w:szCs w:val="21"/>
                <w:color w:val="auto"/>
              </w:rPr>
            </w:pPr>
          </w:p>
        </w:tc>
      </w:tr>
      <w:tr>
        <w:trPr>
          <w:trHeight w:val="270"/>
        </w:trPr>
        <w:tc>
          <w:tcPr>
            <w:tcW w:w="4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Fair value as of December 31, 2022</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Financial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Interest rate swaps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31,870</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31,870</w:t>
            </w:r>
          </w:p>
        </w:tc>
        <w:tc>
          <w:tcPr>
            <w:tcW w:w="20" w:type="dxa"/>
            <w:vAlign w:val="bottom"/>
          </w:tcPr>
          <w:p>
            <w:pPr>
              <w:spacing w:after="0"/>
              <w:rPr>
                <w:sz w:val="21"/>
                <w:szCs w:val="21"/>
                <w:color w:val="auto"/>
              </w:rPr>
            </w:pPr>
          </w:p>
        </w:tc>
      </w:tr>
      <w:tr>
        <w:trPr>
          <w:trHeight w:val="220"/>
        </w:trPr>
        <w:tc>
          <w:tcPr>
            <w:tcW w:w="4940" w:type="dxa"/>
            <w:vAlign w:val="bottom"/>
          </w:tcPr>
          <w:p>
            <w:pPr>
              <w:ind w:left="140"/>
              <w:spacing w:after="0"/>
              <w:rPr>
                <w:sz w:val="20"/>
                <w:szCs w:val="20"/>
                <w:color w:val="auto"/>
              </w:rPr>
            </w:pPr>
            <w:r>
              <w:rPr>
                <w:rFonts w:ascii="Calibri" w:cs="Calibri" w:eastAsia="Calibri" w:hAnsi="Calibri"/>
                <w:sz w:val="18"/>
                <w:szCs w:val="18"/>
                <w:i w:val="1"/>
                <w:iCs w:val="1"/>
                <w:color w:val="51555C"/>
              </w:rPr>
              <w:t>Foreign currency forward contracts</w:t>
            </w:r>
          </w:p>
        </w:tc>
        <w:tc>
          <w:tcPr>
            <w:tcW w:w="16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247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247</w:t>
            </w:r>
          </w:p>
        </w:tc>
        <w:tc>
          <w:tcPr>
            <w:tcW w:w="20" w:type="dxa"/>
            <w:vAlign w:val="bottom"/>
          </w:tcPr>
          <w:p>
            <w:pPr>
              <w:spacing w:after="0"/>
              <w:rPr>
                <w:sz w:val="19"/>
                <w:szCs w:val="19"/>
                <w:color w:val="auto"/>
              </w:rPr>
            </w:pPr>
          </w:p>
        </w:tc>
      </w:tr>
      <w:tr>
        <w:trPr>
          <w:trHeight w:val="50"/>
        </w:trPr>
        <w:tc>
          <w:tcPr>
            <w:tcW w:w="494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2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2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4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2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494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Total fnancial assets</w:t>
            </w: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line="213" w:lineRule="exact"/>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32,117</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line="213" w:lineRule="exact"/>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32,117</w:t>
            </w:r>
          </w:p>
        </w:tc>
        <w:tc>
          <w:tcPr>
            <w:tcW w:w="20" w:type="dxa"/>
            <w:vAlign w:val="bottom"/>
          </w:tcPr>
          <w:p>
            <w:pPr>
              <w:spacing w:after="0"/>
              <w:rPr>
                <w:sz w:val="21"/>
                <w:szCs w:val="21"/>
                <w:color w:val="auto"/>
              </w:rPr>
            </w:pPr>
          </w:p>
        </w:tc>
      </w:tr>
      <w:tr>
        <w:trPr>
          <w:trHeight w:val="270"/>
        </w:trPr>
        <w:tc>
          <w:tcPr>
            <w:tcW w:w="4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4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Fair value as of December 31, 2022</w:t>
            </w:r>
          </w:p>
        </w:tc>
        <w:tc>
          <w:tcPr>
            <w:tcW w:w="16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spacing w:after="0"/>
              <w:rPr>
                <w:sz w:val="21"/>
                <w:szCs w:val="21"/>
                <w:color w:val="auto"/>
              </w:rPr>
            </w:pPr>
          </w:p>
        </w:tc>
        <w:tc>
          <w:tcPr>
            <w:tcW w:w="13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Financial liabilites: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4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i w:val="1"/>
                <w:iCs w:val="1"/>
                <w:color w:val="51555C"/>
              </w:rPr>
              <w:t>Foreign currency forward contracts</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323</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w w:val="87"/>
              </w:rPr>
              <w:t>$</w:t>
            </w:r>
          </w:p>
        </w:tc>
        <w:tc>
          <w:tcPr>
            <w:tcW w:w="1440" w:type="dxa"/>
            <w:vAlign w:val="bottom"/>
            <w:tcBorders>
              <w:bottom w:val="single" w:sz="8" w:color="EBFBFF"/>
            </w:tcBorders>
            <w:gridSpan w:val="2"/>
            <w:shd w:val="clear" w:color="auto" w:fill="EBFBFF"/>
          </w:tcPr>
          <w:p>
            <w:pPr>
              <w:jc w:val="right"/>
              <w:ind w:right="160"/>
              <w:spacing w:after="0"/>
              <w:rPr>
                <w:sz w:val="20"/>
                <w:szCs w:val="20"/>
                <w:color w:val="auto"/>
              </w:rPr>
            </w:pPr>
            <w:r>
              <w:rPr>
                <w:rFonts w:ascii="Calibri" w:cs="Calibri" w:eastAsia="Calibri" w:hAnsi="Calibri"/>
                <w:sz w:val="18"/>
                <w:szCs w:val="18"/>
                <w:color w:val="51555C"/>
              </w:rPr>
              <w:t>—</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323</w:t>
            </w:r>
          </w:p>
        </w:tc>
        <w:tc>
          <w:tcPr>
            <w:tcW w:w="20" w:type="dxa"/>
            <w:vAlign w:val="bottom"/>
          </w:tcPr>
          <w:p>
            <w:pPr>
              <w:spacing w:after="0"/>
              <w:rPr>
                <w:sz w:val="21"/>
                <w:szCs w:val="21"/>
                <w:color w:val="auto"/>
              </w:rPr>
            </w:pPr>
          </w:p>
        </w:tc>
      </w:tr>
      <w:tr>
        <w:trPr>
          <w:trHeight w:val="220"/>
        </w:trPr>
        <w:tc>
          <w:tcPr>
            <w:tcW w:w="4940" w:type="dxa"/>
            <w:vAlign w:val="bottom"/>
          </w:tcPr>
          <w:p>
            <w:pPr>
              <w:ind w:left="20"/>
              <w:spacing w:after="0"/>
              <w:rPr>
                <w:sz w:val="20"/>
                <w:szCs w:val="20"/>
                <w:color w:val="auto"/>
              </w:rPr>
            </w:pPr>
            <w:r>
              <w:rPr>
                <w:rFonts w:ascii="Calibri" w:cs="Calibri" w:eastAsia="Calibri" w:hAnsi="Calibri"/>
                <w:sz w:val="18"/>
                <w:szCs w:val="18"/>
                <w:color w:val="51555C"/>
              </w:rPr>
              <w:t>Contngent consideraton obligatons</w:t>
            </w:r>
          </w:p>
        </w:tc>
        <w:tc>
          <w:tcPr>
            <w:tcW w:w="16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Calibri" w:cs="Calibri" w:eastAsia="Calibri" w:hAnsi="Calibri"/>
                <w:sz w:val="18"/>
                <w:szCs w:val="18"/>
                <w:color w:val="51555C"/>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Calibri" w:cs="Calibri" w:eastAsia="Calibri" w:hAnsi="Calibri"/>
                <w:sz w:val="18"/>
                <w:szCs w:val="18"/>
                <w:color w:val="51555C"/>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color w:val="51555C"/>
              </w:rPr>
              <w:t>2,710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2,710</w:t>
            </w:r>
          </w:p>
        </w:tc>
        <w:tc>
          <w:tcPr>
            <w:tcW w:w="20" w:type="dxa"/>
            <w:vAlign w:val="bottom"/>
          </w:tcPr>
          <w:p>
            <w:pPr>
              <w:spacing w:after="0"/>
              <w:rPr>
                <w:sz w:val="19"/>
                <w:szCs w:val="19"/>
                <w:color w:val="auto"/>
              </w:rPr>
            </w:pPr>
          </w:p>
        </w:tc>
      </w:tr>
      <w:tr>
        <w:trPr>
          <w:trHeight w:val="50"/>
        </w:trPr>
        <w:tc>
          <w:tcPr>
            <w:tcW w:w="494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2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260" w:type="dxa"/>
            <w:vAlign w:val="bottom"/>
            <w:tcBorders>
              <w:bottom w:val="single" w:sz="8" w:color="51555C"/>
            </w:tcBorders>
          </w:tcPr>
          <w:p>
            <w:pPr>
              <w:spacing w:after="0"/>
              <w:rPr>
                <w:sz w:val="4"/>
                <w:szCs w:val="4"/>
                <w:color w:val="auto"/>
              </w:rPr>
            </w:pPr>
          </w:p>
        </w:tc>
        <w:tc>
          <w:tcPr>
            <w:tcW w:w="120" w:type="dxa"/>
            <w:vAlign w:val="bottom"/>
            <w:tcBorders>
              <w:bottom w:val="single" w:sz="8" w:color="EBFBFF"/>
            </w:tcBorders>
          </w:tcPr>
          <w:p>
            <w:pPr>
              <w:spacing w:after="0"/>
              <w:rPr>
                <w:sz w:val="4"/>
                <w:szCs w:val="4"/>
                <w:color w:val="auto"/>
              </w:rPr>
            </w:pPr>
          </w:p>
        </w:tc>
        <w:tc>
          <w:tcPr>
            <w:tcW w:w="160" w:type="dxa"/>
            <w:vAlign w:val="bottom"/>
            <w:tcBorders>
              <w:bottom w:val="single" w:sz="8" w:color="51555C"/>
            </w:tcBorders>
          </w:tcPr>
          <w:p>
            <w:pPr>
              <w:spacing w:after="0"/>
              <w:rPr>
                <w:sz w:val="4"/>
                <w:szCs w:val="4"/>
                <w:color w:val="auto"/>
              </w:rPr>
            </w:pPr>
          </w:p>
        </w:tc>
        <w:tc>
          <w:tcPr>
            <w:tcW w:w="134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52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494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Total fnancial liabilites</w:t>
            </w: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420" w:type="dxa"/>
            <w:vAlign w:val="bottom"/>
            <w:tcBorders>
              <w:bottom w:val="single" w:sz="8" w:color="EBFBFF"/>
            </w:tcBorders>
            <w:gridSpan w:val="2"/>
            <w:shd w:val="clear" w:color="auto" w:fill="EBFBFF"/>
          </w:tcPr>
          <w:p>
            <w:pPr>
              <w:ind w:left="1100"/>
              <w:spacing w:after="0" w:line="213" w:lineRule="exact"/>
              <w:rPr>
                <w:sz w:val="20"/>
                <w:szCs w:val="20"/>
                <w:color w:val="auto"/>
              </w:rPr>
            </w:pPr>
            <w:r>
              <w:rPr>
                <w:rFonts w:ascii="Calibri" w:cs="Calibri" w:eastAsia="Calibri" w:hAnsi="Calibri"/>
                <w:sz w:val="18"/>
                <w:szCs w:val="18"/>
                <w:color w:val="51555C"/>
              </w:rPr>
              <w:t>—</w:t>
            </w:r>
          </w:p>
        </w:tc>
        <w:tc>
          <w:tcPr>
            <w:tcW w:w="24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rPr>
              <w:t>$</w:t>
            </w:r>
          </w:p>
        </w:tc>
        <w:tc>
          <w:tcPr>
            <w:tcW w:w="12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323</w:t>
            </w:r>
          </w:p>
        </w:tc>
        <w:tc>
          <w:tcPr>
            <w:tcW w:w="120" w:type="dxa"/>
            <w:vAlign w:val="bottom"/>
            <w:tcBorders>
              <w:bottom w:val="single" w:sz="8" w:color="EBFBFF"/>
            </w:tcBorders>
            <w:shd w:val="clear" w:color="auto" w:fill="EBFBFF"/>
          </w:tcPr>
          <w:p>
            <w:pPr>
              <w:spacing w:after="0"/>
              <w:rPr>
                <w:sz w:val="21"/>
                <w:szCs w:val="21"/>
                <w:color w:val="auto"/>
              </w:rPr>
            </w:pPr>
          </w:p>
        </w:tc>
        <w:tc>
          <w:tcPr>
            <w:tcW w:w="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w w:val="87"/>
              </w:rPr>
              <w:t>$</w:t>
            </w:r>
          </w:p>
        </w:tc>
        <w:tc>
          <w:tcPr>
            <w:tcW w:w="13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2,710</w:t>
            </w:r>
          </w:p>
        </w:tc>
        <w:tc>
          <w:tcPr>
            <w:tcW w:w="100" w:type="dxa"/>
            <w:vAlign w:val="bottom"/>
            <w:tcBorders>
              <w:bottom w:val="single" w:sz="8" w:color="EBFBFF"/>
            </w:tcBorders>
            <w:shd w:val="clear" w:color="auto" w:fill="EBFBFF"/>
          </w:tcPr>
          <w:p>
            <w:pPr>
              <w:spacing w:after="0"/>
              <w:rPr>
                <w:sz w:val="21"/>
                <w:szCs w:val="21"/>
                <w:color w:val="auto"/>
              </w:rPr>
            </w:pPr>
          </w:p>
        </w:tc>
        <w:tc>
          <w:tcPr>
            <w:tcW w:w="52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3,033</w:t>
            </w:r>
          </w:p>
        </w:tc>
        <w:tc>
          <w:tcPr>
            <w:tcW w:w="20" w:type="dxa"/>
            <w:vAlign w:val="bottom"/>
          </w:tcPr>
          <w:p>
            <w:pPr>
              <w:spacing w:after="0"/>
              <w:rPr>
                <w:sz w:val="21"/>
                <w:szCs w:val="21"/>
                <w:color w:val="auto"/>
              </w:rPr>
            </w:pPr>
          </w:p>
        </w:tc>
      </w:tr>
      <w:tr>
        <w:trPr>
          <w:trHeight w:val="20"/>
        </w:trPr>
        <w:tc>
          <w:tcPr>
            <w:tcW w:w="494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26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34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-4474210</wp:posOffset>
            </wp:positionV>
            <wp:extent cx="29914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0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 xml:space="preserve">Our derivatve instruments within the scope of Accountng Standards Codifcaton ("ASC") 815, </w:t>
      </w:r>
      <w:r>
        <w:rPr>
          <w:rFonts w:ascii="Calibri" w:cs="Calibri" w:eastAsia="Calibri" w:hAnsi="Calibri"/>
          <w:sz w:val="18"/>
          <w:szCs w:val="18"/>
          <w:i w:val="1"/>
          <w:iCs w:val="1"/>
          <w:color w:val="51555C"/>
        </w:rPr>
        <w:t>Derivatves and Hedging</w:t>
      </w:r>
      <w:r>
        <w:rPr>
          <w:rFonts w:ascii="Calibri" w:cs="Calibri" w:eastAsia="Calibri" w:hAnsi="Calibri"/>
          <w:sz w:val="18"/>
          <w:szCs w:val="18"/>
          <w:color w:val="51555C"/>
        </w:rPr>
        <w:t>, are required to be recorded at fair value. Our derivatve instruments that are recorded at fair value include interest rate swaps and foreign currency forward contracts. See Note 10 to these consolidated fnancial statements for additonal informaton about our derivatve instruments.</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fair value of our interest rate swaps and foreign currency forward contracts are based on model-driven valuatons using Secured Overnight Financing Rate ("SOFR") rates and foreign currency forward rates, respectvely, which are observable at commonly quoted intervals. Accordingly, our interest rate swaps and foreign currency forward contracts are classifed within Level 2 of the fair value hierarchy. Our fnancial contracts that were indexed to LIBOR were modifed to reference SOFR during the three months ended September 30, 2022. These modifcatons did not have a signifcant fnancial impact.</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Contngent consideraton obligatons arise from business acquisitons. The fair values are based on discounted cash fow analyses refectng a probability-weighted assessment approach derived from the likelihood of possible achievement of specifed performance measures or events and captures the contractual nature of the contngencies, commercial risk,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229870</wp:posOffset>
            </wp:positionV>
            <wp:extent cx="728980" cy="1885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85</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tme value of money. As the fair value measurements for our contngent consideraton obligatons contain signifcant unobservable inputs, they are classifed within Level 3 of the fair value hierarchy. See Note 3 to these consolidated fnancial statements for additonal informaton about our contngent consideraton obligatons.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believe the carrying amounts of our cash and cash equivalents, restricted cash, accounts receivable, trade accounts payable, accrued expenses and other current liabilites and due to customers approximate their fair values at December 31, 2023 and December 31, 2022, due to the immediate or short-term maturity of these instruments.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believe the carrying amount of our debt approximates its fair value at December 31, 2023 and December 31, 2022, as the debt bears interest rates that approximate market value. As SOFR rates are observable at commonly quoted intervals, our debt under the 2020 Credit Facility (as defned below) is classifed within Level 2 of the fair value hierarchy. The fair value of our fxed rate debt does not exceed the carrying amount.</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We did not transfer any assets or liabilites among the levels within the fair value hierarchy during the years ended December 31, 2023, 2022 and 2021.</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Non-recurring fair value measurements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Assets and liabilites that are measured at fair value on a non-recurring basis include long-lived assets, intangible assets, goodwill and operatng lease ROU assets. These assets are recognized at fair value during the period in which an acquisiton is completed or at lease commencement, from updated estmates and assumptons during the measurement period, or when they are considered to be impaired. These non-recurring fair value measurements, primarily for long-lived assets, intangible assets acquired and operatng lease ROU assets, are based on Level 3 unobservable inputs. In the event of an impairment, we determine the fair value of these assets other than goodwill using a discounted cash fow approach, which contains signifcant unobservable inputs and, therefore, is considered a Level 3 fair value measurement. The unobservable inputs in the analysis generally include future cash fow projectons and a discount rate. For goodwill impairment testng, we estmate fair value using market-based methods including the use of market capitalizaton and consideraton of a control premium.</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year ended December 31, 2023, we recorded noncash impairment charges of $5.6 million against certain operatng lease ROU assets and $1.1 million impairment charges against certain property and equipment assets. See Notes 11 and 7, respectvely, to these consolidated fnancial statements for additonal details.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year ended December 31, 2022, we recorded noncash impairment charges of $2.3 million against certain previously capitalized sofware development costs, $2.0 million against certain insignifcant customer relatonship intangible assets that were held for sale, $1.0 million against certain operatng lease ROU assets and insignifcant impairment charges against certain property and equipment assets. See Notes 11 and 7, respectvely, to these consolidated fnancial statements for additonal details.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the year ended December 31, 2021, we recorded noncash impairment charges of $3.6 million against certain operatng lease ROU assets and $1.7 million against certain property and equipment assets. See Notes 11 and 7, respectvely, to these consolidated fnancial statements for additonal details.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were no other non-recurring fair value adjustments during 2023, 2022 and 2021 except for certain business combinaton accountng adjustments to the inital fair value estmates of the assets acquired and liabilites assumed at the acquisiton date from updated estmates and assumptons during the measurement period. See Note 3 to these consolidated fnancial statements for additonal details.</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86</w:t>
      </w:r>
      <w:r>
        <w:rPr>
          <w:sz w:val="20"/>
          <w:szCs w:val="20"/>
          <w:color w:val="auto"/>
        </w:rPr>
        <w:tab/>
      </w:r>
      <w:r>
        <w:rPr>
          <w:sz w:val="1"/>
          <w:szCs w:val="1"/>
          <w:color w:val="auto"/>
        </w:rPr>
        <w:drawing>
          <wp:inline distT="0" distB="0" distL="0" distR="0">
            <wp:extent cx="728345" cy="18859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7. Property and Equipment and Sofware and Content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Property and equipment</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Property and equipment consisted of the following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4300" w:type="dxa"/>
            <w:vAlign w:val="bottom"/>
            <w:shd w:val="clear" w:color="auto" w:fill="004054"/>
          </w:tcPr>
          <w:p>
            <w:pPr>
              <w:spacing w:after="0"/>
              <w:rPr>
                <w:sz w:val="24"/>
                <w:szCs w:val="24"/>
                <w:color w:val="auto"/>
              </w:rPr>
            </w:pPr>
          </w:p>
        </w:tc>
        <w:tc>
          <w:tcPr>
            <w:tcW w:w="4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Estmated</w:t>
            </w:r>
          </w:p>
        </w:tc>
        <w:tc>
          <w:tcPr>
            <w:tcW w:w="400" w:type="dxa"/>
            <w:vAlign w:val="bottom"/>
            <w:shd w:val="clear" w:color="auto" w:fill="004054"/>
          </w:tcPr>
          <w:p>
            <w:pPr>
              <w:spacing w:after="0"/>
              <w:rPr>
                <w:sz w:val="24"/>
                <w:szCs w:val="24"/>
                <w:color w:val="auto"/>
              </w:rPr>
            </w:pPr>
          </w:p>
        </w:tc>
        <w:tc>
          <w:tcPr>
            <w:tcW w:w="960" w:type="dxa"/>
            <w:vAlign w:val="bottom"/>
            <w:shd w:val="clear" w:color="auto" w:fill="004054"/>
          </w:tcPr>
          <w:p>
            <w:pPr>
              <w:spacing w:after="0"/>
              <w:rPr>
                <w:sz w:val="24"/>
                <w:szCs w:val="24"/>
                <w:color w:val="auto"/>
              </w:rPr>
            </w:pPr>
          </w:p>
        </w:tc>
        <w:tc>
          <w:tcPr>
            <w:tcW w:w="300" w:type="dxa"/>
            <w:vAlign w:val="bottom"/>
            <w:shd w:val="clear" w:color="auto" w:fill="004054"/>
          </w:tcPr>
          <w:p>
            <w:pPr>
              <w:spacing w:after="0"/>
              <w:rPr>
                <w:sz w:val="24"/>
                <w:szCs w:val="24"/>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300" w:type="dxa"/>
            <w:vAlign w:val="bottom"/>
            <w:shd w:val="clear" w:color="auto" w:fill="004054"/>
          </w:tcPr>
          <w:p>
            <w:pPr>
              <w:spacing w:after="0"/>
              <w:rPr>
                <w:sz w:val="14"/>
                <w:szCs w:val="14"/>
                <w:color w:val="auto"/>
              </w:rPr>
            </w:pPr>
          </w:p>
        </w:tc>
        <w:tc>
          <w:tcPr>
            <w:tcW w:w="4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useful life</w:t>
            </w:r>
          </w:p>
        </w:tc>
        <w:tc>
          <w:tcPr>
            <w:tcW w:w="400" w:type="dxa"/>
            <w:vAlign w:val="bottom"/>
            <w:shd w:val="clear" w:color="auto" w:fill="004054"/>
          </w:tcPr>
          <w:p>
            <w:pPr>
              <w:spacing w:after="0"/>
              <w:rPr>
                <w:sz w:val="14"/>
                <w:szCs w:val="14"/>
                <w:color w:val="auto"/>
              </w:rPr>
            </w:pPr>
          </w:p>
        </w:tc>
        <w:tc>
          <w:tcPr>
            <w:tcW w:w="960" w:type="dxa"/>
            <w:vAlign w:val="bottom"/>
            <w:shd w:val="clear" w:color="auto" w:fill="004054"/>
          </w:tcPr>
          <w:p>
            <w:pPr>
              <w:spacing w:after="0"/>
              <w:rPr>
                <w:sz w:val="14"/>
                <w:szCs w:val="14"/>
                <w:color w:val="auto"/>
              </w:rPr>
            </w:pPr>
          </w:p>
        </w:tc>
        <w:tc>
          <w:tcPr>
            <w:tcW w:w="300" w:type="dxa"/>
            <w:vAlign w:val="bottom"/>
            <w:shd w:val="clear" w:color="auto" w:fill="004054"/>
          </w:tcPr>
          <w:p>
            <w:pPr>
              <w:spacing w:after="0"/>
              <w:rPr>
                <w:sz w:val="14"/>
                <w:szCs w:val="14"/>
                <w:color w:val="auto"/>
              </w:rPr>
            </w:pPr>
          </w:p>
        </w:tc>
        <w:tc>
          <w:tcPr>
            <w:tcW w:w="1060" w:type="dxa"/>
            <w:vAlign w:val="bottom"/>
            <w:shd w:val="clear" w:color="auto" w:fill="004054"/>
          </w:tcPr>
          <w:p>
            <w:pPr>
              <w:spacing w:after="0"/>
              <w:rPr>
                <w:sz w:val="14"/>
                <w:szCs w:val="14"/>
                <w:color w:val="auto"/>
              </w:rPr>
            </w:pP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2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w:t>
            </w:r>
          </w:p>
        </w:tc>
        <w:tc>
          <w:tcPr>
            <w:tcW w:w="400" w:type="dxa"/>
            <w:vAlign w:val="bottom"/>
            <w:shd w:val="clear" w:color="auto" w:fill="004054"/>
          </w:tcPr>
          <w:p>
            <w:pPr>
              <w:spacing w:after="0"/>
              <w:rPr>
                <w:sz w:val="15"/>
                <w:szCs w:val="15"/>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00" w:type="dxa"/>
            <w:vAlign w:val="bottom"/>
            <w:shd w:val="clear" w:color="auto" w:fill="004054"/>
          </w:tcPr>
          <w:p>
            <w:pPr>
              <w:spacing w:after="0"/>
              <w:rPr>
                <w:sz w:val="15"/>
                <w:szCs w:val="15"/>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300" w:type="dxa"/>
            <w:vAlign w:val="bottom"/>
            <w:shd w:val="clear" w:color="auto" w:fill="004054"/>
          </w:tcPr>
          <w:p>
            <w:pPr>
              <w:spacing w:after="0"/>
              <w:rPr>
                <w:sz w:val="6"/>
                <w:szCs w:val="6"/>
                <w:color w:val="auto"/>
              </w:rPr>
            </w:pPr>
          </w:p>
        </w:tc>
        <w:tc>
          <w:tcPr>
            <w:tcW w:w="422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0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Land</w:t>
            </w:r>
          </w:p>
        </w:tc>
        <w:tc>
          <w:tcPr>
            <w:tcW w:w="4620" w:type="dxa"/>
            <w:vAlign w:val="bottom"/>
            <w:tcBorders>
              <w:bottom w:val="single" w:sz="8" w:color="EBFBFF"/>
            </w:tcBorders>
            <w:gridSpan w:val="2"/>
            <w:shd w:val="clear" w:color="auto" w:fill="EBFBFF"/>
          </w:tcPr>
          <w:p>
            <w:pPr>
              <w:jc w:val="right"/>
              <w:ind w:right="210"/>
              <w:spacing w:after="0"/>
              <w:rPr>
                <w:sz w:val="20"/>
                <w:szCs w:val="20"/>
                <w:color w:val="auto"/>
              </w:rPr>
            </w:pPr>
            <w:r>
              <w:rPr>
                <w:rFonts w:ascii="Calibri" w:cs="Calibri" w:eastAsia="Calibri" w:hAnsi="Calibri"/>
                <w:sz w:val="18"/>
                <w:szCs w:val="18"/>
                <w:color w:val="51555C"/>
              </w:rPr>
              <w:t>— $</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9,548</w:t>
            </w:r>
          </w:p>
        </w:tc>
        <w:tc>
          <w:tcPr>
            <w:tcW w:w="300" w:type="dxa"/>
            <w:vAlign w:val="bottom"/>
            <w:tcBorders>
              <w:bottom w:val="single" w:sz="8" w:color="EBFBFF"/>
            </w:tcBorders>
            <w:shd w:val="clear" w:color="auto" w:fill="EBFBFF"/>
          </w:tcPr>
          <w:p>
            <w:pPr>
              <w:jc w:val="right"/>
              <w:ind w:right="110"/>
              <w:spacing w:after="0"/>
              <w:rPr>
                <w:sz w:val="20"/>
                <w:szCs w:val="20"/>
                <w:color w:val="auto"/>
              </w:rPr>
            </w:pPr>
            <w:r>
              <w:rPr>
                <w:rFonts w:ascii="Calibri" w:cs="Calibri" w:eastAsia="Calibri" w:hAnsi="Calibri"/>
                <w:sz w:val="18"/>
                <w:szCs w:val="18"/>
                <w:color w:val="51555C"/>
                <w:w w:val="87"/>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Calibri" w:cs="Calibri" w:eastAsia="Calibri" w:hAnsi="Calibri"/>
                <w:sz w:val="18"/>
                <w:szCs w:val="18"/>
                <w:color w:val="51555C"/>
              </w:rPr>
              <w:t>Building</w:t>
            </w:r>
          </w:p>
        </w:tc>
        <w:tc>
          <w:tcPr>
            <w:tcW w:w="4220" w:type="dxa"/>
            <w:vAlign w:val="bottom"/>
          </w:tcPr>
          <w:p>
            <w:pPr>
              <w:jc w:val="right"/>
              <w:spacing w:after="0"/>
              <w:rPr>
                <w:sz w:val="20"/>
                <w:szCs w:val="20"/>
                <w:color w:val="auto"/>
              </w:rPr>
            </w:pPr>
            <w:r>
              <w:rPr>
                <w:rFonts w:ascii="Calibri" w:cs="Calibri" w:eastAsia="Calibri" w:hAnsi="Calibri"/>
                <w:sz w:val="18"/>
                <w:szCs w:val="18"/>
                <w:color w:val="51555C"/>
              </w:rPr>
              <w:t>39</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61,284</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61,284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Building improvements</w:t>
            </w:r>
          </w:p>
        </w:tc>
        <w:tc>
          <w:tcPr>
            <w:tcW w:w="42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7 - 20</w:t>
            </w:r>
          </w:p>
        </w:tc>
        <w:tc>
          <w:tcPr>
            <w:tcW w:w="400" w:type="dxa"/>
            <w:vAlign w:val="bottom"/>
            <w:tcBorders>
              <w:bottom w:val="single" w:sz="8" w:color="EBFBFF"/>
            </w:tcBorders>
            <w:shd w:val="clear" w:color="auto" w:fill="EBFBFF"/>
          </w:tcPr>
          <w:p>
            <w:pPr>
              <w:spacing w:after="0"/>
              <w:rPr>
                <w:sz w:val="24"/>
                <w:szCs w:val="24"/>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11,720</w:t>
            </w:r>
          </w:p>
        </w:tc>
        <w:tc>
          <w:tcPr>
            <w:tcW w:w="30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10,874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Calibri" w:cs="Calibri" w:eastAsia="Calibri" w:hAnsi="Calibri"/>
                <w:sz w:val="18"/>
                <w:szCs w:val="18"/>
                <w:color w:val="51555C"/>
              </w:rPr>
              <w:t>Equipment</w:t>
            </w:r>
          </w:p>
        </w:tc>
        <w:tc>
          <w:tcPr>
            <w:tcW w:w="4220" w:type="dxa"/>
            <w:vAlign w:val="bottom"/>
            <w:vMerge w:val="restart"/>
          </w:tcPr>
          <w:p>
            <w:pPr>
              <w:jc w:val="right"/>
              <w:spacing w:after="0"/>
              <w:rPr>
                <w:sz w:val="20"/>
                <w:szCs w:val="20"/>
                <w:color w:val="auto"/>
              </w:rPr>
            </w:pPr>
            <w:r>
              <w:rPr>
                <w:rFonts w:ascii="Calibri" w:cs="Calibri" w:eastAsia="Calibri" w:hAnsi="Calibri"/>
                <w:sz w:val="18"/>
                <w:szCs w:val="18"/>
                <w:color w:val="51555C"/>
              </w:rPr>
              <w:t>1 - 5</w:t>
            </w:r>
          </w:p>
        </w:tc>
        <w:tc>
          <w:tcPr>
            <w:tcW w:w="4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Calibri" w:cs="Calibri" w:eastAsia="Calibri" w:hAnsi="Calibri"/>
                <w:sz w:val="18"/>
                <w:szCs w:val="18"/>
                <w:color w:val="51555C"/>
              </w:rPr>
              <w:t>2,646</w:t>
            </w:r>
          </w:p>
        </w:tc>
        <w:tc>
          <w:tcPr>
            <w:tcW w:w="3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51555C"/>
              </w:rPr>
              <w:t>2,312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4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Computer hardware</w:t>
            </w:r>
          </w:p>
        </w:tc>
        <w:tc>
          <w:tcPr>
            <w:tcW w:w="422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1 - 5</w:t>
            </w:r>
          </w:p>
        </w:tc>
        <w:tc>
          <w:tcPr>
            <w:tcW w:w="400" w:type="dxa"/>
            <w:vAlign w:val="bottom"/>
            <w:shd w:val="clear" w:color="auto" w:fill="EBFBFF"/>
          </w:tcPr>
          <w:p>
            <w:pPr>
              <w:spacing w:after="0"/>
              <w:rPr>
                <w:sz w:val="19"/>
                <w:szCs w:val="19"/>
                <w:color w:val="auto"/>
              </w:rPr>
            </w:pPr>
          </w:p>
        </w:tc>
        <w:tc>
          <w:tcPr>
            <w:tcW w:w="96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50,064</w:t>
            </w:r>
          </w:p>
        </w:tc>
        <w:tc>
          <w:tcPr>
            <w:tcW w:w="300" w:type="dxa"/>
            <w:vAlign w:val="bottom"/>
            <w:shd w:val="clear" w:color="auto" w:fill="EBFBFF"/>
          </w:tcPr>
          <w:p>
            <w:pPr>
              <w:spacing w:after="0"/>
              <w:rPr>
                <w:sz w:val="19"/>
                <w:szCs w:val="19"/>
                <w:color w:val="auto"/>
              </w:rPr>
            </w:pPr>
          </w:p>
        </w:tc>
        <w:tc>
          <w:tcPr>
            <w:tcW w:w="106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47,886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300" w:type="dxa"/>
            <w:vAlign w:val="bottom"/>
            <w:tcBorders>
              <w:bottom w:val="single" w:sz="8" w:color="EBFBFF"/>
            </w:tcBorders>
            <w:shd w:val="clear" w:color="auto" w:fill="EBFBFF"/>
          </w:tcPr>
          <w:p>
            <w:pPr>
              <w:spacing w:after="0"/>
              <w:rPr>
                <w:sz w:val="7"/>
                <w:szCs w:val="7"/>
                <w:color w:val="auto"/>
              </w:rPr>
            </w:pPr>
          </w:p>
        </w:tc>
        <w:tc>
          <w:tcPr>
            <w:tcW w:w="4220" w:type="dxa"/>
            <w:vAlign w:val="bottom"/>
            <w:tcBorders>
              <w:bottom w:val="single" w:sz="8" w:color="EBFBFF"/>
            </w:tcBorders>
            <w:vMerge w:val="continue"/>
            <w:shd w:val="clear" w:color="auto" w:fill="EBFBFF"/>
          </w:tcPr>
          <w:p>
            <w:pPr>
              <w:spacing w:after="0"/>
              <w:rPr>
                <w:sz w:val="7"/>
                <w:szCs w:val="7"/>
                <w:color w:val="auto"/>
              </w:rPr>
            </w:pPr>
          </w:p>
        </w:tc>
        <w:tc>
          <w:tcPr>
            <w:tcW w:w="400" w:type="dxa"/>
            <w:vAlign w:val="bottom"/>
            <w:tcBorders>
              <w:bottom w:val="single" w:sz="8" w:color="EBFBFF"/>
            </w:tcBorders>
            <w:shd w:val="clear" w:color="auto" w:fill="EBFBFF"/>
          </w:tcPr>
          <w:p>
            <w:pPr>
              <w:spacing w:after="0"/>
              <w:rPr>
                <w:sz w:val="7"/>
                <w:szCs w:val="7"/>
                <w:color w:val="auto"/>
              </w:rPr>
            </w:pPr>
          </w:p>
        </w:tc>
        <w:tc>
          <w:tcPr>
            <w:tcW w:w="960" w:type="dxa"/>
            <w:vAlign w:val="bottom"/>
            <w:tcBorders>
              <w:bottom w:val="single" w:sz="8" w:color="EBFBFF"/>
            </w:tcBorders>
            <w:vMerge w:val="continue"/>
            <w:shd w:val="clear" w:color="auto" w:fill="EBFBFF"/>
          </w:tcPr>
          <w:p>
            <w:pPr>
              <w:spacing w:after="0"/>
              <w:rPr>
                <w:sz w:val="7"/>
                <w:szCs w:val="7"/>
                <w:color w:val="auto"/>
              </w:rPr>
            </w:pPr>
          </w:p>
        </w:tc>
        <w:tc>
          <w:tcPr>
            <w:tcW w:w="300" w:type="dxa"/>
            <w:vAlign w:val="bottom"/>
            <w:tcBorders>
              <w:bottom w:val="single" w:sz="8" w:color="EBFBFF"/>
            </w:tcBorders>
            <w:shd w:val="clear" w:color="auto" w:fill="EBFBFF"/>
          </w:tcPr>
          <w:p>
            <w:pPr>
              <w:spacing w:after="0"/>
              <w:rPr>
                <w:sz w:val="7"/>
                <w:szCs w:val="7"/>
                <w:color w:val="auto"/>
              </w:rPr>
            </w:pPr>
          </w:p>
        </w:tc>
        <w:tc>
          <w:tcPr>
            <w:tcW w:w="1060" w:type="dxa"/>
            <w:vAlign w:val="bottom"/>
            <w:tcBorders>
              <w:bottom w:val="single" w:sz="8" w:color="EBFBFF"/>
            </w:tcBorders>
            <w:vMerge w:val="continue"/>
            <w:shd w:val="clear" w:color="auto" w:fill="EBFB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0"/>
              <w:spacing w:after="0"/>
              <w:rPr>
                <w:sz w:val="20"/>
                <w:szCs w:val="20"/>
                <w:color w:val="auto"/>
              </w:rPr>
            </w:pPr>
            <w:r>
              <w:rPr>
                <w:rFonts w:ascii="Calibri" w:cs="Calibri" w:eastAsia="Calibri" w:hAnsi="Calibri"/>
                <w:sz w:val="18"/>
                <w:szCs w:val="18"/>
                <w:color w:val="51555C"/>
              </w:rPr>
              <w:t>Computer sofware</w:t>
            </w:r>
          </w:p>
        </w:tc>
        <w:tc>
          <w:tcPr>
            <w:tcW w:w="4220" w:type="dxa"/>
            <w:vAlign w:val="bottom"/>
            <w:vMerge w:val="restart"/>
          </w:tcPr>
          <w:p>
            <w:pPr>
              <w:jc w:val="right"/>
              <w:spacing w:after="0"/>
              <w:rPr>
                <w:sz w:val="20"/>
                <w:szCs w:val="20"/>
                <w:color w:val="auto"/>
              </w:rPr>
            </w:pPr>
            <w:r>
              <w:rPr>
                <w:rFonts w:ascii="Calibri" w:cs="Calibri" w:eastAsia="Calibri" w:hAnsi="Calibri"/>
                <w:sz w:val="18"/>
                <w:szCs w:val="18"/>
                <w:color w:val="51555C"/>
              </w:rPr>
              <w:t>1 - 5</w:t>
            </w:r>
          </w:p>
        </w:tc>
        <w:tc>
          <w:tcPr>
            <w:tcW w:w="4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Calibri" w:cs="Calibri" w:eastAsia="Calibri" w:hAnsi="Calibri"/>
                <w:sz w:val="18"/>
                <w:szCs w:val="18"/>
                <w:color w:val="51555C"/>
              </w:rPr>
              <w:t>21,982</w:t>
            </w:r>
          </w:p>
        </w:tc>
        <w:tc>
          <w:tcPr>
            <w:tcW w:w="3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51555C"/>
              </w:rPr>
              <w:t>20,299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Constructon in progress</w:t>
            </w:r>
          </w:p>
        </w:tc>
        <w:tc>
          <w:tcPr>
            <w:tcW w:w="4620" w:type="dxa"/>
            <w:vAlign w:val="bottom"/>
            <w:tcBorders>
              <w:bottom w:val="single" w:sz="8" w:color="EBFBFF"/>
            </w:tcBorders>
            <w:gridSpan w:val="2"/>
            <w:shd w:val="clear" w:color="auto" w:fill="EBFBFF"/>
          </w:tcPr>
          <w:p>
            <w:pPr>
              <w:jc w:val="right"/>
              <w:ind w:right="370"/>
              <w:spacing w:after="0"/>
              <w:rPr>
                <w:sz w:val="20"/>
                <w:szCs w:val="20"/>
                <w:color w:val="auto"/>
              </w:rPr>
            </w:pPr>
            <w:r>
              <w:rPr>
                <w:rFonts w:ascii="Calibri" w:cs="Calibri" w:eastAsia="Calibri" w:hAnsi="Calibri"/>
                <w:sz w:val="18"/>
                <w:szCs w:val="18"/>
                <w:color w:val="51555C"/>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1,611</w:t>
            </w:r>
          </w:p>
        </w:tc>
        <w:tc>
          <w:tcPr>
            <w:tcW w:w="30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Calibri" w:cs="Calibri" w:eastAsia="Calibri" w:hAnsi="Calibri"/>
                <w:sz w:val="18"/>
                <w:szCs w:val="18"/>
                <w:color w:val="51555C"/>
              </w:rPr>
              <w:t>Furniture and fxtures</w:t>
            </w:r>
          </w:p>
        </w:tc>
        <w:tc>
          <w:tcPr>
            <w:tcW w:w="4220" w:type="dxa"/>
            <w:vAlign w:val="bottom"/>
            <w:vMerge w:val="restart"/>
          </w:tcPr>
          <w:p>
            <w:pPr>
              <w:jc w:val="right"/>
              <w:spacing w:after="0"/>
              <w:rPr>
                <w:sz w:val="20"/>
                <w:szCs w:val="20"/>
                <w:color w:val="auto"/>
              </w:rPr>
            </w:pPr>
            <w:r>
              <w:rPr>
                <w:rFonts w:ascii="Calibri" w:cs="Calibri" w:eastAsia="Calibri" w:hAnsi="Calibri"/>
                <w:sz w:val="18"/>
                <w:szCs w:val="18"/>
                <w:color w:val="51555C"/>
              </w:rPr>
              <w:t>2 - 7</w:t>
            </w:r>
          </w:p>
        </w:tc>
        <w:tc>
          <w:tcPr>
            <w:tcW w:w="4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Calibri" w:cs="Calibri" w:eastAsia="Calibri" w:hAnsi="Calibri"/>
                <w:sz w:val="18"/>
                <w:szCs w:val="18"/>
                <w:color w:val="51555C"/>
              </w:rPr>
              <w:t>3,187</w:t>
            </w:r>
          </w:p>
        </w:tc>
        <w:tc>
          <w:tcPr>
            <w:tcW w:w="3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51555C"/>
              </w:rPr>
              <w:t>3,264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300" w:type="dxa"/>
            <w:vAlign w:val="bottom"/>
          </w:tcPr>
          <w:p>
            <w:pPr>
              <w:spacing w:after="0"/>
              <w:rPr>
                <w:sz w:val="4"/>
                <w:szCs w:val="4"/>
                <w:color w:val="auto"/>
              </w:rPr>
            </w:pPr>
          </w:p>
        </w:tc>
        <w:tc>
          <w:tcPr>
            <w:tcW w:w="4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Leasehold improvements</w:t>
            </w:r>
          </w:p>
        </w:tc>
        <w:tc>
          <w:tcPr>
            <w:tcW w:w="4620" w:type="dxa"/>
            <w:vAlign w:val="bottom"/>
            <w:tcBorders>
              <w:bottom w:val="single" w:sz="8" w:color="EBFBFF"/>
            </w:tcBorders>
            <w:gridSpan w:val="2"/>
            <w:shd w:val="clear" w:color="auto" w:fill="EBFBFF"/>
          </w:tcPr>
          <w:p>
            <w:pPr>
              <w:jc w:val="right"/>
              <w:ind w:right="330"/>
              <w:spacing w:after="0"/>
              <w:rPr>
                <w:sz w:val="20"/>
                <w:szCs w:val="20"/>
                <w:color w:val="auto"/>
              </w:rPr>
            </w:pPr>
            <w:r>
              <w:rPr>
                <w:rFonts w:ascii="Calibri" w:cs="Calibri" w:eastAsia="Calibri" w:hAnsi="Calibri"/>
                <w:sz w:val="18"/>
                <w:szCs w:val="18"/>
                <w:color w:val="51555C"/>
              </w:rPr>
              <w:t>Lesser of lease term or estmated useful life</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10,345</w:t>
            </w:r>
          </w:p>
        </w:tc>
        <w:tc>
          <w:tcPr>
            <w:tcW w:w="30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11,822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140"/>
              <w:spacing w:after="0" w:line="199" w:lineRule="exact"/>
              <w:rPr>
                <w:sz w:val="20"/>
                <w:szCs w:val="20"/>
                <w:color w:val="auto"/>
              </w:rPr>
            </w:pPr>
            <w:r>
              <w:rPr>
                <w:rFonts w:ascii="Calibri" w:cs="Calibri" w:eastAsia="Calibri" w:hAnsi="Calibri"/>
                <w:sz w:val="18"/>
                <w:szCs w:val="18"/>
                <w:color w:val="51555C"/>
              </w:rPr>
              <w:t>Total property and equipment</w:t>
            </w:r>
          </w:p>
        </w:tc>
        <w:tc>
          <w:tcPr>
            <w:tcW w:w="4220" w:type="dxa"/>
            <w:vAlign w:val="bottom"/>
          </w:tcPr>
          <w:p>
            <w:pPr>
              <w:spacing w:after="0"/>
              <w:rPr>
                <w:sz w:val="18"/>
                <w:szCs w:val="18"/>
                <w:color w:val="auto"/>
              </w:rPr>
            </w:pPr>
          </w:p>
        </w:tc>
        <w:tc>
          <w:tcPr>
            <w:tcW w:w="400" w:type="dxa"/>
            <w:vAlign w:val="bottom"/>
            <w:tcBorders>
              <w:top w:val="single" w:sz="8" w:color="51555C"/>
            </w:tcBorders>
          </w:tcPr>
          <w:p>
            <w:pPr>
              <w:spacing w:after="0"/>
              <w:rPr>
                <w:sz w:val="18"/>
                <w:szCs w:val="18"/>
                <w:color w:val="auto"/>
              </w:rPr>
            </w:pPr>
          </w:p>
        </w:tc>
        <w:tc>
          <w:tcPr>
            <w:tcW w:w="9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172,387</w:t>
            </w:r>
          </w:p>
        </w:tc>
        <w:tc>
          <w:tcPr>
            <w:tcW w:w="300" w:type="dxa"/>
            <w:vAlign w:val="bottom"/>
            <w:tcBorders>
              <w:top w:val="single" w:sz="8" w:color="51555C"/>
            </w:tcBorders>
          </w:tcPr>
          <w:p>
            <w:pPr>
              <w:spacing w:after="0"/>
              <w:rPr>
                <w:sz w:val="18"/>
                <w:szCs w:val="18"/>
                <w:color w:val="auto"/>
              </w:rPr>
            </w:pPr>
          </w:p>
        </w:tc>
        <w:tc>
          <w:tcPr>
            <w:tcW w:w="10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170,789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4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3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accumulated depreciaton</w:t>
            </w:r>
          </w:p>
        </w:tc>
        <w:tc>
          <w:tcPr>
            <w:tcW w:w="4220" w:type="dxa"/>
            <w:vAlign w:val="bottom"/>
            <w:tcBorders>
              <w:bottom w:val="single" w:sz="8" w:color="EBFBFF"/>
            </w:tcBorders>
            <w:shd w:val="clear" w:color="auto" w:fill="EBFBFF"/>
          </w:tcPr>
          <w:p>
            <w:pPr>
              <w:spacing w:after="0"/>
              <w:rPr>
                <w:sz w:val="23"/>
                <w:szCs w:val="23"/>
                <w:color w:val="auto"/>
              </w:rPr>
            </w:pPr>
          </w:p>
        </w:tc>
        <w:tc>
          <w:tcPr>
            <w:tcW w:w="40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(73,698)</w:t>
            </w:r>
          </w:p>
        </w:tc>
        <w:tc>
          <w:tcPr>
            <w:tcW w:w="30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(63,363)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line="199" w:lineRule="exact"/>
              <w:rPr>
                <w:sz w:val="20"/>
                <w:szCs w:val="20"/>
                <w:color w:val="auto"/>
              </w:rPr>
            </w:pPr>
            <w:r>
              <w:rPr>
                <w:rFonts w:ascii="Calibri" w:cs="Calibri" w:eastAsia="Calibri" w:hAnsi="Calibri"/>
                <w:sz w:val="18"/>
                <w:szCs w:val="18"/>
                <w:color w:val="51555C"/>
              </w:rPr>
              <w:t>Property and equipment, net</w:t>
            </w:r>
          </w:p>
        </w:tc>
        <w:tc>
          <w:tcPr>
            <w:tcW w:w="4220" w:type="dxa"/>
            <w:vAlign w:val="bottom"/>
          </w:tcPr>
          <w:p>
            <w:pPr>
              <w:spacing w:after="0"/>
              <w:rPr>
                <w:sz w:val="18"/>
                <w:szCs w:val="18"/>
                <w:color w:val="auto"/>
              </w:rPr>
            </w:pPr>
          </w:p>
        </w:tc>
        <w:tc>
          <w:tcPr>
            <w:tcW w:w="400" w:type="dxa"/>
            <w:vAlign w:val="bottom"/>
            <w:tcBorders>
              <w:top w:val="single" w:sz="8" w:color="51555C"/>
            </w:tcBorders>
          </w:tcPr>
          <w:p>
            <w:pPr>
              <w:jc w:val="right"/>
              <w:ind w:right="210"/>
              <w:spacing w:after="0" w:line="213" w:lineRule="exact"/>
              <w:rPr>
                <w:sz w:val="20"/>
                <w:szCs w:val="20"/>
                <w:color w:val="auto"/>
              </w:rPr>
            </w:pPr>
            <w:r>
              <w:rPr>
                <w:rFonts w:ascii="Calibri" w:cs="Calibri" w:eastAsia="Calibri" w:hAnsi="Calibri"/>
                <w:sz w:val="18"/>
                <w:szCs w:val="18"/>
                <w:color w:val="51555C"/>
                <w:w w:val="87"/>
              </w:rPr>
              <w:t>$</w:t>
            </w:r>
          </w:p>
        </w:tc>
        <w:tc>
          <w:tcPr>
            <w:tcW w:w="9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98,689</w:t>
            </w:r>
          </w:p>
        </w:tc>
        <w:tc>
          <w:tcPr>
            <w:tcW w:w="300" w:type="dxa"/>
            <w:vAlign w:val="bottom"/>
            <w:tcBorders>
              <w:top w:val="single" w:sz="8" w:color="51555C"/>
            </w:tcBorders>
          </w:tcPr>
          <w:p>
            <w:pPr>
              <w:jc w:val="right"/>
              <w:ind w:right="110"/>
              <w:spacing w:after="0" w:line="213" w:lineRule="exact"/>
              <w:rPr>
                <w:sz w:val="20"/>
                <w:szCs w:val="20"/>
                <w:color w:val="auto"/>
              </w:rPr>
            </w:pPr>
            <w:r>
              <w:rPr>
                <w:rFonts w:ascii="Calibri" w:cs="Calibri" w:eastAsia="Calibri" w:hAnsi="Calibri"/>
                <w:sz w:val="18"/>
                <w:szCs w:val="18"/>
                <w:color w:val="51555C"/>
                <w:w w:val="87"/>
              </w:rPr>
              <w:t>$</w:t>
            </w:r>
          </w:p>
        </w:tc>
        <w:tc>
          <w:tcPr>
            <w:tcW w:w="10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107,426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300" w:type="dxa"/>
            <w:vAlign w:val="bottom"/>
            <w:tcBorders>
              <w:bottom w:val="single" w:sz="8" w:color="0CD973"/>
            </w:tcBorders>
          </w:tcPr>
          <w:p>
            <w:pPr>
              <w:spacing w:after="0"/>
              <w:rPr>
                <w:sz w:val="4"/>
                <w:szCs w:val="4"/>
                <w:color w:val="auto"/>
              </w:rPr>
            </w:pPr>
          </w:p>
        </w:tc>
        <w:tc>
          <w:tcPr>
            <w:tcW w:w="4220" w:type="dxa"/>
            <w:vAlign w:val="bottom"/>
            <w:tcBorders>
              <w:bottom w:val="single" w:sz="8" w:color="0CD973"/>
            </w:tcBorders>
          </w:tcPr>
          <w:p>
            <w:pPr>
              <w:spacing w:after="0"/>
              <w:rPr>
                <w:sz w:val="4"/>
                <w:szCs w:val="4"/>
                <w:color w:val="auto"/>
              </w:rPr>
            </w:pPr>
          </w:p>
        </w:tc>
        <w:tc>
          <w:tcPr>
            <w:tcW w:w="400" w:type="dxa"/>
            <w:vAlign w:val="bottom"/>
            <w:tcBorders>
              <w:bottom w:val="single" w:sz="8" w:color="0CD973"/>
            </w:tcBorders>
          </w:tcPr>
          <w:p>
            <w:pPr>
              <w:spacing w:after="0"/>
              <w:rPr>
                <w:sz w:val="4"/>
                <w:szCs w:val="4"/>
                <w:color w:val="auto"/>
              </w:rPr>
            </w:pPr>
          </w:p>
        </w:tc>
        <w:tc>
          <w:tcPr>
            <w:tcW w:w="960" w:type="dxa"/>
            <w:vAlign w:val="bottom"/>
            <w:tcBorders>
              <w:bottom w:val="single" w:sz="8" w:color="0CD973"/>
            </w:tcBorders>
          </w:tcPr>
          <w:p>
            <w:pPr>
              <w:spacing w:after="0"/>
              <w:rPr>
                <w:sz w:val="4"/>
                <w:szCs w:val="4"/>
                <w:color w:val="auto"/>
              </w:rPr>
            </w:pPr>
          </w:p>
        </w:tc>
        <w:tc>
          <w:tcPr>
            <w:tcW w:w="300" w:type="dxa"/>
            <w:vAlign w:val="bottom"/>
            <w:tcBorders>
              <w:bottom w:val="single" w:sz="8" w:color="0CD973"/>
            </w:tcBorders>
          </w:tcPr>
          <w:p>
            <w:pPr>
              <w:spacing w:after="0"/>
              <w:rPr>
                <w:sz w:val="4"/>
                <w:szCs w:val="4"/>
                <w:color w:val="auto"/>
              </w:rPr>
            </w:pPr>
          </w:p>
        </w:tc>
        <w:tc>
          <w:tcPr>
            <w:tcW w:w="106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-2494280</wp:posOffset>
            </wp:positionV>
            <wp:extent cx="17399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51555C"/>
        </w:rPr>
        <w:t>Depreciaton expense was $13.0 million, $14.1 million and $14.4 million for the years ended December 31, 2023, 2022 and 2021, respectvely.</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During the year ended December 31, 2023, we recorded noncash impairment charges of $1.1 million against certain property and equipment assets. These impairment charges resulted primarily from our entry into a sublease in July 2023 for a porton of our Washington, DC ofce locaton, which we previously closed in February 2023 to align with our remote-frst workforce strategy and are refected in general and administratve expense on the statements of comprehensive income.</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During the year ended December 31, 2022, we recorded insignifcant noncash impairment charges against certain property and equipment assets. These impairment charges resulted primarily from our decision to cease using a porton of our leased ofce space and are refected in general and administratve expense on the statements of comprehensive income.</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During the year ended December 31, 2021, we recorded noncash impairment charges of $1.7 million against certain property and equipment assets. These impairment charges resulted primarily from our decision to close our Austn ofce and are refected in general and administratve expense on the statements of comprehensive income.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Sofware and content development costs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Sofware and content development costs consisted of the following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7120" w:type="dxa"/>
            <w:vAlign w:val="bottom"/>
            <w:shd w:val="clear" w:color="auto" w:fill="004054"/>
          </w:tcPr>
          <w:p>
            <w:pPr>
              <w:spacing w:after="0"/>
              <w:rPr>
                <w:sz w:val="24"/>
                <w:szCs w:val="24"/>
                <w:color w:val="auto"/>
              </w:rPr>
            </w:pPr>
          </w:p>
        </w:tc>
        <w:tc>
          <w:tcPr>
            <w:tcW w:w="14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Estmated</w:t>
            </w:r>
          </w:p>
        </w:tc>
        <w:tc>
          <w:tcPr>
            <w:tcW w:w="380" w:type="dxa"/>
            <w:vAlign w:val="bottom"/>
            <w:shd w:val="clear" w:color="auto" w:fill="004054"/>
          </w:tcPr>
          <w:p>
            <w:pPr>
              <w:spacing w:after="0"/>
              <w:rPr>
                <w:sz w:val="24"/>
                <w:szCs w:val="24"/>
                <w:color w:val="auto"/>
              </w:rPr>
            </w:pPr>
          </w:p>
        </w:tc>
        <w:tc>
          <w:tcPr>
            <w:tcW w:w="980" w:type="dxa"/>
            <w:vAlign w:val="bottom"/>
            <w:shd w:val="clear" w:color="auto" w:fill="004054"/>
          </w:tcPr>
          <w:p>
            <w:pPr>
              <w:spacing w:after="0"/>
              <w:rPr>
                <w:sz w:val="24"/>
                <w:szCs w:val="24"/>
                <w:color w:val="auto"/>
              </w:rPr>
            </w:pPr>
          </w:p>
        </w:tc>
        <w:tc>
          <w:tcPr>
            <w:tcW w:w="300" w:type="dxa"/>
            <w:vAlign w:val="bottom"/>
            <w:shd w:val="clear" w:color="auto" w:fill="004054"/>
          </w:tcPr>
          <w:p>
            <w:pPr>
              <w:spacing w:after="0"/>
              <w:rPr>
                <w:sz w:val="24"/>
                <w:szCs w:val="24"/>
                <w:color w:val="auto"/>
              </w:rPr>
            </w:pPr>
          </w:p>
        </w:tc>
        <w:tc>
          <w:tcPr>
            <w:tcW w:w="10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120" w:type="dxa"/>
            <w:vAlign w:val="bottom"/>
            <w:vMerge w:val="restart"/>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4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useful life</w:t>
            </w:r>
          </w:p>
        </w:tc>
        <w:tc>
          <w:tcPr>
            <w:tcW w:w="380" w:type="dxa"/>
            <w:vAlign w:val="bottom"/>
            <w:shd w:val="clear" w:color="auto" w:fill="004054"/>
          </w:tcPr>
          <w:p>
            <w:pPr>
              <w:spacing w:after="0"/>
              <w:rPr>
                <w:sz w:val="15"/>
                <w:szCs w:val="15"/>
                <w:color w:val="auto"/>
              </w:rPr>
            </w:pPr>
          </w:p>
        </w:tc>
        <w:tc>
          <w:tcPr>
            <w:tcW w:w="9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00" w:type="dxa"/>
            <w:vAlign w:val="bottom"/>
            <w:shd w:val="clear" w:color="auto" w:fill="004054"/>
          </w:tcPr>
          <w:p>
            <w:pPr>
              <w:spacing w:after="0"/>
              <w:rPr>
                <w:sz w:val="15"/>
                <w:szCs w:val="15"/>
                <w:color w:val="auto"/>
              </w:rPr>
            </w:pPr>
          </w:p>
        </w:tc>
        <w:tc>
          <w:tcPr>
            <w:tcW w:w="106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20" w:type="dxa"/>
            <w:vAlign w:val="bottom"/>
            <w:vMerge w:val="continue"/>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w:t>
            </w:r>
          </w:p>
        </w:tc>
        <w:tc>
          <w:tcPr>
            <w:tcW w:w="380" w:type="dxa"/>
            <w:vAlign w:val="bottom"/>
            <w:shd w:val="clear" w:color="auto" w:fill="004054"/>
          </w:tcPr>
          <w:p>
            <w:pPr>
              <w:spacing w:after="0"/>
              <w:rPr>
                <w:sz w:val="15"/>
                <w:szCs w:val="15"/>
                <w:color w:val="auto"/>
              </w:rPr>
            </w:pPr>
          </w:p>
        </w:tc>
        <w:tc>
          <w:tcPr>
            <w:tcW w:w="980" w:type="dxa"/>
            <w:vAlign w:val="bottom"/>
            <w:vMerge w:val="continue"/>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060" w:type="dxa"/>
            <w:vAlign w:val="bottom"/>
            <w:vMerge w:val="continue"/>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7120" w:type="dxa"/>
            <w:vAlign w:val="bottom"/>
            <w:shd w:val="clear" w:color="auto" w:fill="004054"/>
          </w:tcPr>
          <w:p>
            <w:pPr>
              <w:spacing w:after="0"/>
              <w:rPr>
                <w:sz w:val="5"/>
                <w:szCs w:val="5"/>
                <w:color w:val="auto"/>
              </w:rPr>
            </w:pPr>
          </w:p>
        </w:tc>
        <w:tc>
          <w:tcPr>
            <w:tcW w:w="1400" w:type="dxa"/>
            <w:vAlign w:val="bottom"/>
            <w:shd w:val="clear" w:color="auto" w:fill="004054"/>
          </w:tcPr>
          <w:p>
            <w:pPr>
              <w:spacing w:after="0"/>
              <w:rPr>
                <w:sz w:val="5"/>
                <w:szCs w:val="5"/>
                <w:color w:val="auto"/>
              </w:rPr>
            </w:pPr>
          </w:p>
        </w:tc>
        <w:tc>
          <w:tcPr>
            <w:tcW w:w="38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300" w:type="dxa"/>
            <w:vAlign w:val="bottom"/>
            <w:shd w:val="clear" w:color="auto" w:fill="004054"/>
          </w:tcPr>
          <w:p>
            <w:pPr>
              <w:spacing w:after="0"/>
              <w:rPr>
                <w:sz w:val="5"/>
                <w:szCs w:val="5"/>
                <w:color w:val="auto"/>
              </w:rPr>
            </w:pPr>
          </w:p>
        </w:tc>
        <w:tc>
          <w:tcPr>
            <w:tcW w:w="106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712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Sofware development costs</w:t>
            </w:r>
          </w:p>
        </w:tc>
        <w:tc>
          <w:tcPr>
            <w:tcW w:w="140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3 - 7</w:t>
            </w:r>
          </w:p>
        </w:tc>
        <w:tc>
          <w:tcPr>
            <w:tcW w:w="380" w:type="dxa"/>
            <w:vAlign w:val="bottom"/>
            <w:vMerge w:val="restart"/>
            <w:shd w:val="clear" w:color="auto" w:fill="EBFBFF"/>
          </w:tcPr>
          <w:p>
            <w:pPr>
              <w:ind w:left="20"/>
              <w:spacing w:after="0"/>
              <w:rPr>
                <w:sz w:val="20"/>
                <w:szCs w:val="20"/>
                <w:color w:val="auto"/>
              </w:rPr>
            </w:pPr>
            <w:r>
              <w:rPr>
                <w:rFonts w:ascii="Calibri" w:cs="Calibri" w:eastAsia="Calibri" w:hAnsi="Calibri"/>
                <w:sz w:val="18"/>
                <w:szCs w:val="18"/>
                <w:color w:val="51555C"/>
              </w:rPr>
              <w:t>$</w:t>
            </w:r>
          </w:p>
        </w:tc>
        <w:tc>
          <w:tcPr>
            <w:tcW w:w="98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287,519</w:t>
            </w:r>
          </w:p>
        </w:tc>
        <w:tc>
          <w:tcPr>
            <w:tcW w:w="300" w:type="dxa"/>
            <w:vAlign w:val="bottom"/>
            <w:vMerge w:val="restart"/>
            <w:shd w:val="clear" w:color="auto" w:fill="EBFBFF"/>
          </w:tcPr>
          <w:p>
            <w:pPr>
              <w:jc w:val="right"/>
              <w:ind w:right="110"/>
              <w:spacing w:after="0"/>
              <w:rPr>
                <w:sz w:val="20"/>
                <w:szCs w:val="20"/>
                <w:color w:val="auto"/>
              </w:rPr>
            </w:pPr>
            <w:r>
              <w:rPr>
                <w:rFonts w:ascii="Calibri" w:cs="Calibri" w:eastAsia="Calibri" w:hAnsi="Calibri"/>
                <w:sz w:val="18"/>
                <w:szCs w:val="18"/>
                <w:color w:val="51555C"/>
                <w:w w:val="87"/>
              </w:rPr>
              <w:t>$</w:t>
            </w:r>
          </w:p>
        </w:tc>
        <w:tc>
          <w:tcPr>
            <w:tcW w:w="106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250,551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7120" w:type="dxa"/>
            <w:vAlign w:val="bottom"/>
            <w:tcBorders>
              <w:bottom w:val="single" w:sz="8" w:color="EBFBFF"/>
            </w:tcBorders>
            <w:shd w:val="clear" w:color="auto" w:fill="EBFBFF"/>
          </w:tcPr>
          <w:p>
            <w:pPr>
              <w:spacing w:after="0"/>
              <w:rPr>
                <w:sz w:val="7"/>
                <w:szCs w:val="7"/>
                <w:color w:val="auto"/>
              </w:rPr>
            </w:pPr>
          </w:p>
        </w:tc>
        <w:tc>
          <w:tcPr>
            <w:tcW w:w="1400" w:type="dxa"/>
            <w:vAlign w:val="bottom"/>
            <w:tcBorders>
              <w:bottom w:val="single" w:sz="8" w:color="EBFBFF"/>
            </w:tcBorders>
            <w:vMerge w:val="continue"/>
            <w:shd w:val="clear" w:color="auto" w:fill="EBFBFF"/>
          </w:tcPr>
          <w:p>
            <w:pPr>
              <w:spacing w:after="0"/>
              <w:rPr>
                <w:sz w:val="7"/>
                <w:szCs w:val="7"/>
                <w:color w:val="auto"/>
              </w:rPr>
            </w:pPr>
          </w:p>
        </w:tc>
        <w:tc>
          <w:tcPr>
            <w:tcW w:w="380" w:type="dxa"/>
            <w:vAlign w:val="bottom"/>
            <w:tcBorders>
              <w:bottom w:val="single" w:sz="8" w:color="EBFBFF"/>
            </w:tcBorders>
            <w:vMerge w:val="continue"/>
            <w:shd w:val="clear" w:color="auto" w:fill="EBFBFF"/>
          </w:tcPr>
          <w:p>
            <w:pPr>
              <w:spacing w:after="0"/>
              <w:rPr>
                <w:sz w:val="7"/>
                <w:szCs w:val="7"/>
                <w:color w:val="auto"/>
              </w:rPr>
            </w:pPr>
          </w:p>
        </w:tc>
        <w:tc>
          <w:tcPr>
            <w:tcW w:w="980" w:type="dxa"/>
            <w:vAlign w:val="bottom"/>
            <w:tcBorders>
              <w:bottom w:val="single" w:sz="8" w:color="EBFBFF"/>
            </w:tcBorders>
            <w:vMerge w:val="continue"/>
            <w:shd w:val="clear" w:color="auto" w:fill="EBFBFF"/>
          </w:tcPr>
          <w:p>
            <w:pPr>
              <w:spacing w:after="0"/>
              <w:rPr>
                <w:sz w:val="7"/>
                <w:szCs w:val="7"/>
                <w:color w:val="auto"/>
              </w:rPr>
            </w:pPr>
          </w:p>
        </w:tc>
        <w:tc>
          <w:tcPr>
            <w:tcW w:w="300" w:type="dxa"/>
            <w:vAlign w:val="bottom"/>
            <w:tcBorders>
              <w:bottom w:val="single" w:sz="8" w:color="EBFBFF"/>
            </w:tcBorders>
            <w:vMerge w:val="continue"/>
            <w:shd w:val="clear" w:color="auto" w:fill="EBFBFF"/>
          </w:tcPr>
          <w:p>
            <w:pPr>
              <w:spacing w:after="0"/>
              <w:rPr>
                <w:sz w:val="7"/>
                <w:szCs w:val="7"/>
                <w:color w:val="auto"/>
              </w:rPr>
            </w:pPr>
          </w:p>
        </w:tc>
        <w:tc>
          <w:tcPr>
            <w:tcW w:w="1060" w:type="dxa"/>
            <w:vAlign w:val="bottom"/>
            <w:tcBorders>
              <w:bottom w:val="single" w:sz="8" w:color="EBFBFF"/>
            </w:tcBorders>
            <w:vMerge w:val="continue"/>
            <w:shd w:val="clear" w:color="auto" w:fill="EBFB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7120" w:type="dxa"/>
            <w:vAlign w:val="bottom"/>
          </w:tcPr>
          <w:p>
            <w:pPr>
              <w:ind w:left="20"/>
              <w:spacing w:after="0"/>
              <w:rPr>
                <w:sz w:val="20"/>
                <w:szCs w:val="20"/>
                <w:color w:val="auto"/>
              </w:rPr>
            </w:pPr>
            <w:r>
              <w:rPr>
                <w:rFonts w:ascii="Calibri" w:cs="Calibri" w:eastAsia="Calibri" w:hAnsi="Calibri"/>
                <w:sz w:val="18"/>
                <w:szCs w:val="18"/>
                <w:color w:val="51555C"/>
              </w:rPr>
              <w:t>Content development costs</w:t>
            </w:r>
          </w:p>
        </w:tc>
        <w:tc>
          <w:tcPr>
            <w:tcW w:w="1400" w:type="dxa"/>
            <w:vAlign w:val="bottom"/>
          </w:tcPr>
          <w:p>
            <w:pPr>
              <w:jc w:val="right"/>
              <w:spacing w:after="0"/>
              <w:rPr>
                <w:sz w:val="20"/>
                <w:szCs w:val="20"/>
                <w:color w:val="auto"/>
              </w:rPr>
            </w:pPr>
            <w:r>
              <w:rPr>
                <w:rFonts w:ascii="Calibri" w:cs="Calibri" w:eastAsia="Calibri" w:hAnsi="Calibri"/>
                <w:sz w:val="18"/>
                <w:szCs w:val="18"/>
                <w:color w:val="51555C"/>
              </w:rPr>
              <w:t>5</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6,945</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3,409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7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1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accumulated amortzaton</w:t>
            </w:r>
          </w:p>
        </w:tc>
        <w:tc>
          <w:tcPr>
            <w:tcW w:w="1400" w:type="dxa"/>
            <w:vAlign w:val="bottom"/>
            <w:tcBorders>
              <w:bottom w:val="single" w:sz="8" w:color="EBFBFF"/>
            </w:tcBorders>
            <w:shd w:val="clear" w:color="auto" w:fill="EBFBFF"/>
          </w:tcPr>
          <w:p>
            <w:pPr>
              <w:spacing w:after="0"/>
              <w:rPr>
                <w:sz w:val="23"/>
                <w:szCs w:val="23"/>
                <w:color w:val="auto"/>
              </w:rPr>
            </w:pPr>
          </w:p>
        </w:tc>
        <w:tc>
          <w:tcPr>
            <w:tcW w:w="38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(134,270)</w:t>
            </w:r>
          </w:p>
        </w:tc>
        <w:tc>
          <w:tcPr>
            <w:tcW w:w="30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(112,937)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120" w:type="dxa"/>
            <w:vAlign w:val="bottom"/>
          </w:tcPr>
          <w:p>
            <w:pPr>
              <w:ind w:left="140"/>
              <w:spacing w:after="0"/>
              <w:rPr>
                <w:sz w:val="20"/>
                <w:szCs w:val="20"/>
                <w:color w:val="auto"/>
              </w:rPr>
            </w:pPr>
            <w:r>
              <w:rPr>
                <w:rFonts w:ascii="Calibri" w:cs="Calibri" w:eastAsia="Calibri" w:hAnsi="Calibri"/>
                <w:sz w:val="18"/>
                <w:szCs w:val="18"/>
                <w:color w:val="51555C"/>
              </w:rPr>
              <w:t>Sofware and content development costs, net</w:t>
            </w:r>
          </w:p>
        </w:tc>
        <w:tc>
          <w:tcPr>
            <w:tcW w:w="1400" w:type="dxa"/>
            <w:vAlign w:val="bottom"/>
          </w:tcPr>
          <w:p>
            <w:pPr>
              <w:spacing w:after="0"/>
              <w:rPr>
                <w:sz w:val="22"/>
                <w:szCs w:val="22"/>
                <w:color w:val="auto"/>
              </w:rPr>
            </w:pPr>
          </w:p>
        </w:tc>
        <w:tc>
          <w:tcPr>
            <w:tcW w:w="380" w:type="dxa"/>
            <w:vAlign w:val="bottom"/>
            <w:tcBorders>
              <w:top w:val="single" w:sz="8" w:color="51555C"/>
            </w:tcBorders>
          </w:tcPr>
          <w:p>
            <w:pPr>
              <w:ind w:left="20"/>
              <w:spacing w:after="0"/>
              <w:rPr>
                <w:sz w:val="20"/>
                <w:szCs w:val="20"/>
                <w:color w:val="auto"/>
              </w:rPr>
            </w:pPr>
            <w:r>
              <w:rPr>
                <w:rFonts w:ascii="Calibri" w:cs="Calibri" w:eastAsia="Calibri" w:hAnsi="Calibri"/>
                <w:sz w:val="18"/>
                <w:szCs w:val="18"/>
                <w:color w:val="51555C"/>
              </w:rPr>
              <w:t>$</w:t>
            </w:r>
          </w:p>
        </w:tc>
        <w:tc>
          <w:tcPr>
            <w:tcW w:w="980" w:type="dxa"/>
            <w:vAlign w:val="bottom"/>
            <w:tcBorders>
              <w:top w:val="single" w:sz="8" w:color="51555C"/>
            </w:tcBorders>
          </w:tcPr>
          <w:p>
            <w:pPr>
              <w:jc w:val="right"/>
              <w:spacing w:after="0"/>
              <w:rPr>
                <w:sz w:val="20"/>
                <w:szCs w:val="20"/>
                <w:color w:val="auto"/>
              </w:rPr>
            </w:pPr>
            <w:r>
              <w:rPr>
                <w:rFonts w:ascii="Calibri" w:cs="Calibri" w:eastAsia="Calibri" w:hAnsi="Calibri"/>
                <w:sz w:val="18"/>
                <w:szCs w:val="18"/>
                <w:color w:val="51555C"/>
              </w:rPr>
              <w:t>160,194</w:t>
            </w:r>
          </w:p>
        </w:tc>
        <w:tc>
          <w:tcPr>
            <w:tcW w:w="300" w:type="dxa"/>
            <w:vAlign w:val="bottom"/>
            <w:tcBorders>
              <w:top w:val="single" w:sz="8" w:color="51555C"/>
            </w:tcBorders>
          </w:tcPr>
          <w:p>
            <w:pPr>
              <w:jc w:val="right"/>
              <w:ind w:right="110"/>
              <w:spacing w:after="0"/>
              <w:rPr>
                <w:sz w:val="20"/>
                <w:szCs w:val="20"/>
                <w:color w:val="auto"/>
              </w:rPr>
            </w:pPr>
            <w:r>
              <w:rPr>
                <w:rFonts w:ascii="Calibri" w:cs="Calibri" w:eastAsia="Calibri" w:hAnsi="Calibri"/>
                <w:sz w:val="18"/>
                <w:szCs w:val="18"/>
                <w:color w:val="51555C"/>
                <w:w w:val="87"/>
              </w:rPr>
              <w:t>$</w:t>
            </w:r>
          </w:p>
        </w:tc>
        <w:tc>
          <w:tcPr>
            <w:tcW w:w="1060" w:type="dxa"/>
            <w:vAlign w:val="bottom"/>
            <w:tcBorders>
              <w:top w:val="single" w:sz="8" w:color="51555C"/>
            </w:tcBorders>
          </w:tcPr>
          <w:p>
            <w:pPr>
              <w:jc w:val="right"/>
              <w:spacing w:after="0"/>
              <w:rPr>
                <w:sz w:val="20"/>
                <w:szCs w:val="20"/>
                <w:color w:val="auto"/>
              </w:rPr>
            </w:pPr>
            <w:r>
              <w:rPr>
                <w:rFonts w:ascii="Calibri" w:cs="Calibri" w:eastAsia="Calibri" w:hAnsi="Calibri"/>
                <w:sz w:val="18"/>
                <w:szCs w:val="18"/>
                <w:color w:val="51555C"/>
              </w:rPr>
              <w:t>141,023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7120" w:type="dxa"/>
            <w:vAlign w:val="bottom"/>
            <w:tcBorders>
              <w:bottom w:val="single" w:sz="8" w:color="0CD973"/>
            </w:tcBorders>
          </w:tcPr>
          <w:p>
            <w:pPr>
              <w:spacing w:after="0"/>
              <w:rPr>
                <w:sz w:val="4"/>
                <w:szCs w:val="4"/>
                <w:color w:val="auto"/>
              </w:rPr>
            </w:pPr>
          </w:p>
        </w:tc>
        <w:tc>
          <w:tcPr>
            <w:tcW w:w="1400" w:type="dxa"/>
            <w:vAlign w:val="bottom"/>
            <w:tcBorders>
              <w:bottom w:val="single" w:sz="8" w:color="0CD973"/>
            </w:tcBorders>
          </w:tcPr>
          <w:p>
            <w:pPr>
              <w:spacing w:after="0"/>
              <w:rPr>
                <w:sz w:val="4"/>
                <w:szCs w:val="4"/>
                <w:color w:val="auto"/>
              </w:rPr>
            </w:pPr>
          </w:p>
        </w:tc>
        <w:tc>
          <w:tcPr>
            <w:tcW w:w="1360" w:type="dxa"/>
            <w:vAlign w:val="bottom"/>
            <w:tcBorders>
              <w:bottom w:val="single" w:sz="8" w:color="0CD973"/>
            </w:tcBorders>
            <w:gridSpan w:val="2"/>
          </w:tcPr>
          <w:p>
            <w:pPr>
              <w:spacing w:after="0"/>
              <w:rPr>
                <w:sz w:val="4"/>
                <w:szCs w:val="4"/>
                <w:color w:val="auto"/>
              </w:rPr>
            </w:pPr>
          </w:p>
        </w:tc>
        <w:tc>
          <w:tcPr>
            <w:tcW w:w="300" w:type="dxa"/>
            <w:vAlign w:val="bottom"/>
            <w:tcBorders>
              <w:bottom w:val="single" w:sz="8" w:color="0CD973"/>
            </w:tcBorders>
          </w:tcPr>
          <w:p>
            <w:pPr>
              <w:spacing w:after="0"/>
              <w:rPr>
                <w:sz w:val="4"/>
                <w:szCs w:val="4"/>
                <w:color w:val="auto"/>
              </w:rPr>
            </w:pPr>
          </w:p>
        </w:tc>
        <w:tc>
          <w:tcPr>
            <w:tcW w:w="106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2"/>
        </w:trPr>
        <w:tc>
          <w:tcPr>
            <w:tcW w:w="7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Calibri" w:cs="Calibri" w:eastAsia="Calibri" w:hAnsi="Calibri"/>
                <w:sz w:val="14"/>
                <w:szCs w:val="14"/>
                <w:color w:val="51555C"/>
              </w:rPr>
              <w:t>2023 Form 10-K</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14"/>
                <w:szCs w:val="14"/>
                <w:color w:val="51555C"/>
              </w:rPr>
              <w:t>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-1696720</wp:posOffset>
            </wp:positionV>
            <wp:extent cx="17399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During the year ended December 31, 2022, we recorded noncash impairment charges of $2.3 million against certain previously capitalized sofware development costs that reduced the carrying value of those assets to zero. The impairment charges were refected in general and administratve expense and cost of recurring revenue, respectvely, on the statements of comprehensive income. These impairment charges resulted primarily from our decision to accelerate the end of customer support for certain solutons.</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Other changes to the gross carrying amount of sofware and content development costs were primarily related to qualifying costs associated with development actvites that are required to be capitalized under the internal-use sofware accountng guidance such as those for our cloud solutons and online educaton curriculum, write-ofs of fully amortzed assets, and the efect of foreign currency translaton.</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Amortzaton expense related to sofware and content development costs was $42.8 million, $36.8 million and $31.0 million for the years ended December 31, 2023, 2022 and 2021, respectvely, and is included primarily in cost of recurring.</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8.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Restricted cash</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shd w:val="clear" w:color="auto" w:fill="004054"/>
          </w:tcPr>
          <w:p>
            <w:pPr>
              <w:spacing w:after="0"/>
              <w:rPr>
                <w:sz w:val="15"/>
                <w:szCs w:val="15"/>
                <w:color w:val="auto"/>
              </w:rPr>
            </w:pP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183"/>
        </w:trPr>
        <w:tc>
          <w:tcPr>
            <w:tcW w:w="7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6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r>
      <w:tr>
        <w:trPr>
          <w:trHeight w:val="74"/>
        </w:trPr>
        <w:tc>
          <w:tcPr>
            <w:tcW w:w="7980" w:type="dxa"/>
            <w:vAlign w:val="bottom"/>
            <w:shd w:val="clear" w:color="auto" w:fill="004054"/>
          </w:tcPr>
          <w:p>
            <w:pPr>
              <w:spacing w:after="0"/>
              <w:rPr>
                <w:sz w:val="6"/>
                <w:szCs w:val="6"/>
                <w:color w:val="auto"/>
              </w:rPr>
            </w:pPr>
          </w:p>
        </w:tc>
        <w:tc>
          <w:tcPr>
            <w:tcW w:w="1630" w:type="dxa"/>
            <w:vAlign w:val="bottom"/>
            <w:shd w:val="clear" w:color="auto" w:fill="004054"/>
          </w:tcPr>
          <w:p>
            <w:pPr>
              <w:spacing w:after="0"/>
              <w:rPr>
                <w:sz w:val="6"/>
                <w:szCs w:val="6"/>
                <w:color w:val="auto"/>
              </w:rPr>
            </w:pPr>
          </w:p>
        </w:tc>
        <w:tc>
          <w:tcPr>
            <w:tcW w:w="165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7980" w:type="dxa"/>
            <w:vAlign w:val="bottom"/>
          </w:tcPr>
          <w:p>
            <w:pPr>
              <w:ind w:left="20"/>
              <w:spacing w:after="0"/>
              <w:rPr>
                <w:sz w:val="20"/>
                <w:szCs w:val="20"/>
                <w:color w:val="auto"/>
              </w:rPr>
            </w:pPr>
            <w:r>
              <w:rPr>
                <w:rFonts w:ascii="Calibri" w:cs="Calibri" w:eastAsia="Calibri" w:hAnsi="Calibri"/>
                <w:sz w:val="18"/>
                <w:szCs w:val="18"/>
                <w:color w:val="51555C"/>
              </w:rPr>
              <w:t>Restricted cash due to customers</w:t>
            </w:r>
          </w:p>
        </w:tc>
        <w:tc>
          <w:tcPr>
            <w:tcW w:w="440" w:type="dxa"/>
            <w:vAlign w:val="bottom"/>
          </w:tcPr>
          <w:p>
            <w:pPr>
              <w:jc w:val="right"/>
              <w:ind w:right="250"/>
              <w:spacing w:after="0"/>
              <w:rPr>
                <w:sz w:val="20"/>
                <w:szCs w:val="20"/>
                <w:color w:val="auto"/>
              </w:rPr>
            </w:pPr>
            <w:r>
              <w:rPr>
                <w:rFonts w:ascii="Calibri" w:cs="Calibri" w:eastAsia="Calibri" w:hAnsi="Calibri"/>
                <w:sz w:val="18"/>
                <w:szCs w:val="18"/>
                <w:color w:val="51555C"/>
                <w:w w:val="87"/>
              </w:rPr>
              <w:t>$</w:t>
            </w: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695,489</w:t>
            </w:r>
          </w:p>
        </w:tc>
        <w:tc>
          <w:tcPr>
            <w:tcW w:w="460" w:type="dxa"/>
            <w:vAlign w:val="bottom"/>
          </w:tcPr>
          <w:p>
            <w:pPr>
              <w:jc w:val="right"/>
              <w:ind w:right="250"/>
              <w:spacing w:after="0"/>
              <w:rPr>
                <w:sz w:val="20"/>
                <w:szCs w:val="20"/>
                <w:color w:val="auto"/>
              </w:rPr>
            </w:pPr>
            <w:r>
              <w:rPr>
                <w:rFonts w:ascii="Calibri" w:cs="Calibri" w:eastAsia="Calibri" w:hAnsi="Calibri"/>
                <w:sz w:val="18"/>
                <w:szCs w:val="18"/>
                <w:color w:val="51555C"/>
              </w:rPr>
              <w:t>$</w:t>
            </w: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700,611</w:t>
            </w:r>
          </w:p>
        </w:tc>
        <w:tc>
          <w:tcPr>
            <w:tcW w:w="20" w:type="dxa"/>
            <w:vAlign w:val="bottom"/>
          </w:tcPr>
          <w:p>
            <w:pPr>
              <w:spacing w:after="0"/>
              <w:rPr>
                <w:sz w:val="19"/>
                <w:szCs w:val="19"/>
                <w:color w:val="auto"/>
              </w:rPr>
            </w:pPr>
          </w:p>
        </w:tc>
      </w:tr>
      <w:tr>
        <w:trPr>
          <w:trHeight w:val="270"/>
        </w:trPr>
        <w:tc>
          <w:tcPr>
            <w:tcW w:w="7980" w:type="dxa"/>
            <w:vAlign w:val="bottom"/>
          </w:tcPr>
          <w:p>
            <w:pPr>
              <w:ind w:left="20"/>
              <w:spacing w:after="0"/>
              <w:rPr>
                <w:sz w:val="20"/>
                <w:szCs w:val="20"/>
                <w:color w:val="auto"/>
              </w:rPr>
            </w:pPr>
            <w:r>
              <w:rPr>
                <w:rFonts w:ascii="Calibri" w:cs="Calibri" w:eastAsia="Calibri" w:hAnsi="Calibri"/>
                <w:sz w:val="18"/>
                <w:szCs w:val="18"/>
                <w:color w:val="51555C"/>
              </w:rPr>
              <w:t>Real estate escrow balances and other</w:t>
            </w:r>
          </w:p>
        </w:tc>
        <w:tc>
          <w:tcPr>
            <w:tcW w:w="4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1,517</w:t>
            </w:r>
          </w:p>
        </w:tc>
        <w:tc>
          <w:tcPr>
            <w:tcW w:w="4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1,629</w:t>
            </w:r>
          </w:p>
        </w:tc>
        <w:tc>
          <w:tcPr>
            <w:tcW w:w="20" w:type="dxa"/>
            <w:vAlign w:val="bottom"/>
          </w:tcPr>
          <w:p>
            <w:pPr>
              <w:spacing w:after="0"/>
              <w:rPr>
                <w:sz w:val="23"/>
                <w:szCs w:val="23"/>
                <w:color w:val="auto"/>
              </w:rPr>
            </w:pPr>
          </w:p>
        </w:tc>
      </w:tr>
      <w:tr>
        <w:trPr>
          <w:trHeight w:val="50"/>
        </w:trPr>
        <w:tc>
          <w:tcPr>
            <w:tcW w:w="7980" w:type="dxa"/>
            <w:vAlign w:val="bottom"/>
            <w:tcBorders>
              <w:bottom w:val="single" w:sz="8" w:color="EBFBFF"/>
            </w:tcBorders>
          </w:tcPr>
          <w:p>
            <w:pPr>
              <w:spacing w:after="0"/>
              <w:rPr>
                <w:sz w:val="4"/>
                <w:szCs w:val="4"/>
                <w:color w:val="auto"/>
              </w:rPr>
            </w:pPr>
          </w:p>
        </w:tc>
        <w:tc>
          <w:tcPr>
            <w:tcW w:w="44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798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restricted cash</w:t>
            </w:r>
          </w:p>
        </w:tc>
        <w:tc>
          <w:tcPr>
            <w:tcW w:w="440" w:type="dxa"/>
            <w:vAlign w:val="bottom"/>
            <w:tcBorders>
              <w:bottom w:val="single" w:sz="8" w:color="EBFBFF"/>
            </w:tcBorders>
            <w:shd w:val="clear" w:color="auto" w:fill="EBFBFF"/>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697,006</w:t>
            </w:r>
          </w:p>
        </w:tc>
        <w:tc>
          <w:tcPr>
            <w:tcW w:w="460" w:type="dxa"/>
            <w:vAlign w:val="bottom"/>
            <w:tcBorders>
              <w:bottom w:val="single" w:sz="8" w:color="EBFBFF"/>
            </w:tcBorders>
            <w:shd w:val="clear" w:color="auto" w:fill="EBFBFF"/>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702,240</w:t>
            </w:r>
          </w:p>
        </w:tc>
        <w:tc>
          <w:tcPr>
            <w:tcW w:w="20" w:type="dxa"/>
            <w:vAlign w:val="bottom"/>
          </w:tcPr>
          <w:p>
            <w:pPr>
              <w:spacing w:after="0"/>
              <w:rPr>
                <w:sz w:val="22"/>
                <w:szCs w:val="22"/>
                <w:color w:val="auto"/>
              </w:rPr>
            </w:pPr>
          </w:p>
        </w:tc>
      </w:tr>
      <w:tr>
        <w:trPr>
          <w:trHeight w:val="429"/>
        </w:trPr>
        <w:tc>
          <w:tcPr>
            <w:tcW w:w="7980" w:type="dxa"/>
            <w:vAlign w:val="bottom"/>
            <w:tcBorders>
              <w:top w:val="single" w:sz="8" w:color="0CD973"/>
            </w:tcBorders>
          </w:tcPr>
          <w:p>
            <w:pPr>
              <w:spacing w:after="0"/>
              <w:rPr>
                <w:sz w:val="20"/>
                <w:szCs w:val="20"/>
                <w:color w:val="auto"/>
              </w:rPr>
            </w:pPr>
            <w:r>
              <w:rPr>
                <w:rFonts w:ascii="Calibri" w:cs="Calibri" w:eastAsia="Calibri" w:hAnsi="Calibri"/>
                <w:sz w:val="18"/>
                <w:szCs w:val="18"/>
                <w:b w:val="1"/>
                <w:bCs w:val="1"/>
                <w:color w:val="51555C"/>
              </w:rPr>
              <w:t>Prepaid expenses and other assets</w:t>
            </w:r>
          </w:p>
        </w:tc>
        <w:tc>
          <w:tcPr>
            <w:tcW w:w="440" w:type="dxa"/>
            <w:vAlign w:val="bottom"/>
            <w:tcBorders>
              <w:top w:val="single" w:sz="8" w:color="0CD973"/>
            </w:tcBorders>
          </w:tcPr>
          <w:p>
            <w:pPr>
              <w:spacing w:after="0"/>
              <w:rPr>
                <w:sz w:val="24"/>
                <w:szCs w:val="24"/>
                <w:color w:val="auto"/>
              </w:rPr>
            </w:pPr>
          </w:p>
        </w:tc>
        <w:tc>
          <w:tcPr>
            <w:tcW w:w="1180" w:type="dxa"/>
            <w:vAlign w:val="bottom"/>
            <w:tcBorders>
              <w:top w:val="single" w:sz="8" w:color="0CD973"/>
            </w:tcBorders>
          </w:tcPr>
          <w:p>
            <w:pPr>
              <w:spacing w:after="0"/>
              <w:rPr>
                <w:sz w:val="24"/>
                <w:szCs w:val="24"/>
                <w:color w:val="auto"/>
              </w:rPr>
            </w:pPr>
          </w:p>
        </w:tc>
        <w:tc>
          <w:tcPr>
            <w:tcW w:w="460" w:type="dxa"/>
            <w:vAlign w:val="bottom"/>
            <w:tcBorders>
              <w:top w:val="single" w:sz="8" w:color="0CD973"/>
            </w:tcBorders>
          </w:tcPr>
          <w:p>
            <w:pPr>
              <w:spacing w:after="0"/>
              <w:rPr>
                <w:sz w:val="24"/>
                <w:szCs w:val="24"/>
                <w:color w:val="auto"/>
              </w:rPr>
            </w:pPr>
          </w:p>
        </w:tc>
        <w:tc>
          <w:tcPr>
            <w:tcW w:w="11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7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798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6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5"/>
                <w:szCs w:val="15"/>
                <w:color w:val="auto"/>
              </w:rPr>
            </w:pPr>
          </w:p>
        </w:tc>
      </w:tr>
      <w:tr>
        <w:trPr>
          <w:trHeight w:val="175"/>
        </w:trPr>
        <w:tc>
          <w:tcPr>
            <w:tcW w:w="7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44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6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15"/>
                <w:szCs w:val="15"/>
                <w:color w:val="auto"/>
              </w:rPr>
            </w:pPr>
          </w:p>
        </w:tc>
      </w:tr>
      <w:tr>
        <w:trPr>
          <w:trHeight w:val="74"/>
        </w:trPr>
        <w:tc>
          <w:tcPr>
            <w:tcW w:w="798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324"/>
        </w:trPr>
        <w:tc>
          <w:tcPr>
            <w:tcW w:w="798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Costs of obtaining contracts</w:t>
            </w:r>
            <w:r>
              <w:rPr>
                <w:rFonts w:ascii="Calibri" w:cs="Calibri" w:eastAsia="Calibri" w:hAnsi="Calibri"/>
                <w:sz w:val="23"/>
                <w:szCs w:val="23"/>
                <w:color w:val="51555C"/>
                <w:vertAlign w:val="superscript"/>
              </w:rPr>
              <w:t>(1)(2)</w:t>
            </w:r>
          </w:p>
        </w:tc>
        <w:tc>
          <w:tcPr>
            <w:tcW w:w="440" w:type="dxa"/>
            <w:vAlign w:val="bottom"/>
            <w:shd w:val="clear" w:color="auto" w:fill="EBFBFF"/>
          </w:tcPr>
          <w:p>
            <w:pPr>
              <w:jc w:val="right"/>
              <w:ind w:right="250"/>
              <w:spacing w:after="0"/>
              <w:rPr>
                <w:sz w:val="20"/>
                <w:szCs w:val="20"/>
                <w:color w:val="auto"/>
              </w:rPr>
            </w:pPr>
            <w:r>
              <w:rPr>
                <w:rFonts w:ascii="Calibri" w:cs="Calibri" w:eastAsia="Calibri" w:hAnsi="Calibri"/>
                <w:sz w:val="18"/>
                <w:szCs w:val="18"/>
                <w:color w:val="51555C"/>
                <w:w w:val="87"/>
              </w:rPr>
              <w:t>$</w:t>
            </w:r>
          </w:p>
        </w:tc>
        <w:tc>
          <w:tcPr>
            <w:tcW w:w="118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62,377</w:t>
            </w:r>
          </w:p>
        </w:tc>
        <w:tc>
          <w:tcPr>
            <w:tcW w:w="460" w:type="dxa"/>
            <w:vAlign w:val="bottom"/>
            <w:shd w:val="clear" w:color="auto" w:fill="EBFBFF"/>
          </w:tcPr>
          <w:p>
            <w:pPr>
              <w:jc w:val="right"/>
              <w:ind w:right="250"/>
              <w:spacing w:after="0"/>
              <w:rPr>
                <w:sz w:val="20"/>
                <w:szCs w:val="20"/>
                <w:color w:val="auto"/>
              </w:rPr>
            </w:pPr>
            <w:r>
              <w:rPr>
                <w:rFonts w:ascii="Calibri" w:cs="Calibri" w:eastAsia="Calibri" w:hAnsi="Calibri"/>
                <w:sz w:val="18"/>
                <w:szCs w:val="18"/>
                <w:color w:val="51555C"/>
              </w:rPr>
              <w:t>$</w:t>
            </w:r>
          </w:p>
        </w:tc>
        <w:tc>
          <w:tcPr>
            <w:tcW w:w="118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74,272</w:t>
            </w:r>
          </w:p>
        </w:tc>
        <w:tc>
          <w:tcPr>
            <w:tcW w:w="20" w:type="dxa"/>
            <w:vAlign w:val="bottom"/>
          </w:tcPr>
          <w:p>
            <w:pPr>
              <w:spacing w:after="0"/>
              <w:rPr>
                <w:sz w:val="24"/>
                <w:szCs w:val="24"/>
                <w:color w:val="auto"/>
              </w:rPr>
            </w:pPr>
          </w:p>
        </w:tc>
      </w:tr>
      <w:tr>
        <w:trPr>
          <w:trHeight w:val="324"/>
        </w:trPr>
        <w:tc>
          <w:tcPr>
            <w:tcW w:w="7980" w:type="dxa"/>
            <w:vAlign w:val="bottom"/>
          </w:tcPr>
          <w:p>
            <w:pPr>
              <w:ind w:left="20"/>
              <w:spacing w:after="0"/>
              <w:rPr>
                <w:sz w:val="20"/>
                <w:szCs w:val="20"/>
                <w:color w:val="auto"/>
              </w:rPr>
            </w:pPr>
            <w:r>
              <w:rPr>
                <w:rFonts w:ascii="Calibri" w:cs="Calibri" w:eastAsia="Calibri" w:hAnsi="Calibri"/>
                <w:sz w:val="18"/>
                <w:szCs w:val="18"/>
                <w:color w:val="51555C"/>
              </w:rPr>
              <w:t>Prepaid sofware maintenance and subscriptons</w:t>
            </w:r>
            <w:r>
              <w:rPr>
                <w:rFonts w:ascii="Calibri" w:cs="Calibri" w:eastAsia="Calibri" w:hAnsi="Calibri"/>
                <w:sz w:val="23"/>
                <w:szCs w:val="23"/>
                <w:color w:val="51555C"/>
                <w:vertAlign w:val="superscript"/>
              </w:rPr>
              <w:t>(3)</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35,169</w:t>
            </w: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34,766</w:t>
            </w:r>
          </w:p>
        </w:tc>
        <w:tc>
          <w:tcPr>
            <w:tcW w:w="20" w:type="dxa"/>
            <w:vAlign w:val="bottom"/>
          </w:tcPr>
          <w:p>
            <w:pPr>
              <w:spacing w:after="0"/>
              <w:rPr>
                <w:sz w:val="24"/>
                <w:szCs w:val="24"/>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Derivatve instruments</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16,198</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32,117</w:t>
            </w:r>
          </w:p>
        </w:tc>
        <w:tc>
          <w:tcPr>
            <w:tcW w:w="20" w:type="dxa"/>
            <w:vAlign w:val="bottom"/>
          </w:tcPr>
          <w:p>
            <w:pPr>
              <w:spacing w:after="0"/>
              <w:rPr>
                <w:sz w:val="21"/>
                <w:szCs w:val="21"/>
                <w:color w:val="auto"/>
              </w:rPr>
            </w:pPr>
          </w:p>
        </w:tc>
      </w:tr>
      <w:tr>
        <w:trPr>
          <w:trHeight w:val="324"/>
        </w:trPr>
        <w:tc>
          <w:tcPr>
            <w:tcW w:w="7980" w:type="dxa"/>
            <w:vAlign w:val="bottom"/>
          </w:tcPr>
          <w:p>
            <w:pPr>
              <w:ind w:left="20"/>
              <w:spacing w:after="0"/>
              <w:rPr>
                <w:sz w:val="20"/>
                <w:szCs w:val="20"/>
                <w:color w:val="auto"/>
              </w:rPr>
            </w:pPr>
            <w:r>
              <w:rPr>
                <w:rFonts w:ascii="Calibri" w:cs="Calibri" w:eastAsia="Calibri" w:hAnsi="Calibri"/>
                <w:sz w:val="18"/>
                <w:szCs w:val="18"/>
                <w:color w:val="51555C"/>
              </w:rPr>
              <w:t>Implementaton costs for cloud computng arrangements, net</w:t>
            </w:r>
            <w:r>
              <w:rPr>
                <w:rFonts w:ascii="Calibri" w:cs="Calibri" w:eastAsia="Calibri" w:hAnsi="Calibri"/>
                <w:sz w:val="23"/>
                <w:szCs w:val="23"/>
                <w:color w:val="51555C"/>
                <w:vertAlign w:val="superscript"/>
              </w:rPr>
              <w:t>(4)(5)</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9,259</w:t>
            </w:r>
          </w:p>
        </w:tc>
        <w:tc>
          <w:tcPr>
            <w:tcW w:w="4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10,189</w:t>
            </w:r>
          </w:p>
        </w:tc>
        <w:tc>
          <w:tcPr>
            <w:tcW w:w="20" w:type="dxa"/>
            <w:vAlign w:val="bottom"/>
          </w:tcPr>
          <w:p>
            <w:pPr>
              <w:spacing w:after="0"/>
              <w:rPr>
                <w:sz w:val="24"/>
                <w:szCs w:val="24"/>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Unbilled accounts receivable</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5,615</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5,775</w:t>
            </w:r>
          </w:p>
        </w:tc>
        <w:tc>
          <w:tcPr>
            <w:tcW w:w="20" w:type="dxa"/>
            <w:vAlign w:val="bottom"/>
          </w:tcPr>
          <w:p>
            <w:pPr>
              <w:spacing w:after="0"/>
              <w:rPr>
                <w:sz w:val="21"/>
                <w:szCs w:val="21"/>
                <w:color w:val="auto"/>
              </w:rPr>
            </w:pPr>
          </w:p>
        </w:tc>
      </w:tr>
      <w:tr>
        <w:trPr>
          <w:trHeight w:val="220"/>
        </w:trPr>
        <w:tc>
          <w:tcPr>
            <w:tcW w:w="7980" w:type="dxa"/>
            <w:vAlign w:val="bottom"/>
          </w:tcPr>
          <w:p>
            <w:pPr>
              <w:ind w:left="20"/>
              <w:spacing w:after="0"/>
              <w:rPr>
                <w:sz w:val="20"/>
                <w:szCs w:val="20"/>
                <w:color w:val="auto"/>
              </w:rPr>
            </w:pPr>
            <w:r>
              <w:rPr>
                <w:rFonts w:ascii="Calibri" w:cs="Calibri" w:eastAsia="Calibri" w:hAnsi="Calibri"/>
                <w:sz w:val="18"/>
                <w:szCs w:val="18"/>
                <w:color w:val="51555C"/>
              </w:rPr>
              <w:t>Prepaid insurance</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3,940</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4,902</w:t>
            </w:r>
          </w:p>
        </w:tc>
        <w:tc>
          <w:tcPr>
            <w:tcW w:w="20" w:type="dxa"/>
            <w:vAlign w:val="bottom"/>
          </w:tcPr>
          <w:p>
            <w:pPr>
              <w:spacing w:after="0"/>
              <w:rPr>
                <w:sz w:val="19"/>
                <w:szCs w:val="19"/>
                <w:color w:val="auto"/>
              </w:rPr>
            </w:pPr>
          </w:p>
        </w:tc>
      </w:tr>
      <w:tr>
        <w:trPr>
          <w:trHeight w:val="50"/>
        </w:trPr>
        <w:tc>
          <w:tcPr>
            <w:tcW w:w="7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Taxes, prepaid and receivable</w:t>
            </w: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3,418</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1,855</w:t>
            </w:r>
          </w:p>
        </w:tc>
        <w:tc>
          <w:tcPr>
            <w:tcW w:w="20" w:type="dxa"/>
            <w:vAlign w:val="bottom"/>
          </w:tcPr>
          <w:p>
            <w:pPr>
              <w:spacing w:after="0"/>
              <w:rPr>
                <w:sz w:val="21"/>
                <w:szCs w:val="21"/>
                <w:color w:val="auto"/>
              </w:rPr>
            </w:pPr>
          </w:p>
        </w:tc>
      </w:tr>
      <w:tr>
        <w:trPr>
          <w:trHeight w:val="220"/>
        </w:trPr>
        <w:tc>
          <w:tcPr>
            <w:tcW w:w="7980" w:type="dxa"/>
            <w:vAlign w:val="bottom"/>
          </w:tcPr>
          <w:p>
            <w:pPr>
              <w:ind w:left="20"/>
              <w:spacing w:after="0"/>
              <w:rPr>
                <w:sz w:val="20"/>
                <w:szCs w:val="20"/>
                <w:color w:val="auto"/>
              </w:rPr>
            </w:pPr>
            <w:r>
              <w:rPr>
                <w:rFonts w:ascii="Calibri" w:cs="Calibri" w:eastAsia="Calibri" w:hAnsi="Calibri"/>
                <w:sz w:val="18"/>
                <w:szCs w:val="18"/>
                <w:color w:val="51555C"/>
              </w:rPr>
              <w:t>Deferred tax assets</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644</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1,153</w:t>
            </w:r>
          </w:p>
        </w:tc>
        <w:tc>
          <w:tcPr>
            <w:tcW w:w="20" w:type="dxa"/>
            <w:vAlign w:val="bottom"/>
          </w:tcPr>
          <w:p>
            <w:pPr>
              <w:spacing w:after="0"/>
              <w:rPr>
                <w:sz w:val="19"/>
                <w:szCs w:val="19"/>
                <w:color w:val="auto"/>
              </w:rPr>
            </w:pPr>
          </w:p>
        </w:tc>
      </w:tr>
      <w:tr>
        <w:trPr>
          <w:trHeight w:val="50"/>
        </w:trPr>
        <w:tc>
          <w:tcPr>
            <w:tcW w:w="7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assets</w:t>
            </w:r>
          </w:p>
        </w:tc>
        <w:tc>
          <w:tcPr>
            <w:tcW w:w="4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13,702</w:t>
            </w:r>
          </w:p>
        </w:tc>
        <w:tc>
          <w:tcPr>
            <w:tcW w:w="46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10,929</w:t>
            </w:r>
          </w:p>
        </w:tc>
        <w:tc>
          <w:tcPr>
            <w:tcW w:w="20" w:type="dxa"/>
            <w:vAlign w:val="bottom"/>
          </w:tcPr>
          <w:p>
            <w:pPr>
              <w:spacing w:after="0"/>
              <w:rPr>
                <w:sz w:val="23"/>
                <w:szCs w:val="23"/>
                <w:color w:val="auto"/>
              </w:rPr>
            </w:pPr>
          </w:p>
        </w:tc>
      </w:tr>
      <w:tr>
        <w:trPr>
          <w:trHeight w:val="213"/>
        </w:trPr>
        <w:tc>
          <w:tcPr>
            <w:tcW w:w="7980" w:type="dxa"/>
            <w:vAlign w:val="bottom"/>
          </w:tcPr>
          <w:p>
            <w:pPr>
              <w:ind w:left="140"/>
              <w:spacing w:after="0" w:line="199" w:lineRule="exact"/>
              <w:rPr>
                <w:sz w:val="20"/>
                <w:szCs w:val="20"/>
                <w:color w:val="auto"/>
              </w:rPr>
            </w:pPr>
            <w:r>
              <w:rPr>
                <w:rFonts w:ascii="Calibri" w:cs="Calibri" w:eastAsia="Calibri" w:hAnsi="Calibri"/>
                <w:sz w:val="18"/>
                <w:szCs w:val="18"/>
                <w:color w:val="51555C"/>
              </w:rPr>
              <w:t>Total prepaid expenses and other assets</w:t>
            </w:r>
          </w:p>
        </w:tc>
        <w:tc>
          <w:tcPr>
            <w:tcW w:w="440" w:type="dxa"/>
            <w:vAlign w:val="bottom"/>
            <w:tcBorders>
              <w:top w:val="single" w:sz="8" w:color="51555C"/>
            </w:tcBorders>
          </w:tcPr>
          <w:p>
            <w:pPr>
              <w:spacing w:after="0"/>
              <w:rPr>
                <w:sz w:val="18"/>
                <w:szCs w:val="18"/>
                <w:color w:val="auto"/>
              </w:rPr>
            </w:pP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150,322</w:t>
            </w:r>
          </w:p>
        </w:tc>
        <w:tc>
          <w:tcPr>
            <w:tcW w:w="460" w:type="dxa"/>
            <w:vAlign w:val="bottom"/>
            <w:tcBorders>
              <w:top w:val="single" w:sz="8" w:color="51555C"/>
            </w:tcBorders>
          </w:tcPr>
          <w:p>
            <w:pPr>
              <w:spacing w:after="0"/>
              <w:rPr>
                <w:sz w:val="18"/>
                <w:szCs w:val="18"/>
                <w:color w:val="auto"/>
              </w:rPr>
            </w:pP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175,958</w:t>
            </w:r>
          </w:p>
        </w:tc>
        <w:tc>
          <w:tcPr>
            <w:tcW w:w="20" w:type="dxa"/>
            <w:vAlign w:val="bottom"/>
          </w:tcPr>
          <w:p>
            <w:pPr>
              <w:spacing w:after="0"/>
              <w:rPr>
                <w:sz w:val="18"/>
                <w:szCs w:val="18"/>
                <w:color w:val="auto"/>
              </w:rPr>
            </w:pPr>
          </w:p>
        </w:tc>
      </w:tr>
      <w:tr>
        <w:trPr>
          <w:trHeight w:val="50"/>
        </w:trPr>
        <w:tc>
          <w:tcPr>
            <w:tcW w:w="7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Long-term porton</w:t>
            </w:r>
          </w:p>
        </w:tc>
        <w:tc>
          <w:tcPr>
            <w:tcW w:w="4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51,037</w:t>
            </w:r>
          </w:p>
        </w:tc>
        <w:tc>
          <w:tcPr>
            <w:tcW w:w="46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94,304</w:t>
            </w:r>
          </w:p>
        </w:tc>
        <w:tc>
          <w:tcPr>
            <w:tcW w:w="20" w:type="dxa"/>
            <w:vAlign w:val="bottom"/>
          </w:tcPr>
          <w:p>
            <w:pPr>
              <w:spacing w:after="0"/>
              <w:rPr>
                <w:sz w:val="23"/>
                <w:szCs w:val="23"/>
                <w:color w:val="auto"/>
              </w:rPr>
            </w:pPr>
          </w:p>
        </w:tc>
      </w:tr>
      <w:tr>
        <w:trPr>
          <w:trHeight w:val="213"/>
        </w:trPr>
        <w:tc>
          <w:tcPr>
            <w:tcW w:w="7980" w:type="dxa"/>
            <w:vAlign w:val="bottom"/>
          </w:tcPr>
          <w:p>
            <w:pPr>
              <w:ind w:left="20"/>
              <w:spacing w:after="0" w:line="199" w:lineRule="exact"/>
              <w:rPr>
                <w:sz w:val="20"/>
                <w:szCs w:val="20"/>
                <w:color w:val="auto"/>
              </w:rPr>
            </w:pPr>
            <w:r>
              <w:rPr>
                <w:rFonts w:ascii="Calibri" w:cs="Calibri" w:eastAsia="Calibri" w:hAnsi="Calibri"/>
                <w:sz w:val="18"/>
                <w:szCs w:val="18"/>
                <w:color w:val="51555C"/>
              </w:rPr>
              <w:t>Prepaid expenses and other current assets</w:t>
            </w:r>
          </w:p>
        </w:tc>
        <w:tc>
          <w:tcPr>
            <w:tcW w:w="44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99,285</w:t>
            </w:r>
          </w:p>
        </w:tc>
        <w:tc>
          <w:tcPr>
            <w:tcW w:w="46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81,654</w:t>
            </w:r>
          </w:p>
        </w:tc>
        <w:tc>
          <w:tcPr>
            <w:tcW w:w="20" w:type="dxa"/>
            <w:vAlign w:val="bottom"/>
          </w:tcPr>
          <w:p>
            <w:pPr>
              <w:spacing w:after="0"/>
              <w:rPr>
                <w:sz w:val="18"/>
                <w:szCs w:val="18"/>
                <w:color w:val="auto"/>
              </w:rPr>
            </w:pPr>
          </w:p>
        </w:tc>
      </w:tr>
      <w:tr>
        <w:trPr>
          <w:trHeight w:val="50"/>
        </w:trPr>
        <w:tc>
          <w:tcPr>
            <w:tcW w:w="7980" w:type="dxa"/>
            <w:vAlign w:val="bottom"/>
            <w:tcBorders>
              <w:bottom w:val="single" w:sz="8" w:color="0CD973"/>
            </w:tcBorders>
          </w:tcPr>
          <w:p>
            <w:pPr>
              <w:spacing w:after="0"/>
              <w:rPr>
                <w:sz w:val="4"/>
                <w:szCs w:val="4"/>
                <w:color w:val="auto"/>
              </w:rPr>
            </w:pPr>
          </w:p>
        </w:tc>
        <w:tc>
          <w:tcPr>
            <w:tcW w:w="440" w:type="dxa"/>
            <w:vAlign w:val="bottom"/>
            <w:tcBorders>
              <w:bottom w:val="single" w:sz="8" w:color="0CD973"/>
            </w:tcBorders>
          </w:tcPr>
          <w:p>
            <w:pPr>
              <w:spacing w:after="0"/>
              <w:rPr>
                <w:sz w:val="4"/>
                <w:szCs w:val="4"/>
                <w:color w:val="auto"/>
              </w:rPr>
            </w:pPr>
          </w:p>
        </w:tc>
        <w:tc>
          <w:tcPr>
            <w:tcW w:w="118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1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67" w:lineRule="exact"/>
        <w:rPr>
          <w:sz w:val="20"/>
          <w:szCs w:val="20"/>
          <w:color w:val="auto"/>
        </w:rPr>
      </w:pPr>
    </w:p>
    <w:p>
      <w:pPr>
        <w:ind w:left="340" w:right="20" w:hanging="332"/>
        <w:spacing w:after="0" w:line="245" w:lineRule="auto"/>
        <w:tabs>
          <w:tab w:leader="none" w:pos="338" w:val="left"/>
        </w:tabs>
        <w:numPr>
          <w:ilvl w:val="0"/>
          <w:numId w:val="52"/>
        </w:numPr>
        <w:rPr>
          <w:rFonts w:ascii="Calibri" w:cs="Calibri" w:eastAsia="Calibri" w:hAnsi="Calibri"/>
          <w:sz w:val="14"/>
          <w:szCs w:val="14"/>
          <w:color w:val="51555C"/>
        </w:rPr>
      </w:pPr>
      <w:r>
        <w:rPr>
          <w:rFonts w:ascii="Calibri" w:cs="Calibri" w:eastAsia="Calibri" w:hAnsi="Calibri"/>
          <w:sz w:val="14"/>
          <w:szCs w:val="14"/>
          <w:color w:val="51555C"/>
        </w:rPr>
        <w:t>Amortzaton expense from costs of obtaining contracts was $31.9 million, $33.6 million and $35.5 million for the years ended December 31, 2023, 2022 and 2021, respectvely, and is included in sales, marketng and customer success expense in our consolidated statements of comprehensive income.</w:t>
      </w:r>
    </w:p>
    <w:p>
      <w:pPr>
        <w:spacing w:after="0" w:line="1" w:lineRule="exact"/>
        <w:rPr>
          <w:rFonts w:ascii="Calibri" w:cs="Calibri" w:eastAsia="Calibri" w:hAnsi="Calibri"/>
          <w:sz w:val="14"/>
          <w:szCs w:val="14"/>
          <w:color w:val="51555C"/>
        </w:rPr>
      </w:pPr>
    </w:p>
    <w:p>
      <w:pPr>
        <w:ind w:left="340" w:hanging="332"/>
        <w:spacing w:after="0"/>
        <w:tabs>
          <w:tab w:leader="none" w:pos="340" w:val="left"/>
        </w:tabs>
        <w:numPr>
          <w:ilvl w:val="0"/>
          <w:numId w:val="52"/>
        </w:numPr>
        <w:rPr>
          <w:rFonts w:ascii="Calibri" w:cs="Calibri" w:eastAsia="Calibri" w:hAnsi="Calibri"/>
          <w:sz w:val="14"/>
          <w:szCs w:val="14"/>
          <w:color w:val="51555C"/>
        </w:rPr>
      </w:pPr>
      <w:r>
        <w:rPr>
          <w:rFonts w:ascii="Calibri" w:cs="Calibri" w:eastAsia="Calibri" w:hAnsi="Calibri"/>
          <w:sz w:val="14"/>
          <w:szCs w:val="14"/>
          <w:color w:val="51555C"/>
        </w:rPr>
        <w:t>The current porton of costs of obtaining contracts as of December 31, 2023 and 2022 was $25.3 million and $29.1 million, respectvely.</w:t>
      </w:r>
    </w:p>
    <w:p>
      <w:pPr>
        <w:ind w:left="340" w:hanging="332"/>
        <w:spacing w:after="0" w:line="227" w:lineRule="auto"/>
        <w:tabs>
          <w:tab w:leader="none" w:pos="340" w:val="left"/>
        </w:tabs>
        <w:numPr>
          <w:ilvl w:val="0"/>
          <w:numId w:val="52"/>
        </w:numPr>
        <w:rPr>
          <w:rFonts w:ascii="Calibri" w:cs="Calibri" w:eastAsia="Calibri" w:hAnsi="Calibri"/>
          <w:sz w:val="14"/>
          <w:szCs w:val="14"/>
          <w:color w:val="51555C"/>
        </w:rPr>
      </w:pPr>
      <w:r>
        <w:rPr>
          <w:rFonts w:ascii="Calibri" w:cs="Calibri" w:eastAsia="Calibri" w:hAnsi="Calibri"/>
          <w:sz w:val="14"/>
          <w:szCs w:val="14"/>
          <w:color w:val="51555C"/>
        </w:rPr>
        <w:t>The current porton of prepaid sofware maintenance and subscriptons as of December 31, 2023 and December 31, 2022 was $32.4 million and $31.7 million, respectvely.</w:t>
      </w:r>
    </w:p>
    <w:p>
      <w:pPr>
        <w:spacing w:after="0" w:line="4" w:lineRule="exact"/>
        <w:rPr>
          <w:rFonts w:ascii="Calibri" w:cs="Calibri" w:eastAsia="Calibri" w:hAnsi="Calibri"/>
          <w:sz w:val="14"/>
          <w:szCs w:val="14"/>
          <w:color w:val="51555C"/>
        </w:rPr>
      </w:pPr>
    </w:p>
    <w:p>
      <w:pPr>
        <w:ind w:left="340" w:hanging="332"/>
        <w:spacing w:after="0"/>
        <w:tabs>
          <w:tab w:leader="none" w:pos="340" w:val="left"/>
        </w:tabs>
        <w:numPr>
          <w:ilvl w:val="0"/>
          <w:numId w:val="52"/>
        </w:numPr>
        <w:rPr>
          <w:rFonts w:ascii="Calibri" w:cs="Calibri" w:eastAsia="Calibri" w:hAnsi="Calibri"/>
          <w:sz w:val="14"/>
          <w:szCs w:val="14"/>
          <w:color w:val="51555C"/>
        </w:rPr>
      </w:pPr>
      <w:r>
        <w:rPr>
          <w:rFonts w:ascii="Calibri" w:cs="Calibri" w:eastAsia="Calibri" w:hAnsi="Calibri"/>
          <w:sz w:val="14"/>
          <w:szCs w:val="14"/>
          <w:color w:val="51555C"/>
        </w:rPr>
        <w:t>These costs primarily relate to the mult-year implementatons of our global enterprise resource planning and customer relatonship management systems.</w:t>
      </w:r>
    </w:p>
    <w:p>
      <w:pPr>
        <w:spacing w:after="0" w:line="5" w:lineRule="exact"/>
        <w:rPr>
          <w:rFonts w:ascii="Calibri" w:cs="Calibri" w:eastAsia="Calibri" w:hAnsi="Calibri"/>
          <w:sz w:val="14"/>
          <w:szCs w:val="14"/>
          <w:color w:val="51555C"/>
        </w:rPr>
      </w:pPr>
    </w:p>
    <w:p>
      <w:pPr>
        <w:ind w:left="340" w:right="20" w:hanging="332"/>
        <w:spacing w:after="0" w:line="245" w:lineRule="auto"/>
        <w:tabs>
          <w:tab w:leader="none" w:pos="338" w:val="left"/>
        </w:tabs>
        <w:numPr>
          <w:ilvl w:val="0"/>
          <w:numId w:val="52"/>
        </w:numPr>
        <w:rPr>
          <w:rFonts w:ascii="Calibri" w:cs="Calibri" w:eastAsia="Calibri" w:hAnsi="Calibri"/>
          <w:sz w:val="14"/>
          <w:szCs w:val="14"/>
          <w:color w:val="51555C"/>
        </w:rPr>
      </w:pPr>
      <w:r>
        <w:rPr>
          <w:rFonts w:ascii="Calibri" w:cs="Calibri" w:eastAsia="Calibri" w:hAnsi="Calibri"/>
          <w:sz w:val="14"/>
          <w:szCs w:val="14"/>
          <w:color w:val="51555C"/>
        </w:rPr>
        <w:t>Amortzaton expense from capitalized cloud computng implementaton costs was $2.5 million, $2.2 million and $1.9 million for the years ended December 31, 2023, 2022 and 2021, respectvely. Accumulated amortzaton for these costs was $7.7 million and $5.2 million as of December 31, 2023 and 2022, respectvely.</w:t>
      </w: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88</w:t>
      </w:r>
      <w:r>
        <w:rPr>
          <w:sz w:val="20"/>
          <w:szCs w:val="20"/>
          <w:color w:val="auto"/>
        </w:rPr>
        <w:tab/>
      </w:r>
      <w:r>
        <w:rPr>
          <w:sz w:val="1"/>
          <w:szCs w:val="1"/>
          <w:color w:val="auto"/>
        </w:rPr>
        <w:drawing>
          <wp:inline distT="0" distB="0" distL="0" distR="0">
            <wp:extent cx="728345" cy="188595"/>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Accrued expenses and other liabilites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shd w:val="clear" w:color="auto" w:fill="004054"/>
          </w:tcPr>
          <w:p>
            <w:pPr>
              <w:spacing w:after="0"/>
              <w:rPr>
                <w:sz w:val="16"/>
                <w:szCs w:val="16"/>
                <w:color w:val="auto"/>
              </w:rPr>
            </w:pPr>
          </w:p>
        </w:tc>
        <w:tc>
          <w:tcPr>
            <w:tcW w:w="600" w:type="dxa"/>
            <w:vAlign w:val="bottom"/>
            <w:shd w:val="clear" w:color="auto" w:fill="004054"/>
          </w:tcPr>
          <w:p>
            <w:pPr>
              <w:spacing w:after="0"/>
              <w:rPr>
                <w:sz w:val="16"/>
                <w:szCs w:val="16"/>
                <w:color w:val="auto"/>
              </w:rPr>
            </w:pPr>
          </w:p>
        </w:tc>
        <w:tc>
          <w:tcPr>
            <w:tcW w:w="104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60" w:type="dxa"/>
            <w:vAlign w:val="bottom"/>
            <w:shd w:val="clear" w:color="auto" w:fill="004054"/>
          </w:tcPr>
          <w:p>
            <w:pPr>
              <w:spacing w:after="0"/>
              <w:rPr>
                <w:sz w:val="16"/>
                <w:szCs w:val="16"/>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63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600" w:type="dxa"/>
            <w:vAlign w:val="bottom"/>
            <w:shd w:val="clear" w:color="auto" w:fill="004054"/>
          </w:tcPr>
          <w:p>
            <w:pPr>
              <w:spacing w:after="0"/>
              <w:rPr>
                <w:sz w:val="14"/>
                <w:szCs w:val="14"/>
                <w:color w:val="auto"/>
              </w:rPr>
            </w:pPr>
          </w:p>
        </w:tc>
        <w:tc>
          <w:tcPr>
            <w:tcW w:w="1040" w:type="dxa"/>
            <w:vAlign w:val="bottom"/>
            <w:shd w:val="clear" w:color="auto" w:fill="004054"/>
          </w:tcPr>
          <w:p>
            <w:pPr>
              <w:spacing w:after="0"/>
              <w:rPr>
                <w:sz w:val="14"/>
                <w:szCs w:val="14"/>
                <w:color w:val="auto"/>
              </w:rPr>
            </w:pPr>
          </w:p>
        </w:tc>
        <w:tc>
          <w:tcPr>
            <w:tcW w:w="44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6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14"/>
                <w:szCs w:val="14"/>
                <w:color w:val="auto"/>
              </w:rPr>
            </w:pPr>
          </w:p>
        </w:tc>
      </w:tr>
      <w:tr>
        <w:trPr>
          <w:trHeight w:val="74"/>
        </w:trPr>
        <w:tc>
          <w:tcPr>
            <w:tcW w:w="6340" w:type="dxa"/>
            <w:vAlign w:val="bottom"/>
            <w:shd w:val="clear" w:color="auto" w:fill="004054"/>
          </w:tcPr>
          <w:p>
            <w:pPr>
              <w:spacing w:after="0"/>
              <w:rPr>
                <w:sz w:val="6"/>
                <w:szCs w:val="6"/>
                <w:color w:val="auto"/>
              </w:rPr>
            </w:pPr>
          </w:p>
        </w:tc>
        <w:tc>
          <w:tcPr>
            <w:tcW w:w="600" w:type="dxa"/>
            <w:vAlign w:val="bottom"/>
            <w:shd w:val="clear" w:color="auto" w:fill="004054"/>
          </w:tcPr>
          <w:p>
            <w:pPr>
              <w:spacing w:after="0"/>
              <w:rPr>
                <w:sz w:val="6"/>
                <w:szCs w:val="6"/>
                <w:color w:val="auto"/>
              </w:rPr>
            </w:pPr>
          </w:p>
        </w:tc>
        <w:tc>
          <w:tcPr>
            <w:tcW w:w="104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3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Taxes payable</w:t>
            </w:r>
          </w:p>
        </w:tc>
        <w:tc>
          <w:tcPr>
            <w:tcW w:w="6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21,282</w:t>
            </w:r>
          </w:p>
        </w:tc>
        <w:tc>
          <w:tcPr>
            <w:tcW w:w="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16,667</w:t>
            </w:r>
          </w:p>
        </w:tc>
        <w:tc>
          <w:tcPr>
            <w:tcW w:w="20" w:type="dxa"/>
            <w:vAlign w:val="bottom"/>
          </w:tcPr>
          <w:p>
            <w:pPr>
              <w:spacing w:after="0"/>
              <w:rPr>
                <w:sz w:val="21"/>
                <w:szCs w:val="21"/>
                <w:color w:val="auto"/>
              </w:rPr>
            </w:pPr>
          </w:p>
        </w:tc>
      </w:tr>
      <w:tr>
        <w:trPr>
          <w:trHeight w:val="219"/>
        </w:trPr>
        <w:tc>
          <w:tcPr>
            <w:tcW w:w="6340" w:type="dxa"/>
            <w:vAlign w:val="bottom"/>
          </w:tcPr>
          <w:p>
            <w:pPr>
              <w:ind w:left="20"/>
              <w:spacing w:after="0"/>
              <w:rPr>
                <w:sz w:val="20"/>
                <w:szCs w:val="20"/>
                <w:color w:val="auto"/>
              </w:rPr>
            </w:pPr>
            <w:r>
              <w:rPr>
                <w:rFonts w:ascii="Calibri" w:cs="Calibri" w:eastAsia="Calibri" w:hAnsi="Calibri"/>
                <w:sz w:val="18"/>
                <w:szCs w:val="18"/>
                <w:color w:val="51555C"/>
              </w:rPr>
              <w:t>Customer credit balances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10,238</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8,257</w:t>
            </w:r>
          </w:p>
        </w:tc>
        <w:tc>
          <w:tcPr>
            <w:tcW w:w="20" w:type="dxa"/>
            <w:vAlign w:val="bottom"/>
          </w:tcPr>
          <w:p>
            <w:pPr>
              <w:spacing w:after="0"/>
              <w:rPr>
                <w:sz w:val="19"/>
                <w:szCs w:val="19"/>
                <w:color w:val="auto"/>
              </w:rPr>
            </w:pPr>
          </w:p>
        </w:tc>
      </w:tr>
      <w:tr>
        <w:trPr>
          <w:trHeight w:val="51"/>
        </w:trPr>
        <w:tc>
          <w:tcPr>
            <w:tcW w:w="6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3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Operatng lease liabilites, current porton</w:t>
            </w:r>
          </w:p>
        </w:tc>
        <w:tc>
          <w:tcPr>
            <w:tcW w:w="6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6,701</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7,723</w:t>
            </w:r>
          </w:p>
        </w:tc>
        <w:tc>
          <w:tcPr>
            <w:tcW w:w="20" w:type="dxa"/>
            <w:vAlign w:val="bottom"/>
          </w:tcPr>
          <w:p>
            <w:pPr>
              <w:spacing w:after="0"/>
              <w:rPr>
                <w:sz w:val="21"/>
                <w:szCs w:val="21"/>
                <w:color w:val="auto"/>
              </w:rPr>
            </w:pPr>
          </w:p>
        </w:tc>
      </w:tr>
      <w:tr>
        <w:trPr>
          <w:trHeight w:val="219"/>
        </w:trPr>
        <w:tc>
          <w:tcPr>
            <w:tcW w:w="6340" w:type="dxa"/>
            <w:vAlign w:val="bottom"/>
          </w:tcPr>
          <w:p>
            <w:pPr>
              <w:ind w:left="20"/>
              <w:spacing w:after="0"/>
              <w:rPr>
                <w:sz w:val="20"/>
                <w:szCs w:val="20"/>
                <w:color w:val="auto"/>
              </w:rPr>
            </w:pPr>
            <w:r>
              <w:rPr>
                <w:rFonts w:ascii="Calibri" w:cs="Calibri" w:eastAsia="Calibri" w:hAnsi="Calibri"/>
                <w:sz w:val="18"/>
                <w:szCs w:val="18"/>
                <w:color w:val="51555C"/>
              </w:rPr>
              <w:t>Derivatve instruments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5,540</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323</w:t>
            </w:r>
          </w:p>
        </w:tc>
        <w:tc>
          <w:tcPr>
            <w:tcW w:w="20" w:type="dxa"/>
            <w:vAlign w:val="bottom"/>
          </w:tcPr>
          <w:p>
            <w:pPr>
              <w:spacing w:after="0"/>
              <w:rPr>
                <w:sz w:val="19"/>
                <w:szCs w:val="19"/>
                <w:color w:val="auto"/>
              </w:rPr>
            </w:pPr>
          </w:p>
        </w:tc>
      </w:tr>
      <w:tr>
        <w:trPr>
          <w:trHeight w:val="51"/>
        </w:trPr>
        <w:tc>
          <w:tcPr>
            <w:tcW w:w="6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3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Accrued commissions and salaries</w:t>
            </w:r>
          </w:p>
        </w:tc>
        <w:tc>
          <w:tcPr>
            <w:tcW w:w="6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4,413</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6,944</w:t>
            </w:r>
          </w:p>
        </w:tc>
        <w:tc>
          <w:tcPr>
            <w:tcW w:w="20" w:type="dxa"/>
            <w:vAlign w:val="bottom"/>
          </w:tcPr>
          <w:p>
            <w:pPr>
              <w:spacing w:after="0"/>
              <w:rPr>
                <w:sz w:val="21"/>
                <w:szCs w:val="21"/>
                <w:color w:val="auto"/>
              </w:rPr>
            </w:pPr>
          </w:p>
        </w:tc>
      </w:tr>
      <w:tr>
        <w:trPr>
          <w:trHeight w:val="219"/>
        </w:trPr>
        <w:tc>
          <w:tcPr>
            <w:tcW w:w="6340" w:type="dxa"/>
            <w:vAlign w:val="bottom"/>
          </w:tcPr>
          <w:p>
            <w:pPr>
              <w:ind w:left="20"/>
              <w:spacing w:after="0"/>
              <w:rPr>
                <w:sz w:val="20"/>
                <w:szCs w:val="20"/>
                <w:color w:val="auto"/>
              </w:rPr>
            </w:pPr>
            <w:r>
              <w:rPr>
                <w:rFonts w:ascii="Calibri" w:cs="Calibri" w:eastAsia="Calibri" w:hAnsi="Calibri"/>
                <w:sz w:val="18"/>
                <w:szCs w:val="18"/>
                <w:color w:val="51555C"/>
              </w:rPr>
              <w:t>Accrued transacton-based costs related to payments services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4,323</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5,059</w:t>
            </w:r>
          </w:p>
        </w:tc>
        <w:tc>
          <w:tcPr>
            <w:tcW w:w="20" w:type="dxa"/>
            <w:vAlign w:val="bottom"/>
          </w:tcPr>
          <w:p>
            <w:pPr>
              <w:spacing w:after="0"/>
              <w:rPr>
                <w:sz w:val="19"/>
                <w:szCs w:val="19"/>
                <w:color w:val="auto"/>
              </w:rPr>
            </w:pPr>
          </w:p>
        </w:tc>
      </w:tr>
      <w:tr>
        <w:trPr>
          <w:trHeight w:val="51"/>
        </w:trPr>
        <w:tc>
          <w:tcPr>
            <w:tcW w:w="6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3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Accrued health care costs</w:t>
            </w:r>
          </w:p>
        </w:tc>
        <w:tc>
          <w:tcPr>
            <w:tcW w:w="6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3,865</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2,467</w:t>
            </w:r>
          </w:p>
        </w:tc>
        <w:tc>
          <w:tcPr>
            <w:tcW w:w="20" w:type="dxa"/>
            <w:vAlign w:val="bottom"/>
          </w:tcPr>
          <w:p>
            <w:pPr>
              <w:spacing w:after="0"/>
              <w:rPr>
                <w:sz w:val="21"/>
                <w:szCs w:val="21"/>
                <w:color w:val="auto"/>
              </w:rPr>
            </w:pPr>
          </w:p>
        </w:tc>
      </w:tr>
      <w:tr>
        <w:trPr>
          <w:trHeight w:val="220"/>
        </w:trPr>
        <w:tc>
          <w:tcPr>
            <w:tcW w:w="6340" w:type="dxa"/>
            <w:vAlign w:val="bottom"/>
          </w:tcPr>
          <w:p>
            <w:pPr>
              <w:ind w:left="20"/>
              <w:spacing w:after="0"/>
              <w:rPr>
                <w:sz w:val="20"/>
                <w:szCs w:val="20"/>
                <w:color w:val="auto"/>
              </w:rPr>
            </w:pPr>
            <w:r>
              <w:rPr>
                <w:rFonts w:ascii="Calibri" w:cs="Calibri" w:eastAsia="Calibri" w:hAnsi="Calibri"/>
                <w:sz w:val="18"/>
                <w:szCs w:val="18"/>
                <w:color w:val="51555C"/>
              </w:rPr>
              <w:t>Accrued legal costs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3,659</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28,448</w:t>
            </w:r>
          </w:p>
        </w:tc>
        <w:tc>
          <w:tcPr>
            <w:tcW w:w="20" w:type="dxa"/>
            <w:vAlign w:val="bottom"/>
          </w:tcPr>
          <w:p>
            <w:pPr>
              <w:spacing w:after="0"/>
              <w:rPr>
                <w:sz w:val="19"/>
                <w:szCs w:val="19"/>
                <w:color w:val="auto"/>
              </w:rPr>
            </w:pPr>
          </w:p>
        </w:tc>
      </w:tr>
      <w:tr>
        <w:trPr>
          <w:trHeight w:val="50"/>
        </w:trPr>
        <w:tc>
          <w:tcPr>
            <w:tcW w:w="6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3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Accrued vacaton costs</w:t>
            </w:r>
          </w:p>
        </w:tc>
        <w:tc>
          <w:tcPr>
            <w:tcW w:w="60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2,452</w:t>
            </w:r>
          </w:p>
        </w:tc>
        <w:tc>
          <w:tcPr>
            <w:tcW w:w="4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2,156</w:t>
            </w:r>
          </w:p>
        </w:tc>
        <w:tc>
          <w:tcPr>
            <w:tcW w:w="20" w:type="dxa"/>
            <w:vAlign w:val="bottom"/>
          </w:tcPr>
          <w:p>
            <w:pPr>
              <w:spacing w:after="0"/>
              <w:rPr>
                <w:sz w:val="21"/>
                <w:szCs w:val="21"/>
                <w:color w:val="auto"/>
              </w:rPr>
            </w:pPr>
          </w:p>
        </w:tc>
      </w:tr>
      <w:tr>
        <w:trPr>
          <w:trHeight w:val="274"/>
        </w:trPr>
        <w:tc>
          <w:tcPr>
            <w:tcW w:w="6340" w:type="dxa"/>
            <w:vAlign w:val="bottom"/>
          </w:tcPr>
          <w:p>
            <w:pPr>
              <w:ind w:left="20"/>
              <w:spacing w:after="0"/>
              <w:rPr>
                <w:sz w:val="20"/>
                <w:szCs w:val="20"/>
                <w:color w:val="auto"/>
              </w:rPr>
            </w:pPr>
            <w:r>
              <w:rPr>
                <w:rFonts w:ascii="Calibri" w:cs="Calibri" w:eastAsia="Calibri" w:hAnsi="Calibri"/>
                <w:sz w:val="18"/>
                <w:szCs w:val="18"/>
                <w:color w:val="51555C"/>
              </w:rPr>
              <w:t>Contngent consideraton liability</w:t>
            </w: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1,403</w:t>
            </w:r>
          </w:p>
        </w:tc>
        <w:tc>
          <w:tcPr>
            <w:tcW w:w="4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2,710</w:t>
            </w:r>
          </w:p>
        </w:tc>
        <w:tc>
          <w:tcPr>
            <w:tcW w:w="20" w:type="dxa"/>
            <w:vAlign w:val="bottom"/>
          </w:tcPr>
          <w:p>
            <w:pPr>
              <w:spacing w:after="0"/>
              <w:rPr>
                <w:sz w:val="23"/>
                <w:szCs w:val="23"/>
                <w:color w:val="auto"/>
              </w:rPr>
            </w:pPr>
          </w:p>
        </w:tc>
      </w:tr>
      <w:tr>
        <w:trPr>
          <w:trHeight w:val="50"/>
        </w:trPr>
        <w:tc>
          <w:tcPr>
            <w:tcW w:w="6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3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liabilites</w:t>
            </w:r>
          </w:p>
        </w:tc>
        <w:tc>
          <w:tcPr>
            <w:tcW w:w="60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spacing w:after="0"/>
              <w:rPr>
                <w:sz w:val="23"/>
                <w:szCs w:val="23"/>
                <w:color w:val="auto"/>
              </w:rPr>
            </w:pPr>
          </w:p>
        </w:tc>
        <w:tc>
          <w:tcPr>
            <w:tcW w:w="4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10,704</w:t>
            </w:r>
          </w:p>
        </w:tc>
        <w:tc>
          <w:tcPr>
            <w:tcW w:w="46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9,542</w:t>
            </w:r>
          </w:p>
        </w:tc>
        <w:tc>
          <w:tcPr>
            <w:tcW w:w="20" w:type="dxa"/>
            <w:vAlign w:val="bottom"/>
          </w:tcPr>
          <w:p>
            <w:pPr>
              <w:spacing w:after="0"/>
              <w:rPr>
                <w:sz w:val="23"/>
                <w:szCs w:val="23"/>
                <w:color w:val="auto"/>
              </w:rPr>
            </w:pPr>
          </w:p>
        </w:tc>
      </w:tr>
      <w:tr>
        <w:trPr>
          <w:trHeight w:val="213"/>
        </w:trPr>
        <w:tc>
          <w:tcPr>
            <w:tcW w:w="6340" w:type="dxa"/>
            <w:vAlign w:val="bottom"/>
          </w:tcPr>
          <w:p>
            <w:pPr>
              <w:ind w:left="140"/>
              <w:spacing w:after="0" w:line="199" w:lineRule="exact"/>
              <w:rPr>
                <w:sz w:val="20"/>
                <w:szCs w:val="20"/>
                <w:color w:val="auto"/>
              </w:rPr>
            </w:pPr>
            <w:r>
              <w:rPr>
                <w:rFonts w:ascii="Calibri" w:cs="Calibri" w:eastAsia="Calibri" w:hAnsi="Calibri"/>
                <w:sz w:val="18"/>
                <w:szCs w:val="18"/>
                <w:color w:val="51555C"/>
              </w:rPr>
              <w:t>Total accrued expenses and other liabilites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Borders>
              <w:top w:val="single" w:sz="8" w:color="51555C"/>
            </w:tcBorders>
          </w:tcPr>
          <w:p>
            <w:pPr>
              <w:spacing w:after="0"/>
              <w:rPr>
                <w:sz w:val="18"/>
                <w:szCs w:val="18"/>
                <w:color w:val="auto"/>
              </w:rPr>
            </w:pP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74,580</w:t>
            </w:r>
          </w:p>
        </w:tc>
        <w:tc>
          <w:tcPr>
            <w:tcW w:w="460" w:type="dxa"/>
            <w:vAlign w:val="bottom"/>
            <w:tcBorders>
              <w:top w:val="single" w:sz="8" w:color="51555C"/>
            </w:tcBorders>
          </w:tcPr>
          <w:p>
            <w:pPr>
              <w:spacing w:after="0"/>
              <w:rPr>
                <w:sz w:val="18"/>
                <w:szCs w:val="18"/>
                <w:color w:val="auto"/>
              </w:rPr>
            </w:pP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90,296</w:t>
            </w:r>
          </w:p>
        </w:tc>
        <w:tc>
          <w:tcPr>
            <w:tcW w:w="20" w:type="dxa"/>
            <w:vAlign w:val="bottom"/>
          </w:tcPr>
          <w:p>
            <w:pPr>
              <w:spacing w:after="0"/>
              <w:rPr>
                <w:sz w:val="18"/>
                <w:szCs w:val="18"/>
                <w:color w:val="auto"/>
              </w:rPr>
            </w:pPr>
          </w:p>
        </w:tc>
      </w:tr>
      <w:tr>
        <w:trPr>
          <w:trHeight w:val="50"/>
        </w:trPr>
        <w:tc>
          <w:tcPr>
            <w:tcW w:w="6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3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Long-term porton</w:t>
            </w:r>
          </w:p>
        </w:tc>
        <w:tc>
          <w:tcPr>
            <w:tcW w:w="60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spacing w:after="0"/>
              <w:rPr>
                <w:sz w:val="23"/>
                <w:szCs w:val="23"/>
                <w:color w:val="auto"/>
              </w:rPr>
            </w:pPr>
          </w:p>
        </w:tc>
        <w:tc>
          <w:tcPr>
            <w:tcW w:w="4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10,258</w:t>
            </w:r>
          </w:p>
        </w:tc>
        <w:tc>
          <w:tcPr>
            <w:tcW w:w="46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4,294</w:t>
            </w:r>
          </w:p>
        </w:tc>
        <w:tc>
          <w:tcPr>
            <w:tcW w:w="20" w:type="dxa"/>
            <w:vAlign w:val="bottom"/>
          </w:tcPr>
          <w:p>
            <w:pPr>
              <w:spacing w:after="0"/>
              <w:rPr>
                <w:sz w:val="23"/>
                <w:szCs w:val="23"/>
                <w:color w:val="auto"/>
              </w:rPr>
            </w:pPr>
          </w:p>
        </w:tc>
      </w:tr>
      <w:tr>
        <w:trPr>
          <w:trHeight w:val="213"/>
        </w:trPr>
        <w:tc>
          <w:tcPr>
            <w:tcW w:w="6340" w:type="dxa"/>
            <w:vAlign w:val="bottom"/>
          </w:tcPr>
          <w:p>
            <w:pPr>
              <w:ind w:left="20"/>
              <w:spacing w:after="0" w:line="199" w:lineRule="exact"/>
              <w:rPr>
                <w:sz w:val="20"/>
                <w:szCs w:val="20"/>
                <w:color w:val="auto"/>
              </w:rPr>
            </w:pPr>
            <w:r>
              <w:rPr>
                <w:rFonts w:ascii="Calibri" w:cs="Calibri" w:eastAsia="Calibri" w:hAnsi="Calibri"/>
                <w:sz w:val="18"/>
                <w:szCs w:val="18"/>
                <w:color w:val="51555C"/>
              </w:rPr>
              <w:t>Accrued expenses and other current liabilites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64,322</w:t>
            </w:r>
          </w:p>
        </w:tc>
        <w:tc>
          <w:tcPr>
            <w:tcW w:w="460" w:type="dxa"/>
            <w:vAlign w:val="bottom"/>
            <w:tcBorders>
              <w:top w:val="single" w:sz="8" w:color="51555C"/>
            </w:tcBorders>
          </w:tcPr>
          <w:p>
            <w:pPr>
              <w:ind w:left="20"/>
              <w:spacing w:after="0" w:line="213" w:lineRule="exact"/>
              <w:rPr>
                <w:sz w:val="20"/>
                <w:szCs w:val="20"/>
                <w:color w:val="auto"/>
              </w:rPr>
            </w:pPr>
            <w:r>
              <w:rPr>
                <w:rFonts w:ascii="Calibri" w:cs="Calibri" w:eastAsia="Calibri" w:hAnsi="Calibri"/>
                <w:sz w:val="18"/>
                <w:szCs w:val="18"/>
                <w:color w:val="51555C"/>
              </w:rPr>
              <w:t>$</w:t>
            </w: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86,002</w:t>
            </w:r>
          </w:p>
        </w:tc>
        <w:tc>
          <w:tcPr>
            <w:tcW w:w="20" w:type="dxa"/>
            <w:vAlign w:val="bottom"/>
          </w:tcPr>
          <w:p>
            <w:pPr>
              <w:spacing w:after="0"/>
              <w:rPr>
                <w:sz w:val="18"/>
                <w:szCs w:val="18"/>
                <w:color w:val="auto"/>
              </w:rPr>
            </w:pPr>
          </w:p>
        </w:tc>
      </w:tr>
      <w:tr>
        <w:trPr>
          <w:trHeight w:val="51"/>
        </w:trPr>
        <w:tc>
          <w:tcPr>
            <w:tcW w:w="6340" w:type="dxa"/>
            <w:vAlign w:val="bottom"/>
            <w:tcBorders>
              <w:bottom w:val="single" w:sz="8" w:color="0CD973"/>
            </w:tcBorders>
          </w:tcPr>
          <w:p>
            <w:pPr>
              <w:spacing w:after="0"/>
              <w:rPr>
                <w:sz w:val="4"/>
                <w:szCs w:val="4"/>
                <w:color w:val="auto"/>
              </w:rPr>
            </w:pPr>
          </w:p>
        </w:tc>
        <w:tc>
          <w:tcPr>
            <w:tcW w:w="600" w:type="dxa"/>
            <w:vAlign w:val="bottom"/>
            <w:tcBorders>
              <w:bottom w:val="single" w:sz="8" w:color="0CD973"/>
            </w:tcBorders>
          </w:tcPr>
          <w:p>
            <w:pPr>
              <w:spacing w:after="0"/>
              <w:rPr>
                <w:sz w:val="4"/>
                <w:szCs w:val="4"/>
                <w:color w:val="auto"/>
              </w:rPr>
            </w:pPr>
          </w:p>
        </w:tc>
        <w:tc>
          <w:tcPr>
            <w:tcW w:w="1040" w:type="dxa"/>
            <w:vAlign w:val="bottom"/>
            <w:tcBorders>
              <w:bottom w:val="single" w:sz="8" w:color="0CD973"/>
            </w:tcBorders>
          </w:tcPr>
          <w:p>
            <w:pPr>
              <w:spacing w:after="0"/>
              <w:rPr>
                <w:sz w:val="4"/>
                <w:szCs w:val="4"/>
                <w:color w:val="auto"/>
              </w:rPr>
            </w:pPr>
          </w:p>
        </w:tc>
        <w:tc>
          <w:tcPr>
            <w:tcW w:w="440" w:type="dxa"/>
            <w:vAlign w:val="bottom"/>
            <w:tcBorders>
              <w:bottom w:val="single" w:sz="8" w:color="0CD973"/>
            </w:tcBorders>
          </w:tcPr>
          <w:p>
            <w:pPr>
              <w:spacing w:after="0"/>
              <w:rPr>
                <w:sz w:val="4"/>
                <w:szCs w:val="4"/>
                <w:color w:val="auto"/>
              </w:rPr>
            </w:pPr>
          </w:p>
        </w:tc>
        <w:tc>
          <w:tcPr>
            <w:tcW w:w="118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1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r>
        <w:trPr>
          <w:trHeight w:val="442"/>
        </w:trPr>
        <w:tc>
          <w:tcPr>
            <w:tcW w:w="6340" w:type="dxa"/>
            <w:vAlign w:val="bottom"/>
          </w:tcPr>
          <w:p>
            <w:pPr>
              <w:spacing w:after="0"/>
              <w:rPr>
                <w:sz w:val="20"/>
                <w:szCs w:val="20"/>
                <w:color w:val="auto"/>
              </w:rPr>
            </w:pPr>
            <w:r>
              <w:rPr>
                <w:rFonts w:ascii="Calibri" w:cs="Calibri" w:eastAsia="Calibri" w:hAnsi="Calibri"/>
                <w:sz w:val="18"/>
                <w:szCs w:val="18"/>
                <w:b w:val="1"/>
                <w:bCs w:val="1"/>
                <w:color w:val="51555C"/>
              </w:rPr>
              <w:t>Other income, net</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6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83"/>
        </w:trPr>
        <w:tc>
          <w:tcPr>
            <w:tcW w:w="6340" w:type="dxa"/>
            <w:vAlign w:val="bottom"/>
            <w:shd w:val="clear" w:color="auto" w:fill="004054"/>
          </w:tcPr>
          <w:p>
            <w:pPr>
              <w:spacing w:after="0"/>
              <w:rPr>
                <w:sz w:val="15"/>
                <w:szCs w:val="15"/>
                <w:color w:val="auto"/>
              </w:rPr>
            </w:pPr>
          </w:p>
        </w:tc>
        <w:tc>
          <w:tcPr>
            <w:tcW w:w="600" w:type="dxa"/>
            <w:vAlign w:val="bottom"/>
            <w:shd w:val="clear" w:color="auto" w:fill="004054"/>
          </w:tcPr>
          <w:p>
            <w:pPr>
              <w:spacing w:after="0"/>
              <w:rPr>
                <w:sz w:val="15"/>
                <w:szCs w:val="15"/>
                <w:color w:val="auto"/>
              </w:rPr>
            </w:pPr>
          </w:p>
        </w:tc>
        <w:tc>
          <w:tcPr>
            <w:tcW w:w="104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180" w:type="dxa"/>
            <w:vAlign w:val="bottom"/>
            <w:shd w:val="clear" w:color="auto" w:fill="004054"/>
          </w:tcPr>
          <w:p>
            <w:pPr>
              <w:spacing w:after="0"/>
              <w:rPr>
                <w:sz w:val="15"/>
                <w:szCs w:val="15"/>
                <w:color w:val="auto"/>
              </w:rPr>
            </w:pPr>
          </w:p>
        </w:tc>
        <w:tc>
          <w:tcPr>
            <w:tcW w:w="1640" w:type="dxa"/>
            <w:vAlign w:val="bottom"/>
            <w:gridSpan w:val="2"/>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5"/>
                <w:szCs w:val="15"/>
                <w:color w:val="auto"/>
              </w:rPr>
            </w:pPr>
          </w:p>
        </w:tc>
      </w:tr>
      <w:tr>
        <w:trPr>
          <w:trHeight w:val="243"/>
        </w:trPr>
        <w:tc>
          <w:tcPr>
            <w:tcW w:w="63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600" w:type="dxa"/>
            <w:vAlign w:val="bottom"/>
            <w:shd w:val="clear" w:color="auto" w:fill="004054"/>
          </w:tcPr>
          <w:p>
            <w:pPr>
              <w:spacing w:after="0"/>
              <w:rPr>
                <w:sz w:val="21"/>
                <w:szCs w:val="21"/>
                <w:color w:val="auto"/>
              </w:rPr>
            </w:pPr>
          </w:p>
        </w:tc>
        <w:tc>
          <w:tcPr>
            <w:tcW w:w="1040" w:type="dxa"/>
            <w:vAlign w:val="bottom"/>
            <w:shd w:val="clear" w:color="auto" w:fill="004054"/>
          </w:tcPr>
          <w:p>
            <w:pPr>
              <w:ind w:left="720"/>
              <w:spacing w:after="0"/>
              <w:rPr>
                <w:sz w:val="20"/>
                <w:szCs w:val="20"/>
                <w:color w:val="auto"/>
              </w:rPr>
            </w:pPr>
            <w:r>
              <w:rPr>
                <w:rFonts w:ascii="Calibri" w:cs="Calibri" w:eastAsia="Calibri" w:hAnsi="Calibri"/>
                <w:sz w:val="14"/>
                <w:szCs w:val="14"/>
                <w:b w:val="1"/>
                <w:bCs w:val="1"/>
                <w:color w:val="FFFFFF"/>
              </w:rPr>
              <w:t>2023</w:t>
            </w:r>
          </w:p>
        </w:tc>
        <w:tc>
          <w:tcPr>
            <w:tcW w:w="440" w:type="dxa"/>
            <w:vAlign w:val="bottom"/>
            <w:shd w:val="clear" w:color="auto" w:fill="004054"/>
          </w:tcPr>
          <w:p>
            <w:pPr>
              <w:spacing w:after="0"/>
              <w:rPr>
                <w:sz w:val="21"/>
                <w:szCs w:val="21"/>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460" w:type="dxa"/>
            <w:vAlign w:val="bottom"/>
            <w:shd w:val="clear" w:color="auto" w:fill="004054"/>
          </w:tcPr>
          <w:p>
            <w:pPr>
              <w:spacing w:after="0"/>
              <w:rPr>
                <w:sz w:val="21"/>
                <w:szCs w:val="21"/>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1"/>
                <w:szCs w:val="21"/>
                <w:color w:val="auto"/>
              </w:rPr>
            </w:pPr>
          </w:p>
        </w:tc>
      </w:tr>
      <w:tr>
        <w:trPr>
          <w:trHeight w:val="74"/>
        </w:trPr>
        <w:tc>
          <w:tcPr>
            <w:tcW w:w="6340" w:type="dxa"/>
            <w:vAlign w:val="bottom"/>
            <w:shd w:val="clear" w:color="auto" w:fill="004054"/>
          </w:tcPr>
          <w:p>
            <w:pPr>
              <w:spacing w:after="0"/>
              <w:rPr>
                <w:sz w:val="6"/>
                <w:szCs w:val="6"/>
                <w:color w:val="auto"/>
              </w:rPr>
            </w:pPr>
          </w:p>
        </w:tc>
        <w:tc>
          <w:tcPr>
            <w:tcW w:w="600" w:type="dxa"/>
            <w:vAlign w:val="bottom"/>
            <w:shd w:val="clear" w:color="auto" w:fill="004054"/>
          </w:tcPr>
          <w:p>
            <w:pPr>
              <w:spacing w:after="0"/>
              <w:rPr>
                <w:sz w:val="6"/>
                <w:szCs w:val="6"/>
                <w:color w:val="auto"/>
              </w:rPr>
            </w:pPr>
          </w:p>
        </w:tc>
        <w:tc>
          <w:tcPr>
            <w:tcW w:w="104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3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Interest income</w:t>
            </w:r>
          </w:p>
        </w:tc>
        <w:tc>
          <w:tcPr>
            <w:tcW w:w="600" w:type="dxa"/>
            <w:vAlign w:val="bottom"/>
            <w:tcBorders>
              <w:bottom w:val="single" w:sz="8" w:color="EBFBFF"/>
            </w:tcBorders>
            <w:shd w:val="clear" w:color="auto" w:fill="EBFBFF"/>
          </w:tcPr>
          <w:p>
            <w:pPr>
              <w:jc w:val="right"/>
              <w:ind w:right="410"/>
              <w:spacing w:after="0"/>
              <w:rPr>
                <w:sz w:val="20"/>
                <w:szCs w:val="20"/>
                <w:color w:val="auto"/>
              </w:rPr>
            </w:pPr>
            <w:r>
              <w:rPr>
                <w:rFonts w:ascii="Calibri" w:cs="Calibri" w:eastAsia="Calibri" w:hAnsi="Calibri"/>
                <w:sz w:val="18"/>
                <w:szCs w:val="18"/>
                <w:color w:val="51555C"/>
                <w:w w:val="87"/>
              </w:rPr>
              <w:t>$</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8,821</w:t>
            </w:r>
          </w:p>
        </w:tc>
        <w:tc>
          <w:tcPr>
            <w:tcW w:w="44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1,746</w:t>
            </w:r>
          </w:p>
        </w:tc>
        <w:tc>
          <w:tcPr>
            <w:tcW w:w="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392</w:t>
            </w:r>
          </w:p>
        </w:tc>
        <w:tc>
          <w:tcPr>
            <w:tcW w:w="20" w:type="dxa"/>
            <w:vAlign w:val="bottom"/>
          </w:tcPr>
          <w:p>
            <w:pPr>
              <w:spacing w:after="0"/>
              <w:rPr>
                <w:sz w:val="21"/>
                <w:szCs w:val="21"/>
                <w:color w:val="auto"/>
              </w:rPr>
            </w:pPr>
          </w:p>
        </w:tc>
      </w:tr>
      <w:tr>
        <w:trPr>
          <w:trHeight w:val="220"/>
        </w:trPr>
        <w:tc>
          <w:tcPr>
            <w:tcW w:w="6340" w:type="dxa"/>
            <w:vAlign w:val="bottom"/>
          </w:tcPr>
          <w:p>
            <w:pPr>
              <w:ind w:left="20"/>
              <w:spacing w:after="0"/>
              <w:rPr>
                <w:sz w:val="20"/>
                <w:szCs w:val="20"/>
                <w:color w:val="auto"/>
              </w:rPr>
            </w:pPr>
            <w:r>
              <w:rPr>
                <w:rFonts w:ascii="Calibri" w:cs="Calibri" w:eastAsia="Calibri" w:hAnsi="Calibri"/>
                <w:sz w:val="18"/>
                <w:szCs w:val="18"/>
                <w:color w:val="51555C"/>
              </w:rPr>
              <w:t>Currency revaluaton (losses) gains</w:t>
            </w:r>
          </w:p>
        </w:tc>
        <w:tc>
          <w:tcPr>
            <w:tcW w:w="600" w:type="dxa"/>
            <w:vAlign w:val="bottom"/>
          </w:tcPr>
          <w:p>
            <w:pPr>
              <w:spacing w:after="0"/>
              <w:rPr>
                <w:sz w:val="19"/>
                <w:szCs w:val="19"/>
                <w:color w:val="auto"/>
              </w:rPr>
            </w:pPr>
          </w:p>
        </w:tc>
        <w:tc>
          <w:tcPr>
            <w:tcW w:w="1040" w:type="dxa"/>
            <w:vAlign w:val="bottom"/>
          </w:tcPr>
          <w:p>
            <w:pPr>
              <w:ind w:left="720"/>
              <w:spacing w:after="0"/>
              <w:rPr>
                <w:sz w:val="20"/>
                <w:szCs w:val="20"/>
                <w:color w:val="auto"/>
              </w:rPr>
            </w:pPr>
            <w:r>
              <w:rPr>
                <w:rFonts w:ascii="Calibri" w:cs="Calibri" w:eastAsia="Calibri" w:hAnsi="Calibri"/>
                <w:sz w:val="18"/>
                <w:szCs w:val="18"/>
                <w:color w:val="51555C"/>
              </w:rPr>
              <w:t>(36)</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4,635</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(1,644)</w:t>
            </w:r>
          </w:p>
        </w:tc>
        <w:tc>
          <w:tcPr>
            <w:tcW w:w="20" w:type="dxa"/>
            <w:vAlign w:val="bottom"/>
          </w:tcPr>
          <w:p>
            <w:pPr>
              <w:spacing w:after="0"/>
              <w:rPr>
                <w:sz w:val="19"/>
                <w:szCs w:val="19"/>
                <w:color w:val="auto"/>
              </w:rPr>
            </w:pPr>
          </w:p>
        </w:tc>
      </w:tr>
      <w:tr>
        <w:trPr>
          <w:trHeight w:val="50"/>
        </w:trPr>
        <w:tc>
          <w:tcPr>
            <w:tcW w:w="6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3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income, net</w:t>
            </w:r>
          </w:p>
        </w:tc>
        <w:tc>
          <w:tcPr>
            <w:tcW w:w="60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4,076</w:t>
            </w:r>
          </w:p>
        </w:tc>
        <w:tc>
          <w:tcPr>
            <w:tcW w:w="4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2,332</w:t>
            </w:r>
          </w:p>
        </w:tc>
        <w:tc>
          <w:tcPr>
            <w:tcW w:w="46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1,432</w:t>
            </w:r>
          </w:p>
        </w:tc>
        <w:tc>
          <w:tcPr>
            <w:tcW w:w="20" w:type="dxa"/>
            <w:vAlign w:val="bottom"/>
          </w:tcPr>
          <w:p>
            <w:pPr>
              <w:spacing w:after="0"/>
              <w:rPr>
                <w:sz w:val="23"/>
                <w:szCs w:val="23"/>
                <w:color w:val="auto"/>
              </w:rPr>
            </w:pPr>
          </w:p>
        </w:tc>
      </w:tr>
      <w:tr>
        <w:trPr>
          <w:trHeight w:val="213"/>
        </w:trPr>
        <w:tc>
          <w:tcPr>
            <w:tcW w:w="6340" w:type="dxa"/>
            <w:vAlign w:val="bottom"/>
          </w:tcPr>
          <w:p>
            <w:pPr>
              <w:ind w:left="140"/>
              <w:spacing w:after="0" w:line="199" w:lineRule="exact"/>
              <w:rPr>
                <w:sz w:val="20"/>
                <w:szCs w:val="20"/>
                <w:color w:val="auto"/>
              </w:rPr>
            </w:pPr>
            <w:r>
              <w:rPr>
                <w:rFonts w:ascii="Calibri" w:cs="Calibri" w:eastAsia="Calibri" w:hAnsi="Calibri"/>
                <w:sz w:val="18"/>
                <w:szCs w:val="18"/>
                <w:color w:val="51555C"/>
              </w:rPr>
              <w:t>Other income, net</w:t>
            </w:r>
          </w:p>
        </w:tc>
        <w:tc>
          <w:tcPr>
            <w:tcW w:w="600" w:type="dxa"/>
            <w:vAlign w:val="bottom"/>
            <w:tcBorders>
              <w:top w:val="single" w:sz="8" w:color="51555C"/>
            </w:tcBorders>
          </w:tcPr>
          <w:p>
            <w:pPr>
              <w:jc w:val="right"/>
              <w:ind w:right="410"/>
              <w:spacing w:after="0" w:line="213" w:lineRule="exact"/>
              <w:rPr>
                <w:sz w:val="20"/>
                <w:szCs w:val="20"/>
                <w:color w:val="auto"/>
              </w:rPr>
            </w:pPr>
            <w:r>
              <w:rPr>
                <w:rFonts w:ascii="Calibri" w:cs="Calibri" w:eastAsia="Calibri" w:hAnsi="Calibri"/>
                <w:sz w:val="18"/>
                <w:szCs w:val="18"/>
                <w:color w:val="51555C"/>
                <w:w w:val="87"/>
              </w:rPr>
              <w:t>$</w:t>
            </w:r>
          </w:p>
        </w:tc>
        <w:tc>
          <w:tcPr>
            <w:tcW w:w="10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12,861</w:t>
            </w:r>
          </w:p>
        </w:tc>
        <w:tc>
          <w:tcPr>
            <w:tcW w:w="44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w w:val="87"/>
              </w:rPr>
              <w:t>$</w:t>
            </w: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8,713</w:t>
            </w:r>
          </w:p>
        </w:tc>
        <w:tc>
          <w:tcPr>
            <w:tcW w:w="460" w:type="dxa"/>
            <w:vAlign w:val="bottom"/>
            <w:tcBorders>
              <w:top w:val="single" w:sz="8" w:color="51555C"/>
            </w:tcBorders>
          </w:tcPr>
          <w:p>
            <w:pPr>
              <w:ind w:left="20"/>
              <w:spacing w:after="0" w:line="213" w:lineRule="exact"/>
              <w:rPr>
                <w:sz w:val="20"/>
                <w:szCs w:val="20"/>
                <w:color w:val="auto"/>
              </w:rPr>
            </w:pPr>
            <w:r>
              <w:rPr>
                <w:rFonts w:ascii="Calibri" w:cs="Calibri" w:eastAsia="Calibri" w:hAnsi="Calibri"/>
                <w:sz w:val="18"/>
                <w:szCs w:val="18"/>
                <w:color w:val="51555C"/>
              </w:rPr>
              <w:t>$</w:t>
            </w: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180</w:t>
            </w:r>
          </w:p>
        </w:tc>
        <w:tc>
          <w:tcPr>
            <w:tcW w:w="20" w:type="dxa"/>
            <w:vAlign w:val="bottom"/>
          </w:tcPr>
          <w:p>
            <w:pPr>
              <w:spacing w:after="0"/>
              <w:rPr>
                <w:sz w:val="18"/>
                <w:szCs w:val="18"/>
                <w:color w:val="auto"/>
              </w:rPr>
            </w:pPr>
          </w:p>
        </w:tc>
      </w:tr>
      <w:tr>
        <w:trPr>
          <w:trHeight w:val="50"/>
        </w:trPr>
        <w:tc>
          <w:tcPr>
            <w:tcW w:w="6340" w:type="dxa"/>
            <w:vAlign w:val="bottom"/>
            <w:tcBorders>
              <w:bottom w:val="single" w:sz="8" w:color="0CD973"/>
            </w:tcBorders>
          </w:tcPr>
          <w:p>
            <w:pPr>
              <w:spacing w:after="0"/>
              <w:rPr>
                <w:sz w:val="4"/>
                <w:szCs w:val="4"/>
                <w:color w:val="auto"/>
              </w:rPr>
            </w:pPr>
          </w:p>
        </w:tc>
        <w:tc>
          <w:tcPr>
            <w:tcW w:w="600" w:type="dxa"/>
            <w:vAlign w:val="bottom"/>
            <w:tcBorders>
              <w:bottom w:val="single" w:sz="8" w:color="0CD973"/>
            </w:tcBorders>
          </w:tcPr>
          <w:p>
            <w:pPr>
              <w:spacing w:after="0"/>
              <w:rPr>
                <w:sz w:val="4"/>
                <w:szCs w:val="4"/>
                <w:color w:val="auto"/>
              </w:rPr>
            </w:pPr>
          </w:p>
        </w:tc>
        <w:tc>
          <w:tcPr>
            <w:tcW w:w="1040" w:type="dxa"/>
            <w:vAlign w:val="bottom"/>
            <w:tcBorders>
              <w:bottom w:val="single" w:sz="8" w:color="0CD973"/>
            </w:tcBorders>
          </w:tcPr>
          <w:p>
            <w:pPr>
              <w:spacing w:after="0"/>
              <w:rPr>
                <w:sz w:val="4"/>
                <w:szCs w:val="4"/>
                <w:color w:val="auto"/>
              </w:rPr>
            </w:pPr>
          </w:p>
        </w:tc>
        <w:tc>
          <w:tcPr>
            <w:tcW w:w="440" w:type="dxa"/>
            <w:vAlign w:val="bottom"/>
            <w:tcBorders>
              <w:bottom w:val="single" w:sz="8" w:color="0CD973"/>
            </w:tcBorders>
          </w:tcPr>
          <w:p>
            <w:pPr>
              <w:spacing w:after="0"/>
              <w:rPr>
                <w:sz w:val="4"/>
                <w:szCs w:val="4"/>
                <w:color w:val="auto"/>
              </w:rPr>
            </w:pPr>
          </w:p>
        </w:tc>
        <w:tc>
          <w:tcPr>
            <w:tcW w:w="118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1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-864870</wp:posOffset>
            </wp:positionV>
            <wp:extent cx="31203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9.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following table summarizes our debt balances and the related weighted average efectve interest rates, which includes the efect of interest rate swap agreements.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6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120" w:type="dxa"/>
            <w:vAlign w:val="bottom"/>
            <w:shd w:val="clear" w:color="auto" w:fill="004054"/>
          </w:tcPr>
          <w:p>
            <w:pPr>
              <w:spacing w:after="0"/>
              <w:rPr>
                <w:sz w:val="16"/>
                <w:szCs w:val="16"/>
                <w:color w:val="auto"/>
              </w:rPr>
            </w:pPr>
          </w:p>
        </w:tc>
        <w:tc>
          <w:tcPr>
            <w:tcW w:w="320" w:type="dxa"/>
            <w:vAlign w:val="bottom"/>
            <w:shd w:val="clear" w:color="auto" w:fill="004054"/>
          </w:tcPr>
          <w:p>
            <w:pPr>
              <w:spacing w:after="0"/>
              <w:rPr>
                <w:sz w:val="16"/>
                <w:szCs w:val="16"/>
                <w:color w:val="auto"/>
              </w:rPr>
            </w:pPr>
          </w:p>
        </w:tc>
        <w:tc>
          <w:tcPr>
            <w:tcW w:w="1180" w:type="dxa"/>
            <w:vAlign w:val="bottom"/>
            <w:shd w:val="clear" w:color="auto" w:fill="004054"/>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shd w:val="clear" w:color="auto" w:fill="004054"/>
          </w:tcPr>
          <w:p>
            <w:pPr>
              <w:spacing w:after="0"/>
              <w:rPr>
                <w:sz w:val="16"/>
                <w:szCs w:val="16"/>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Weighted average</w:t>
            </w:r>
          </w:p>
        </w:tc>
        <w:tc>
          <w:tcPr>
            <w:tcW w:w="40" w:type="dxa"/>
            <w:vAlign w:val="bottom"/>
            <w:tcBorders>
              <w:left w:val="single" w:sz="8" w:color="004054"/>
            </w:tcBorders>
          </w:tcPr>
          <w:p>
            <w:pPr>
              <w:spacing w:after="0"/>
              <w:rPr>
                <w:sz w:val="16"/>
                <w:szCs w:val="16"/>
                <w:color w:val="auto"/>
              </w:rPr>
            </w:pPr>
          </w:p>
        </w:tc>
      </w:tr>
      <w:tr>
        <w:trPr>
          <w:trHeight w:val="170"/>
        </w:trPr>
        <w:tc>
          <w:tcPr>
            <w:tcW w:w="4860" w:type="dxa"/>
            <w:vAlign w:val="bottom"/>
            <w:shd w:val="clear" w:color="auto" w:fill="004054"/>
          </w:tcPr>
          <w:p>
            <w:pPr>
              <w:spacing w:after="0"/>
              <w:rPr>
                <w:sz w:val="14"/>
                <w:szCs w:val="14"/>
                <w:color w:val="auto"/>
              </w:rPr>
            </w:pPr>
          </w:p>
        </w:tc>
        <w:tc>
          <w:tcPr>
            <w:tcW w:w="380" w:type="dxa"/>
            <w:vAlign w:val="bottom"/>
            <w:shd w:val="clear" w:color="auto" w:fill="004054"/>
          </w:tcPr>
          <w:p>
            <w:pPr>
              <w:spacing w:after="0"/>
              <w:rPr>
                <w:sz w:val="14"/>
                <w:szCs w:val="14"/>
                <w:color w:val="auto"/>
              </w:rPr>
            </w:pPr>
          </w:p>
        </w:tc>
        <w:tc>
          <w:tcPr>
            <w:tcW w:w="1120" w:type="dxa"/>
            <w:vAlign w:val="bottom"/>
            <w:shd w:val="clear" w:color="auto" w:fill="004054"/>
          </w:tcPr>
          <w:p>
            <w:pPr>
              <w:spacing w:after="0"/>
              <w:rPr>
                <w:sz w:val="14"/>
                <w:szCs w:val="14"/>
                <w:color w:val="auto"/>
              </w:rPr>
            </w:pPr>
          </w:p>
        </w:tc>
        <w:tc>
          <w:tcPr>
            <w:tcW w:w="32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Debt balance at</w:t>
            </w:r>
          </w:p>
        </w:tc>
        <w:tc>
          <w:tcPr>
            <w:tcW w:w="100" w:type="dxa"/>
            <w:vAlign w:val="bottom"/>
          </w:tcPr>
          <w:p>
            <w:pPr>
              <w:spacing w:after="0"/>
              <w:rPr>
                <w:sz w:val="14"/>
                <w:szCs w:val="14"/>
                <w:color w:val="auto"/>
              </w:rPr>
            </w:pPr>
          </w:p>
        </w:tc>
        <w:tc>
          <w:tcPr>
            <w:tcW w:w="1620" w:type="dxa"/>
            <w:vAlign w:val="bottom"/>
            <w:shd w:val="clear" w:color="auto" w:fill="004054"/>
          </w:tcPr>
          <w:p>
            <w:pPr>
              <w:spacing w:after="0"/>
              <w:rPr>
                <w:sz w:val="14"/>
                <w:szCs w:val="14"/>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efectve interest rate at</w:t>
            </w:r>
          </w:p>
        </w:tc>
        <w:tc>
          <w:tcPr>
            <w:tcW w:w="40" w:type="dxa"/>
            <w:vAlign w:val="bottom"/>
            <w:tcBorders>
              <w:left w:val="single" w:sz="8" w:color="004054"/>
            </w:tcBorders>
          </w:tcPr>
          <w:p>
            <w:pPr>
              <w:spacing w:after="0"/>
              <w:rPr>
                <w:sz w:val="14"/>
                <w:szCs w:val="14"/>
                <w:color w:val="auto"/>
              </w:rPr>
            </w:pPr>
          </w:p>
        </w:tc>
      </w:tr>
      <w:tr>
        <w:trPr>
          <w:trHeight w:val="243"/>
        </w:trPr>
        <w:tc>
          <w:tcPr>
            <w:tcW w:w="4860" w:type="dxa"/>
            <w:vAlign w:val="bottom"/>
            <w:shd w:val="clear" w:color="auto" w:fill="004054"/>
          </w:tcPr>
          <w:p>
            <w:pPr>
              <w:spacing w:after="0"/>
              <w:rPr>
                <w:sz w:val="21"/>
                <w:szCs w:val="21"/>
                <w:color w:val="auto"/>
              </w:rPr>
            </w:pPr>
          </w:p>
        </w:tc>
        <w:tc>
          <w:tcPr>
            <w:tcW w:w="380" w:type="dxa"/>
            <w:vAlign w:val="bottom"/>
            <w:shd w:val="clear" w:color="auto" w:fill="004054"/>
          </w:tcPr>
          <w:p>
            <w:pPr>
              <w:spacing w:after="0"/>
              <w:rPr>
                <w:sz w:val="21"/>
                <w:szCs w:val="21"/>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320" w:type="dxa"/>
            <w:vAlign w:val="bottom"/>
            <w:shd w:val="clear" w:color="auto" w:fill="004054"/>
          </w:tcPr>
          <w:p>
            <w:pPr>
              <w:spacing w:after="0"/>
              <w:rPr>
                <w:sz w:val="21"/>
                <w:szCs w:val="21"/>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00" w:type="dxa"/>
            <w:vAlign w:val="bottom"/>
          </w:tcPr>
          <w:p>
            <w:pPr>
              <w:spacing w:after="0"/>
              <w:rPr>
                <w:sz w:val="21"/>
                <w:szCs w:val="21"/>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0" w:type="dxa"/>
            <w:vAlign w:val="bottom"/>
            <w:tcBorders>
              <w:left w:val="single" w:sz="8" w:color="004054"/>
            </w:tcBorders>
          </w:tcPr>
          <w:p>
            <w:pPr>
              <w:spacing w:after="0"/>
              <w:rPr>
                <w:sz w:val="21"/>
                <w:szCs w:val="21"/>
                <w:color w:val="auto"/>
              </w:rPr>
            </w:pPr>
          </w:p>
        </w:tc>
      </w:tr>
      <w:tr>
        <w:trPr>
          <w:trHeight w:val="175"/>
        </w:trPr>
        <w:tc>
          <w:tcPr>
            <w:tcW w:w="48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80" w:type="dxa"/>
            <w:vAlign w:val="bottom"/>
            <w:shd w:val="clear" w:color="auto" w:fill="004054"/>
          </w:tcPr>
          <w:p>
            <w:pPr>
              <w:spacing w:after="0"/>
              <w:rPr>
                <w:sz w:val="15"/>
                <w:szCs w:val="15"/>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20" w:type="dxa"/>
            <w:vAlign w:val="bottom"/>
            <w:shd w:val="clear" w:color="auto" w:fill="004054"/>
          </w:tcPr>
          <w:p>
            <w:pPr>
              <w:spacing w:after="0"/>
              <w:rPr>
                <w:sz w:val="15"/>
                <w:szCs w:val="15"/>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100" w:type="dxa"/>
            <w:vAlign w:val="bottom"/>
          </w:tcPr>
          <w:p>
            <w:pPr>
              <w:spacing w:after="0"/>
              <w:rPr>
                <w:sz w:val="15"/>
                <w:szCs w:val="15"/>
                <w:color w:val="auto"/>
              </w:rPr>
            </w:pP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6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40" w:type="dxa"/>
            <w:vAlign w:val="bottom"/>
            <w:tcBorders>
              <w:left w:val="single" w:sz="8" w:color="004054"/>
            </w:tcBorders>
          </w:tcPr>
          <w:p>
            <w:pPr>
              <w:spacing w:after="0"/>
              <w:rPr>
                <w:sz w:val="15"/>
                <w:szCs w:val="15"/>
                <w:color w:val="auto"/>
              </w:rPr>
            </w:pPr>
          </w:p>
        </w:tc>
      </w:tr>
      <w:tr>
        <w:trPr>
          <w:trHeight w:val="60"/>
        </w:trPr>
        <w:tc>
          <w:tcPr>
            <w:tcW w:w="4860" w:type="dxa"/>
            <w:vAlign w:val="bottom"/>
            <w:tcBorders>
              <w:bottom w:val="single" w:sz="8" w:color="004054"/>
            </w:tcBorders>
            <w:shd w:val="clear" w:color="auto" w:fill="004054"/>
          </w:tcPr>
          <w:p>
            <w:pPr>
              <w:spacing w:after="0"/>
              <w:rPr>
                <w:sz w:val="5"/>
                <w:szCs w:val="5"/>
                <w:color w:val="auto"/>
              </w:rPr>
            </w:pPr>
          </w:p>
        </w:tc>
        <w:tc>
          <w:tcPr>
            <w:tcW w:w="380" w:type="dxa"/>
            <w:vAlign w:val="bottom"/>
            <w:tcBorders>
              <w:bottom w:val="single" w:sz="8" w:color="004054"/>
            </w:tcBorders>
            <w:shd w:val="clear" w:color="auto" w:fill="004054"/>
          </w:tcPr>
          <w:p>
            <w:pPr>
              <w:spacing w:after="0"/>
              <w:rPr>
                <w:sz w:val="5"/>
                <w:szCs w:val="5"/>
                <w:color w:val="auto"/>
              </w:rPr>
            </w:pPr>
          </w:p>
        </w:tc>
        <w:tc>
          <w:tcPr>
            <w:tcW w:w="1120" w:type="dxa"/>
            <w:vAlign w:val="bottom"/>
            <w:tcBorders>
              <w:bottom w:val="single" w:sz="8" w:color="004054"/>
            </w:tcBorders>
            <w:shd w:val="clear" w:color="auto" w:fill="004054"/>
          </w:tcPr>
          <w:p>
            <w:pPr>
              <w:spacing w:after="0"/>
              <w:rPr>
                <w:sz w:val="5"/>
                <w:szCs w:val="5"/>
                <w:color w:val="auto"/>
              </w:rPr>
            </w:pPr>
          </w:p>
        </w:tc>
        <w:tc>
          <w:tcPr>
            <w:tcW w:w="320" w:type="dxa"/>
            <w:vAlign w:val="bottom"/>
            <w:tcBorders>
              <w:bottom w:val="single" w:sz="8" w:color="004054"/>
            </w:tcBorders>
            <w:shd w:val="clear" w:color="auto" w:fill="004054"/>
          </w:tcPr>
          <w:p>
            <w:pPr>
              <w:spacing w:after="0"/>
              <w:rPr>
                <w:sz w:val="5"/>
                <w:szCs w:val="5"/>
                <w:color w:val="auto"/>
              </w:rPr>
            </w:pPr>
          </w:p>
        </w:tc>
        <w:tc>
          <w:tcPr>
            <w:tcW w:w="1180" w:type="dxa"/>
            <w:vAlign w:val="bottom"/>
            <w:tcBorders>
              <w:bottom w:val="single" w:sz="8" w:color="004054"/>
            </w:tcBorders>
            <w:shd w:val="clear" w:color="auto" w:fill="004054"/>
          </w:tcPr>
          <w:p>
            <w:pPr>
              <w:spacing w:after="0"/>
              <w:rPr>
                <w:sz w:val="5"/>
                <w:szCs w:val="5"/>
                <w:color w:val="auto"/>
              </w:rPr>
            </w:pPr>
          </w:p>
        </w:tc>
        <w:tc>
          <w:tcPr>
            <w:tcW w:w="100" w:type="dxa"/>
            <w:vAlign w:val="bottom"/>
            <w:tcBorders>
              <w:bottom w:val="single" w:sz="8" w:color="EBFBFF"/>
            </w:tcBorders>
          </w:tcPr>
          <w:p>
            <w:pPr>
              <w:spacing w:after="0"/>
              <w:rPr>
                <w:sz w:val="5"/>
                <w:szCs w:val="5"/>
                <w:color w:val="auto"/>
              </w:rPr>
            </w:pPr>
          </w:p>
        </w:tc>
        <w:tc>
          <w:tcPr>
            <w:tcW w:w="1620" w:type="dxa"/>
            <w:vAlign w:val="bottom"/>
            <w:tcBorders>
              <w:bottom w:val="single" w:sz="8" w:color="004054"/>
            </w:tcBorders>
            <w:shd w:val="clear" w:color="auto" w:fill="004054"/>
          </w:tcPr>
          <w:p>
            <w:pPr>
              <w:spacing w:after="0"/>
              <w:rPr>
                <w:sz w:val="5"/>
                <w:szCs w:val="5"/>
                <w:color w:val="auto"/>
              </w:rPr>
            </w:pPr>
          </w:p>
        </w:tc>
        <w:tc>
          <w:tcPr>
            <w:tcW w:w="1620" w:type="dxa"/>
            <w:vAlign w:val="bottom"/>
            <w:tcBorders>
              <w:bottom w:val="single" w:sz="8" w:color="004054"/>
            </w:tcBorders>
            <w:shd w:val="clear" w:color="auto" w:fill="004054"/>
          </w:tcPr>
          <w:p>
            <w:pPr>
              <w:spacing w:after="0"/>
              <w:rPr>
                <w:sz w:val="5"/>
                <w:szCs w:val="5"/>
                <w:color w:val="auto"/>
              </w:rPr>
            </w:pPr>
          </w:p>
        </w:tc>
        <w:tc>
          <w:tcPr>
            <w:tcW w:w="40" w:type="dxa"/>
            <w:vAlign w:val="bottom"/>
            <w:tcBorders>
              <w:left w:val="single" w:sz="8" w:color="004054"/>
            </w:tcBorders>
          </w:tcPr>
          <w:p>
            <w:pPr>
              <w:spacing w:after="0"/>
              <w:rPr>
                <w:sz w:val="5"/>
                <w:szCs w:val="5"/>
                <w:color w:val="auto"/>
              </w:rPr>
            </w:pPr>
          </w:p>
        </w:tc>
      </w:tr>
      <w:tr>
        <w:trPr>
          <w:trHeight w:val="243"/>
        </w:trPr>
        <w:tc>
          <w:tcPr>
            <w:tcW w:w="486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Credit facility:</w:t>
            </w:r>
          </w:p>
        </w:tc>
        <w:tc>
          <w:tcPr>
            <w:tcW w:w="38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spacing w:after="0"/>
              <w:rPr>
                <w:sz w:val="21"/>
                <w:szCs w:val="21"/>
                <w:color w:val="auto"/>
              </w:rPr>
            </w:pP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40" w:type="dxa"/>
            <w:vAlign w:val="bottom"/>
          </w:tcPr>
          <w:p>
            <w:pPr>
              <w:spacing w:after="0"/>
              <w:rPr>
                <w:sz w:val="21"/>
                <w:szCs w:val="21"/>
                <w:color w:val="auto"/>
              </w:rPr>
            </w:pPr>
          </w:p>
        </w:tc>
      </w:tr>
      <w:tr>
        <w:trPr>
          <w:trHeight w:val="220"/>
        </w:trPr>
        <w:tc>
          <w:tcPr>
            <w:tcW w:w="4860" w:type="dxa"/>
            <w:vAlign w:val="bottom"/>
          </w:tcPr>
          <w:p>
            <w:pPr>
              <w:ind w:left="140"/>
              <w:spacing w:after="0"/>
              <w:rPr>
                <w:sz w:val="20"/>
                <w:szCs w:val="20"/>
                <w:color w:val="auto"/>
              </w:rPr>
            </w:pPr>
            <w:r>
              <w:rPr>
                <w:rFonts w:ascii="Calibri" w:cs="Calibri" w:eastAsia="Calibri" w:hAnsi="Calibri"/>
                <w:sz w:val="18"/>
                <w:szCs w:val="18"/>
                <w:color w:val="51555C"/>
              </w:rPr>
              <w:t>Revolving credit loans</w:t>
            </w: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51555C"/>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114,100</w:t>
            </w:r>
          </w:p>
        </w:tc>
        <w:tc>
          <w:tcPr>
            <w:tcW w:w="320" w:type="dxa"/>
            <w:vAlign w:val="bottom"/>
          </w:tcPr>
          <w:p>
            <w:pPr>
              <w:jc w:val="right"/>
              <w:ind w:right="130"/>
              <w:spacing w:after="0"/>
              <w:rPr>
                <w:sz w:val="20"/>
                <w:szCs w:val="20"/>
                <w:color w:val="auto"/>
              </w:rPr>
            </w:pPr>
            <w:r>
              <w:rPr>
                <w:rFonts w:ascii="Calibri" w:cs="Calibri" w:eastAsia="Calibri" w:hAnsi="Calibri"/>
                <w:sz w:val="18"/>
                <w:szCs w:val="18"/>
                <w:color w:val="51555C"/>
                <w:w w:val="87"/>
              </w:rPr>
              <w:t>$</w:t>
            </w: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177,800</w:t>
            </w:r>
          </w:p>
        </w:tc>
        <w:tc>
          <w:tcPr>
            <w:tcW w:w="1720" w:type="dxa"/>
            <w:vAlign w:val="bottom"/>
            <w:gridSpan w:val="2"/>
          </w:tcPr>
          <w:p>
            <w:pPr>
              <w:jc w:val="right"/>
              <w:spacing w:after="0"/>
              <w:rPr>
                <w:sz w:val="20"/>
                <w:szCs w:val="20"/>
                <w:color w:val="auto"/>
              </w:rPr>
            </w:pPr>
            <w:r>
              <w:rPr>
                <w:rFonts w:ascii="Calibri" w:cs="Calibri" w:eastAsia="Calibri" w:hAnsi="Calibri"/>
                <w:sz w:val="18"/>
                <w:szCs w:val="18"/>
                <w:color w:val="51555C"/>
              </w:rPr>
              <w:t>7.52 %</w:t>
            </w:r>
          </w:p>
        </w:tc>
        <w:tc>
          <w:tcPr>
            <w:tcW w:w="1620" w:type="dxa"/>
            <w:vAlign w:val="bottom"/>
          </w:tcPr>
          <w:p>
            <w:pPr>
              <w:jc w:val="right"/>
              <w:spacing w:after="0"/>
              <w:rPr>
                <w:sz w:val="20"/>
                <w:szCs w:val="20"/>
                <w:color w:val="auto"/>
              </w:rPr>
            </w:pPr>
            <w:r>
              <w:rPr>
                <w:rFonts w:ascii="Calibri" w:cs="Calibri" w:eastAsia="Calibri" w:hAnsi="Calibri"/>
                <w:sz w:val="18"/>
                <w:szCs w:val="18"/>
                <w:color w:val="51555C"/>
              </w:rPr>
              <w:t>5.18 %</w:t>
            </w:r>
          </w:p>
        </w:tc>
        <w:tc>
          <w:tcPr>
            <w:tcW w:w="40" w:type="dxa"/>
            <w:vAlign w:val="bottom"/>
          </w:tcPr>
          <w:p>
            <w:pPr>
              <w:spacing w:after="0"/>
              <w:rPr>
                <w:sz w:val="19"/>
                <w:szCs w:val="19"/>
                <w:color w:val="auto"/>
              </w:rPr>
            </w:pPr>
          </w:p>
        </w:tc>
      </w:tr>
      <w:tr>
        <w:trPr>
          <w:trHeight w:val="50"/>
        </w:trPr>
        <w:tc>
          <w:tcPr>
            <w:tcW w:w="4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8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Term loans</w:t>
            </w:r>
          </w:p>
        </w:tc>
        <w:tc>
          <w:tcPr>
            <w:tcW w:w="38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607,500</w:t>
            </w: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623,750</w:t>
            </w:r>
          </w:p>
        </w:tc>
        <w:tc>
          <w:tcPr>
            <w:tcW w:w="172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8"/>
                <w:szCs w:val="18"/>
                <w:color w:val="51555C"/>
              </w:rPr>
              <w:t>3.51 %</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4.26 %</w:t>
            </w:r>
          </w:p>
        </w:tc>
        <w:tc>
          <w:tcPr>
            <w:tcW w:w="40" w:type="dxa"/>
            <w:vAlign w:val="bottom"/>
          </w:tcPr>
          <w:p>
            <w:pPr>
              <w:spacing w:after="0"/>
              <w:rPr>
                <w:sz w:val="21"/>
                <w:szCs w:val="21"/>
                <w:color w:val="auto"/>
              </w:rPr>
            </w:pPr>
          </w:p>
        </w:tc>
      </w:tr>
      <w:tr>
        <w:trPr>
          <w:trHeight w:val="220"/>
        </w:trPr>
        <w:tc>
          <w:tcPr>
            <w:tcW w:w="4860" w:type="dxa"/>
            <w:vAlign w:val="bottom"/>
          </w:tcPr>
          <w:p>
            <w:pPr>
              <w:ind w:left="20"/>
              <w:spacing w:after="0"/>
              <w:rPr>
                <w:sz w:val="20"/>
                <w:szCs w:val="20"/>
                <w:color w:val="auto"/>
              </w:rPr>
            </w:pPr>
            <w:r>
              <w:rPr>
                <w:rFonts w:ascii="Calibri" w:cs="Calibri" w:eastAsia="Calibri" w:hAnsi="Calibri"/>
                <w:sz w:val="18"/>
                <w:szCs w:val="18"/>
                <w:color w:val="51555C"/>
              </w:rPr>
              <w:t>Real estate loans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56,745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58,189</w:t>
            </w:r>
          </w:p>
        </w:tc>
        <w:tc>
          <w:tcPr>
            <w:tcW w:w="1720" w:type="dxa"/>
            <w:vAlign w:val="bottom"/>
            <w:gridSpan w:val="2"/>
          </w:tcPr>
          <w:p>
            <w:pPr>
              <w:jc w:val="right"/>
              <w:spacing w:after="0"/>
              <w:rPr>
                <w:sz w:val="20"/>
                <w:szCs w:val="20"/>
                <w:color w:val="auto"/>
              </w:rPr>
            </w:pPr>
            <w:r>
              <w:rPr>
                <w:rFonts w:ascii="Calibri" w:cs="Calibri" w:eastAsia="Calibri" w:hAnsi="Calibri"/>
                <w:sz w:val="18"/>
                <w:szCs w:val="18"/>
                <w:color w:val="51555C"/>
              </w:rPr>
              <w:t>5.22 %</w:t>
            </w:r>
          </w:p>
        </w:tc>
        <w:tc>
          <w:tcPr>
            <w:tcW w:w="1620" w:type="dxa"/>
            <w:vAlign w:val="bottom"/>
          </w:tcPr>
          <w:p>
            <w:pPr>
              <w:jc w:val="right"/>
              <w:spacing w:after="0"/>
              <w:rPr>
                <w:sz w:val="20"/>
                <w:szCs w:val="20"/>
                <w:color w:val="auto"/>
              </w:rPr>
            </w:pPr>
            <w:r>
              <w:rPr>
                <w:rFonts w:ascii="Calibri" w:cs="Calibri" w:eastAsia="Calibri" w:hAnsi="Calibri"/>
                <w:sz w:val="18"/>
                <w:szCs w:val="18"/>
                <w:color w:val="51555C"/>
              </w:rPr>
              <w:t>5.22 %</w:t>
            </w:r>
          </w:p>
        </w:tc>
        <w:tc>
          <w:tcPr>
            <w:tcW w:w="40" w:type="dxa"/>
            <w:vAlign w:val="bottom"/>
          </w:tcPr>
          <w:p>
            <w:pPr>
              <w:spacing w:after="0"/>
              <w:rPr>
                <w:sz w:val="19"/>
                <w:szCs w:val="19"/>
                <w:color w:val="auto"/>
              </w:rPr>
            </w:pPr>
          </w:p>
        </w:tc>
      </w:tr>
      <w:tr>
        <w:trPr>
          <w:trHeight w:val="50"/>
        </w:trPr>
        <w:tc>
          <w:tcPr>
            <w:tcW w:w="4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70"/>
        </w:trPr>
        <w:tc>
          <w:tcPr>
            <w:tcW w:w="48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debt</w:t>
            </w:r>
          </w:p>
        </w:tc>
        <w:tc>
          <w:tcPr>
            <w:tcW w:w="380" w:type="dxa"/>
            <w:vAlign w:val="bottom"/>
            <w:tcBorders>
              <w:bottom w:val="single" w:sz="8" w:color="EBFBFF"/>
            </w:tcBorders>
            <w:shd w:val="clear" w:color="auto" w:fill="EBFBFF"/>
          </w:tcPr>
          <w:p>
            <w:pPr>
              <w:spacing w:after="0"/>
              <w:rPr>
                <w:sz w:val="23"/>
                <w:szCs w:val="2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2,800</w:t>
            </w:r>
          </w:p>
        </w:tc>
        <w:tc>
          <w:tcPr>
            <w:tcW w:w="32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2,247</w:t>
            </w:r>
          </w:p>
        </w:tc>
        <w:tc>
          <w:tcPr>
            <w:tcW w:w="1720" w:type="dxa"/>
            <w:vAlign w:val="bottom"/>
            <w:tcBorders>
              <w:bottom w:val="single" w:sz="8" w:color="EBFBFF"/>
            </w:tcBorders>
            <w:gridSpan w:val="2"/>
            <w:shd w:val="clear" w:color="auto" w:fill="EBFBFF"/>
          </w:tcPr>
          <w:p>
            <w:pPr>
              <w:jc w:val="right"/>
              <w:spacing w:after="0"/>
              <w:rPr>
                <w:sz w:val="20"/>
                <w:szCs w:val="20"/>
                <w:color w:val="auto"/>
              </w:rPr>
            </w:pPr>
            <w:r>
              <w:rPr>
                <w:rFonts w:ascii="Calibri" w:cs="Calibri" w:eastAsia="Calibri" w:hAnsi="Calibri"/>
                <w:sz w:val="18"/>
                <w:szCs w:val="18"/>
                <w:color w:val="51555C"/>
              </w:rPr>
              <w:t>8.42 %</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7.38 %</w:t>
            </w:r>
          </w:p>
        </w:tc>
        <w:tc>
          <w:tcPr>
            <w:tcW w:w="40" w:type="dxa"/>
            <w:vAlign w:val="bottom"/>
          </w:tcPr>
          <w:p>
            <w:pPr>
              <w:spacing w:after="0"/>
              <w:rPr>
                <w:sz w:val="23"/>
                <w:szCs w:val="23"/>
                <w:color w:val="auto"/>
              </w:rPr>
            </w:pPr>
          </w:p>
        </w:tc>
      </w:tr>
      <w:tr>
        <w:trPr>
          <w:trHeight w:val="213"/>
        </w:trPr>
        <w:tc>
          <w:tcPr>
            <w:tcW w:w="4860" w:type="dxa"/>
            <w:vAlign w:val="bottom"/>
          </w:tcPr>
          <w:p>
            <w:pPr>
              <w:ind w:left="360"/>
              <w:spacing w:after="0" w:line="213" w:lineRule="exact"/>
              <w:rPr>
                <w:sz w:val="20"/>
                <w:szCs w:val="20"/>
                <w:color w:val="auto"/>
              </w:rPr>
            </w:pPr>
            <w:r>
              <w:rPr>
                <w:rFonts w:ascii="Calibri" w:cs="Calibri" w:eastAsia="Calibri" w:hAnsi="Calibri"/>
                <w:sz w:val="18"/>
                <w:szCs w:val="18"/>
                <w:color w:val="51555C"/>
              </w:rPr>
              <w:t>Total debt</w:t>
            </w:r>
          </w:p>
        </w:tc>
        <w:tc>
          <w:tcPr>
            <w:tcW w:w="380" w:type="dxa"/>
            <w:vAlign w:val="bottom"/>
            <w:tcBorders>
              <w:top w:val="single" w:sz="8" w:color="51555C"/>
            </w:tcBorders>
          </w:tcPr>
          <w:p>
            <w:pPr>
              <w:spacing w:after="0"/>
              <w:rPr>
                <w:sz w:val="18"/>
                <w:szCs w:val="18"/>
                <w:color w:val="auto"/>
              </w:rPr>
            </w:pPr>
          </w:p>
        </w:tc>
        <w:tc>
          <w:tcPr>
            <w:tcW w:w="11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781,145</w:t>
            </w:r>
          </w:p>
        </w:tc>
        <w:tc>
          <w:tcPr>
            <w:tcW w:w="320" w:type="dxa"/>
            <w:vAlign w:val="bottom"/>
            <w:tcBorders>
              <w:top w:val="single" w:sz="8" w:color="51555C"/>
            </w:tcBorders>
          </w:tcPr>
          <w:p>
            <w:pPr>
              <w:spacing w:after="0"/>
              <w:rPr>
                <w:sz w:val="18"/>
                <w:szCs w:val="18"/>
                <w:color w:val="auto"/>
              </w:rPr>
            </w:pPr>
          </w:p>
        </w:tc>
        <w:tc>
          <w:tcPr>
            <w:tcW w:w="11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861,986</w:t>
            </w:r>
          </w:p>
        </w:tc>
        <w:tc>
          <w:tcPr>
            <w:tcW w:w="100" w:type="dxa"/>
            <w:vAlign w:val="bottom"/>
          </w:tcPr>
          <w:p>
            <w:pPr>
              <w:spacing w:after="0"/>
              <w:rPr>
                <w:sz w:val="18"/>
                <w:szCs w:val="18"/>
                <w:color w:val="auto"/>
              </w:rPr>
            </w:pPr>
          </w:p>
        </w:tc>
        <w:tc>
          <w:tcPr>
            <w:tcW w:w="16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4.24 %</w:t>
            </w:r>
          </w:p>
        </w:tc>
        <w:tc>
          <w:tcPr>
            <w:tcW w:w="16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4.52 %</w:t>
            </w:r>
          </w:p>
        </w:tc>
        <w:tc>
          <w:tcPr>
            <w:tcW w:w="40" w:type="dxa"/>
            <w:vAlign w:val="bottom"/>
          </w:tcPr>
          <w:p>
            <w:pPr>
              <w:spacing w:after="0"/>
              <w:rPr>
                <w:sz w:val="18"/>
                <w:szCs w:val="18"/>
                <w:color w:val="auto"/>
              </w:rPr>
            </w:pPr>
          </w:p>
        </w:tc>
      </w:tr>
      <w:tr>
        <w:trPr>
          <w:trHeight w:val="51"/>
        </w:trPr>
        <w:tc>
          <w:tcPr>
            <w:tcW w:w="4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8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Less: Unamortzed discount and debt issuance costs</w:t>
            </w:r>
          </w:p>
        </w:tc>
        <w:tc>
          <w:tcPr>
            <w:tcW w:w="38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1,481</w:t>
            </w: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2,943</w:t>
            </w:r>
          </w:p>
        </w:tc>
        <w:tc>
          <w:tcPr>
            <w:tcW w:w="10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1620" w:type="dxa"/>
            <w:vAlign w:val="bottom"/>
            <w:tcBorders>
              <w:bottom w:val="single" w:sz="8" w:color="EBFBFF"/>
            </w:tcBorders>
            <w:shd w:val="clear" w:color="auto" w:fill="EBFBFF"/>
          </w:tcPr>
          <w:p>
            <w:pPr>
              <w:spacing w:after="0"/>
              <w:rPr>
                <w:sz w:val="21"/>
                <w:szCs w:val="21"/>
                <w:color w:val="auto"/>
              </w:rPr>
            </w:pPr>
          </w:p>
        </w:tc>
        <w:tc>
          <w:tcPr>
            <w:tcW w:w="40" w:type="dxa"/>
            <w:vAlign w:val="bottom"/>
          </w:tcPr>
          <w:p>
            <w:pPr>
              <w:spacing w:after="0"/>
              <w:rPr>
                <w:sz w:val="21"/>
                <w:szCs w:val="21"/>
                <w:color w:val="auto"/>
              </w:rPr>
            </w:pPr>
          </w:p>
        </w:tc>
      </w:tr>
      <w:tr>
        <w:trPr>
          <w:trHeight w:val="219"/>
        </w:trPr>
        <w:tc>
          <w:tcPr>
            <w:tcW w:w="4860" w:type="dxa"/>
            <w:vAlign w:val="bottom"/>
          </w:tcPr>
          <w:p>
            <w:pPr>
              <w:ind w:left="20"/>
              <w:spacing w:after="0"/>
              <w:rPr>
                <w:sz w:val="20"/>
                <w:szCs w:val="20"/>
                <w:color w:val="auto"/>
              </w:rPr>
            </w:pPr>
            <w:r>
              <w:rPr>
                <w:rFonts w:ascii="Calibri" w:cs="Calibri" w:eastAsia="Calibri" w:hAnsi="Calibri"/>
                <w:sz w:val="18"/>
                <w:szCs w:val="18"/>
                <w:color w:val="51555C"/>
              </w:rPr>
              <w:t>Less: Debt, current porton</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19,259</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18,802</w:t>
            </w:r>
          </w:p>
        </w:tc>
        <w:tc>
          <w:tcPr>
            <w:tcW w:w="1720" w:type="dxa"/>
            <w:vAlign w:val="bottom"/>
            <w:gridSpan w:val="2"/>
          </w:tcPr>
          <w:p>
            <w:pPr>
              <w:jc w:val="right"/>
              <w:spacing w:after="0"/>
              <w:rPr>
                <w:sz w:val="20"/>
                <w:szCs w:val="20"/>
                <w:color w:val="auto"/>
              </w:rPr>
            </w:pPr>
            <w:r>
              <w:rPr>
                <w:rFonts w:ascii="Calibri" w:cs="Calibri" w:eastAsia="Calibri" w:hAnsi="Calibri"/>
                <w:sz w:val="18"/>
                <w:szCs w:val="18"/>
                <w:color w:val="51555C"/>
              </w:rPr>
              <w:t>7.02 %</w:t>
            </w:r>
          </w:p>
        </w:tc>
        <w:tc>
          <w:tcPr>
            <w:tcW w:w="1620" w:type="dxa"/>
            <w:vAlign w:val="bottom"/>
          </w:tcPr>
          <w:p>
            <w:pPr>
              <w:jc w:val="right"/>
              <w:spacing w:after="0"/>
              <w:rPr>
                <w:sz w:val="20"/>
                <w:szCs w:val="20"/>
                <w:color w:val="auto"/>
              </w:rPr>
            </w:pPr>
            <w:r>
              <w:rPr>
                <w:rFonts w:ascii="Calibri" w:cs="Calibri" w:eastAsia="Calibri" w:hAnsi="Calibri"/>
                <w:sz w:val="18"/>
                <w:szCs w:val="18"/>
                <w:color w:val="51555C"/>
              </w:rPr>
              <w:t>6.45 %</w:t>
            </w:r>
          </w:p>
        </w:tc>
        <w:tc>
          <w:tcPr>
            <w:tcW w:w="40" w:type="dxa"/>
            <w:vAlign w:val="bottom"/>
          </w:tcPr>
          <w:p>
            <w:pPr>
              <w:spacing w:after="0"/>
              <w:rPr>
                <w:sz w:val="19"/>
                <w:szCs w:val="19"/>
                <w:color w:val="auto"/>
              </w:rPr>
            </w:pPr>
          </w:p>
        </w:tc>
      </w:tr>
      <w:tr>
        <w:trPr>
          <w:trHeight w:val="51"/>
        </w:trPr>
        <w:tc>
          <w:tcPr>
            <w:tcW w:w="4860" w:type="dxa"/>
            <w:vAlign w:val="bottom"/>
            <w:tcBorders>
              <w:bottom w:val="single" w:sz="8" w:color="EBFBFF"/>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1120" w:type="dxa"/>
            <w:vAlign w:val="bottom"/>
            <w:tcBorders>
              <w:bottom w:val="single" w:sz="8" w:color="51555C"/>
            </w:tcBorders>
          </w:tcPr>
          <w:p>
            <w:pPr>
              <w:spacing w:after="0"/>
              <w:rPr>
                <w:sz w:val="4"/>
                <w:szCs w:val="4"/>
                <w:color w:val="auto"/>
              </w:rPr>
            </w:pPr>
          </w:p>
        </w:tc>
        <w:tc>
          <w:tcPr>
            <w:tcW w:w="320" w:type="dxa"/>
            <w:vAlign w:val="bottom"/>
            <w:tcBorders>
              <w:bottom w:val="single" w:sz="8" w:color="51555C"/>
            </w:tcBorders>
          </w:tcPr>
          <w:p>
            <w:pPr>
              <w:spacing w:after="0"/>
              <w:rPr>
                <w:sz w:val="4"/>
                <w:szCs w:val="4"/>
                <w:color w:val="auto"/>
              </w:rPr>
            </w:pPr>
          </w:p>
        </w:tc>
        <w:tc>
          <w:tcPr>
            <w:tcW w:w="1180" w:type="dxa"/>
            <w:vAlign w:val="bottom"/>
            <w:tcBorders>
              <w:bottom w:val="single" w:sz="8" w:color="51555C"/>
            </w:tcBorders>
          </w:tcPr>
          <w:p>
            <w:pPr>
              <w:spacing w:after="0"/>
              <w:rPr>
                <w:sz w:val="4"/>
                <w:szCs w:val="4"/>
                <w:color w:val="auto"/>
              </w:rPr>
            </w:pPr>
          </w:p>
        </w:tc>
        <w:tc>
          <w:tcPr>
            <w:tcW w:w="100" w:type="dxa"/>
            <w:vAlign w:val="bottom"/>
            <w:tcBorders>
              <w:bottom w:val="single" w:sz="8" w:color="EBFBFF"/>
            </w:tcBorders>
          </w:tcPr>
          <w:p>
            <w:pPr>
              <w:spacing w:after="0"/>
              <w:rPr>
                <w:sz w:val="4"/>
                <w:szCs w:val="4"/>
                <w:color w:val="auto"/>
              </w:rPr>
            </w:pPr>
          </w:p>
        </w:tc>
        <w:tc>
          <w:tcPr>
            <w:tcW w:w="1620" w:type="dxa"/>
            <w:vAlign w:val="bottom"/>
            <w:tcBorders>
              <w:bottom w:val="single" w:sz="8" w:color="51555C"/>
            </w:tcBorders>
          </w:tcPr>
          <w:p>
            <w:pPr>
              <w:spacing w:after="0"/>
              <w:rPr>
                <w:sz w:val="4"/>
                <w:szCs w:val="4"/>
                <w:color w:val="auto"/>
              </w:rPr>
            </w:pPr>
          </w:p>
        </w:tc>
        <w:tc>
          <w:tcPr>
            <w:tcW w:w="1620" w:type="dxa"/>
            <w:vAlign w:val="bottom"/>
            <w:tcBorders>
              <w:bottom w:val="single" w:sz="8" w:color="51555C"/>
            </w:tcBorders>
          </w:tcPr>
          <w:p>
            <w:pPr>
              <w:spacing w:after="0"/>
              <w:rPr>
                <w:sz w:val="4"/>
                <w:szCs w:val="4"/>
                <w:color w:val="auto"/>
              </w:rPr>
            </w:pPr>
          </w:p>
        </w:tc>
        <w:tc>
          <w:tcPr>
            <w:tcW w:w="40" w:type="dxa"/>
            <w:vAlign w:val="bottom"/>
          </w:tcPr>
          <w:p>
            <w:pPr>
              <w:spacing w:after="0"/>
              <w:rPr>
                <w:sz w:val="4"/>
                <w:szCs w:val="4"/>
                <w:color w:val="auto"/>
              </w:rPr>
            </w:pPr>
          </w:p>
        </w:tc>
      </w:tr>
      <w:tr>
        <w:trPr>
          <w:trHeight w:val="243"/>
        </w:trPr>
        <w:tc>
          <w:tcPr>
            <w:tcW w:w="486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Debt, net of current porton</w:t>
            </w:r>
          </w:p>
        </w:tc>
        <w:tc>
          <w:tcPr>
            <w:tcW w:w="380" w:type="dxa"/>
            <w:vAlign w:val="bottom"/>
            <w:tcBorders>
              <w:bottom w:val="single" w:sz="8" w:color="EBFBFF"/>
            </w:tcBorders>
            <w:shd w:val="clear" w:color="auto" w:fill="EBFBFF"/>
          </w:tcPr>
          <w:p>
            <w:pPr>
              <w:jc w:val="right"/>
              <w:ind w:right="190"/>
              <w:spacing w:after="0" w:line="213" w:lineRule="exact"/>
              <w:rPr>
                <w:sz w:val="20"/>
                <w:szCs w:val="20"/>
                <w:color w:val="auto"/>
              </w:rPr>
            </w:pPr>
            <w:r>
              <w:rPr>
                <w:rFonts w:ascii="Calibri" w:cs="Calibri" w:eastAsia="Calibri" w:hAnsi="Calibri"/>
                <w:sz w:val="18"/>
                <w:szCs w:val="18"/>
                <w:color w:val="51555C"/>
                <w:w w:val="87"/>
              </w:rPr>
              <w:t>$</w:t>
            </w:r>
          </w:p>
        </w:tc>
        <w:tc>
          <w:tcPr>
            <w:tcW w:w="11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760,405</w:t>
            </w:r>
          </w:p>
        </w:tc>
        <w:tc>
          <w:tcPr>
            <w:tcW w:w="320" w:type="dxa"/>
            <w:vAlign w:val="bottom"/>
            <w:tcBorders>
              <w:bottom w:val="single" w:sz="8" w:color="EBFBFF"/>
            </w:tcBorders>
            <w:shd w:val="clear" w:color="auto" w:fill="EBFBFF"/>
          </w:tcPr>
          <w:p>
            <w:pPr>
              <w:jc w:val="right"/>
              <w:ind w:right="130"/>
              <w:spacing w:after="0" w:line="213" w:lineRule="exact"/>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840,241</w:t>
            </w:r>
          </w:p>
        </w:tc>
        <w:tc>
          <w:tcPr>
            <w:tcW w:w="1720" w:type="dxa"/>
            <w:vAlign w:val="bottom"/>
            <w:tcBorders>
              <w:bottom w:val="single" w:sz="8" w:color="EBFBFF"/>
            </w:tcBorders>
            <w:gridSpan w:val="2"/>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4.17 %</w:t>
            </w:r>
          </w:p>
        </w:tc>
        <w:tc>
          <w:tcPr>
            <w:tcW w:w="16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4.48 %</w:t>
            </w:r>
          </w:p>
        </w:tc>
        <w:tc>
          <w:tcPr>
            <w:tcW w:w="40" w:type="dxa"/>
            <w:vAlign w:val="bottom"/>
          </w:tcPr>
          <w:p>
            <w:pPr>
              <w:spacing w:after="0"/>
              <w:rPr>
                <w:sz w:val="21"/>
                <w:szCs w:val="21"/>
                <w:color w:val="auto"/>
              </w:rPr>
            </w:pPr>
          </w:p>
        </w:tc>
      </w:tr>
      <w:tr>
        <w:trPr>
          <w:trHeight w:val="20"/>
        </w:trPr>
        <w:tc>
          <w:tcPr>
            <w:tcW w:w="486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32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right"/>
              <w:ind w:right="44"/>
              <w:spacing w:after="0"/>
              <w:rPr>
                <w:sz w:val="20"/>
                <w:szCs w:val="20"/>
                <w:color w:val="auto"/>
              </w:rPr>
            </w:pPr>
            <w:r>
              <w:rPr>
                <w:rFonts w:ascii="Calibri" w:cs="Calibri" w:eastAsia="Calibri" w:hAnsi="Calibri"/>
                <w:sz w:val="14"/>
                <w:szCs w:val="14"/>
                <w:color w:val="51555C"/>
              </w:rPr>
              <w:t>2023 Form 10-K</w:t>
            </w:r>
          </w:p>
        </w:tc>
        <w:tc>
          <w:tcPr>
            <w:tcW w:w="1660" w:type="dxa"/>
            <w:vAlign w:val="bottom"/>
            <w:gridSpan w:val="2"/>
          </w:tcPr>
          <w:p>
            <w:pPr>
              <w:jc w:val="right"/>
              <w:ind w:right="20"/>
              <w:spacing w:after="0"/>
              <w:rPr>
                <w:sz w:val="20"/>
                <w:szCs w:val="20"/>
                <w:color w:val="auto"/>
              </w:rPr>
            </w:pPr>
            <w:r>
              <w:rPr>
                <w:rFonts w:ascii="Calibri" w:cs="Calibri" w:eastAsia="Calibri" w:hAnsi="Calibri"/>
                <w:sz w:val="14"/>
                <w:szCs w:val="14"/>
                <w:color w:val="51555C"/>
              </w:rPr>
              <w:t>89</w:t>
            </w:r>
          </w:p>
        </w:tc>
      </w:tr>
      <w:tr>
        <w:trPr>
          <w:trHeight w:val="351"/>
        </w:trPr>
        <w:tc>
          <w:tcPr>
            <w:tcW w:w="4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-2502535</wp:posOffset>
            </wp:positionV>
            <wp:extent cx="403733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03733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2020 refnancing</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October 2020, we entered into a 5-year $900.0 million Amended and Restated Credit Agreement (the “2020 Credit Facility”). The 2020 Credit Facility matures in October 2025 and replaced our 5-year $700 million credit facility entered into during June 2017 (the "2017 Credit Facility") by amending and restatng it to include a $500.0 million revolving credit facility (the “2020 Revolving Facility”) and a $400.0 million term loan facility (the “2020 Term Loan”). Upon closing, we borrowed $400.0 million pursuant to the 2020 Term Loan and used the proceeds to repay the outstanding principal balance of the term loan under the 2017 Credit Facility, and repay $124.4 million of outstanding revolving credit loans under the 2017 Revolving Facility.</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the amendment and restatement of the 2017 Credit Facility, the existng Pledge Agreement dated June 2, 2017, by us in favor of Bank of America, N.A., as administratve agent, was likewise amended and restated.</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Summary of the 2020 Credit Facility</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2020 Revolving Facility includes (i) a $50.0 million sublimit available for the issuance of standby leters of credit, (ii) a $50.0 million sublimit available for swingline loans, and (iii) a $100.0 million sublimit available for multcurrency borrowings.</w:t>
      </w:r>
    </w:p>
    <w:p>
      <w:pPr>
        <w:spacing w:after="0" w:line="164"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Our obligatons under the 2020 Credit Facility are secured by the stock and limited liability company interests of certain of our direct subsidiaries and any of our material domestc subsidiaries, if any, and the proceeds therefrom pledged pursuant to an Amended and Restated Pledge Agreement dated as of October 30, 2020, by us in favor of Bank of America, N.A., as administratve agent, for the ratable beneft of itself and the secured partes referred to therein.</w:t>
      </w:r>
    </w:p>
    <w:p>
      <w:pPr>
        <w:spacing w:after="0" w:line="15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term loan under the 2020 Credit Facility requires periodic principal payments. The balance of the term loan and any amounts drawn on the revolving credit loans are due upon maturity of the 2020 Credit Facility in October 2025. We evaluate the classifcaton of our debt as current or non-current based on the required annual maturites of the 2020 Credit Facility. We may prepay the 2020 Credit Facility in whole or in part at any tme without premium or penalty, other than customary breakage costs with respect to certain types of loans.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2020 Credit Facility contains various representatons, warrantes and afrmatve, negatve and fnancial covenants customary for fnancings of this type. Financial covenants include a net leverage rato and an interest coverage rato. At December 31, 2023, we were in compliance with our debt covenants under the 2020 Credit Facility.</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terms of the 2020 Credit Facility, we are enttled on one or more occasions, subject to the satsfacton of certain conditons, to request an increase in the commitments under the Revolving Credit Facility and/or request additonal incremental term loans in the aggregate principal amount of up to $250.0 million plus an amount, if any, such that the net leverage rato shall be no greater than 3.25 to 1.00. At December 31, 2023, our available borrowing capacity under the 2020 Credit Facility was $384.5 million.</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First Amendment to 2020 Credit Facility</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January 31, 2022, we entered into the First Amendment to Credit Agreement (the “Amendment”). The Amendment amended the 2020 Credit Facility to, among other things, (i) modify the defniton of “Applicable Margin”, (ii) modify the net leverage rato fnancial covenant to require a net leverage rato of (A) 4.00:1.00 or less for the fscal quarter ended December 31, 2021 and for fscal quarters ending thereafer through December 31, 2023 and (B) 3.75:1.00 or less for the fscal quarters ending March 31, 2024 and thereafer, (iii) reset the $250.0 million fxed dollar basket with respect to the accordion feature and (iv) modify certain negatve covenants to provide additonal operatonal fexibility.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51555C"/>
        </w:rPr>
        <w:t>LIBOR Transiton Amendment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August 26, 2022, we entered into a LIBOR Transiton Amendment (the "LIBOR Amendment"). The LIBOR Amendment amended the 2020 Credit Facility, as previously amended, to change the interest rate benchmark from LIBOR to SOFR (as defned therein). The LIBOR Amendment did not change any terms of the 2020 Credit Facility unrelated to reference rate reform.</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Afer giving efect to both the First Amendment and the LIBOR Transiton Amendment, dollar denominated loans under the 2020 Revolving Facility and the 2020 Term Loan bear interest based on, at our electon, either (a) the Base Rate (as defned below) or (b) Term SOFR (as defned below), in each case, plus an applicable margin. "Base Rate" is defned as a rate per annum equal to the highest of (i) the Federal Funds Rate plus 0.50%, (ii) the prime rate announced by Bank of America, N.A.,</w:t>
      </w:r>
    </w:p>
    <w:p>
      <w:pPr>
        <w:spacing w:after="0" w:line="31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90</w:t>
      </w:r>
      <w:r>
        <w:rPr>
          <w:sz w:val="20"/>
          <w:szCs w:val="20"/>
          <w:color w:val="auto"/>
        </w:rPr>
        <w:tab/>
      </w:r>
      <w:r>
        <w:rPr>
          <w:sz w:val="1"/>
          <w:szCs w:val="1"/>
          <w:color w:val="auto"/>
        </w:rPr>
        <w:drawing>
          <wp:inline distT="0" distB="0" distL="0" distR="0">
            <wp:extent cx="728345" cy="18859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and (iii) Term SOFR plus 1.00%. "Term SOFR" is defned as a rate per annum equal to the forward-looking term rate based on the secured overnight fnancing rate plus a credit sensitve adjustment of 0.11448% for a one month tenor, 0.26161% for a three month tenor or 0.42826% for a six month tenor, as applicable, in each case, per annum. The applicable margin is adjusted quarterly based on our net leverage rato and ranges from 0.375% to 1.50% for Base Rate loans and 1.375% to 2.50% for Term SOFR loans, in each case, per annum.</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Sterling denominated loans under the 2020 Revolving Facility bear interest based on SONIA plus an applicable margin. "SONIA" is defned as a rate per annum equal to the Sterling Overnight Index Average Reference Rate published on the ffh Business Day preceding such date on the applicable Reuters screen page plus a credit sensitve adjustment of 0.0326% per annum. The applicable margin is adjusted quarterly based on our net leverage rato and ranges from 1.375% to 2.50% per annum.</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also pay a quarterly commitment fee on the unused porton of the 2020 Revolving Facility from 0.250% to 0.50% per annum, depending on our net leverage rato.</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At December 31, 2023, the applicable margin for Term SOFR, SONIA and other Eurocurrency Rate loans under the 2020 Credit Facility was 1.625% and the commitment fee applicable to the 2020 Revolving Facility was 0.250%.</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First Incremental Term Loan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December 31, 2021, we entered into the First Incremental Term Loan Agreement (the "Incremental Amendment"). The Incremental Amendment amends the 2020 Credit Facility and, among other things, provides for a $250.0 million incremental term loan (the “2021 Incremental Term Loan”).</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2021 Incremental Term Loan bears interest based on, at our electon, either (a) the Base Rate (2021 Incremental) (as defned below), (b) Daily SOFR Rate (as defned below) or (c) Term SOFR (2021 Incremental) (as defned below), in each case, plus an applicable margin. "Base Rate (2021 Incremental)" is defned as a rate per annum equal to the highest of (i) the Federal Funds Rate plus 0.50%, (ii) the prime rate announced by Bank of America, N.A., and (iii) Daily SOFR Rate plus 1.00%. “Daily SOFR Rate” is defned as a rate per annum equal to secured overnight fnancing rate plus a credit sensitve adjustment of 0.10%. "Term SOFR (2021 Incremental)" is defned as a rate per annum equal to the forward-looking term rate based on the secured overnight fnancing rate plus a credit sensitve adjustment of 0.10% for a one month tenor, 0.15% for a three month tenor or 0.25% for a six month tenor, as applicable, in each case, per annum. The applicable margin is adjusted quarterly based on our net leverage rato and ranges from 0.375% to 1.50% for Base Rate (2021 Incremental) loans and 1.375% to 2.50% for Daily SOFR Rate loans and Term SOFR (2021 Incremental) loans, in each case, per annum. The 2021 Incremental Term Loan matures in October 2025, which is the maturity date of the existng term loan under the 2020 Credit Facility, and is otherwise subject to substantally the same terms and conditons as the existng term loan under the 2020 Credit Facility.</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Financing costs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our entry into the 2020 Credit Facility, we paid $4.0 million in fnancing costs, of which $1.2 million were capitalized in other assets and, together with a porton of the unamortzed deferred fnancing costs from the 2017 Credit Facility and prior facilites, are being amortzed into interest expense over the term of the new facility. We recorded aggregate fnancing costs of $2.0 million as a direct deducton from the carrying amount of our debt liability, which related to debt discount (fees paid to lenders) and debt issuance costs for the 2020 Term Loan.</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our entry into the 2021 Incremental Term Loan, we paid $3.1 million in fnancing costs which were recorded as a direct deducton from the carrying amount of our debt liability.</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As of December 31, 2023, deferred fnancing costs totaling $0.6 million were included in other assets on our consolidated balance sheets.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Real estate loans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August 2020, we completed the purchase of our global headquarters facility. As part of the purchase price, we assumed the Seller’s obligatons under two senior secured notes with a then-aggregate outstanding principal amount of $61.1 million (collectvely, the “Real Estate Loans”). The Real Estate Loans require periodic principal payments and the balance of the Real Estate Loans are due upon maturity in April 2038. At December 31, 2023, we were in compliance with our debt covenants under the Real Estate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222250</wp:posOffset>
            </wp:positionV>
            <wp:extent cx="728980"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91</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 debt</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From tme to tme, we enter into third-party fnancing agreements for purchases of sofware and related services for our internal use. Generally, the agreements are non-interest-bearing notes requiring annual payments. Interest associated with the notes is imputed at the rate we would incur for amounts borrowed under our then-existng credit facility at the incepton of the notes. Our assumpton of these loans are noncash fnancing transactons and are refected in our supplemental disclosure of cash fow informaton.</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our currently efectve fnancing agreements as of December 31,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shd w:val="clear" w:color="auto" w:fill="004054"/>
          </w:tcPr>
          <w:p>
            <w:pPr>
              <w:spacing w:after="0"/>
              <w:rPr>
                <w:sz w:val="16"/>
                <w:szCs w:val="16"/>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Term</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Number of</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First Annual</w:t>
            </w:r>
          </w:p>
        </w:tc>
        <w:tc>
          <w:tcPr>
            <w:tcW w:w="400" w:type="dxa"/>
            <w:vAlign w:val="bottom"/>
            <w:shd w:val="clear" w:color="auto" w:fill="004054"/>
          </w:tcPr>
          <w:p>
            <w:pPr>
              <w:spacing w:after="0"/>
              <w:rPr>
                <w:sz w:val="16"/>
                <w:szCs w:val="16"/>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Original Loan</w:t>
            </w:r>
          </w:p>
        </w:tc>
        <w:tc>
          <w:tcPr>
            <w:tcW w:w="20" w:type="dxa"/>
            <w:vAlign w:val="bottom"/>
            <w:shd w:val="clear" w:color="auto" w:fill="004054"/>
          </w:tcPr>
          <w:p>
            <w:pPr>
              <w:spacing w:after="0"/>
              <w:rPr>
                <w:sz w:val="16"/>
                <w:szCs w:val="16"/>
                <w:color w:val="auto"/>
              </w:rPr>
            </w:pPr>
          </w:p>
        </w:tc>
      </w:tr>
      <w:tr>
        <w:trPr>
          <w:trHeight w:val="170"/>
        </w:trPr>
        <w:tc>
          <w:tcPr>
            <w:tcW w:w="49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Months</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Annual Payments</w:t>
            </w:r>
          </w:p>
        </w:tc>
        <w:tc>
          <w:tcPr>
            <w:tcW w:w="165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Payment Due</w:t>
            </w:r>
          </w:p>
        </w:tc>
        <w:tc>
          <w:tcPr>
            <w:tcW w:w="40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Value</w:t>
            </w:r>
          </w:p>
        </w:tc>
        <w:tc>
          <w:tcPr>
            <w:tcW w:w="20" w:type="dxa"/>
            <w:vAlign w:val="bottom"/>
            <w:shd w:val="clear" w:color="auto" w:fill="004054"/>
          </w:tcPr>
          <w:p>
            <w:pPr>
              <w:spacing w:after="0"/>
              <w:rPr>
                <w:sz w:val="14"/>
                <w:szCs w:val="14"/>
                <w:color w:val="auto"/>
              </w:rPr>
            </w:pPr>
          </w:p>
        </w:tc>
      </w:tr>
      <w:tr>
        <w:trPr>
          <w:trHeight w:val="74"/>
        </w:trPr>
        <w:tc>
          <w:tcPr>
            <w:tcW w:w="4900" w:type="dxa"/>
            <w:vAlign w:val="bottom"/>
            <w:shd w:val="clear" w:color="auto" w:fill="004054"/>
          </w:tcPr>
          <w:p>
            <w:pPr>
              <w:spacing w:after="0"/>
              <w:rPr>
                <w:sz w:val="6"/>
                <w:szCs w:val="6"/>
                <w:color w:val="auto"/>
              </w:rPr>
            </w:pPr>
          </w:p>
        </w:tc>
        <w:tc>
          <w:tcPr>
            <w:tcW w:w="1520" w:type="dxa"/>
            <w:vAlign w:val="bottom"/>
            <w:shd w:val="clear" w:color="auto" w:fill="004054"/>
          </w:tcPr>
          <w:p>
            <w:pPr>
              <w:spacing w:after="0"/>
              <w:rPr>
                <w:sz w:val="6"/>
                <w:szCs w:val="6"/>
                <w:color w:val="auto"/>
              </w:rPr>
            </w:pPr>
          </w:p>
        </w:tc>
        <w:tc>
          <w:tcPr>
            <w:tcW w:w="1650" w:type="dxa"/>
            <w:vAlign w:val="bottom"/>
            <w:shd w:val="clear" w:color="auto" w:fill="004054"/>
          </w:tcPr>
          <w:p>
            <w:pPr>
              <w:spacing w:after="0"/>
              <w:rPr>
                <w:sz w:val="6"/>
                <w:szCs w:val="6"/>
                <w:color w:val="auto"/>
              </w:rPr>
            </w:pPr>
          </w:p>
        </w:tc>
        <w:tc>
          <w:tcPr>
            <w:tcW w:w="165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432"/>
        </w:trPr>
        <w:tc>
          <w:tcPr>
            <w:tcW w:w="4900" w:type="dxa"/>
            <w:vAlign w:val="bottom"/>
            <w:shd w:val="clear" w:color="auto" w:fill="EBFBFF"/>
          </w:tcPr>
          <w:p>
            <w:pPr>
              <w:ind w:left="20"/>
              <w:spacing w:after="0"/>
              <w:rPr>
                <w:sz w:val="20"/>
                <w:szCs w:val="20"/>
                <w:color w:val="auto"/>
              </w:rPr>
            </w:pPr>
            <w:r>
              <w:rPr>
                <w:rFonts w:ascii="Calibri" w:cs="Calibri" w:eastAsia="Calibri" w:hAnsi="Calibri"/>
                <w:sz w:val="18"/>
                <w:szCs w:val="18"/>
                <w:b w:val="1"/>
                <w:bCs w:val="1"/>
                <w:color w:val="51555C"/>
              </w:rPr>
              <w:t>Efectve dates of agreements</w:t>
            </w:r>
            <w:r>
              <w:rPr>
                <w:rFonts w:ascii="Calibri" w:cs="Calibri" w:eastAsia="Calibri" w:hAnsi="Calibri"/>
                <w:sz w:val="23"/>
                <w:szCs w:val="23"/>
                <w:b w:val="1"/>
                <w:bCs w:val="1"/>
                <w:color w:val="51555C"/>
                <w:vertAlign w:val="superscript"/>
              </w:rPr>
              <w:t>(1)</w:t>
            </w:r>
            <w:r>
              <w:rPr>
                <w:rFonts w:ascii="Calibri" w:cs="Calibri" w:eastAsia="Calibri" w:hAnsi="Calibri"/>
                <w:sz w:val="18"/>
                <w:szCs w:val="18"/>
                <w:b w:val="1"/>
                <w:bCs w:val="1"/>
                <w:color w:val="51555C"/>
              </w:rPr>
              <w:t>:</w:t>
            </w:r>
          </w:p>
        </w:tc>
        <w:tc>
          <w:tcPr>
            <w:tcW w:w="1520" w:type="dxa"/>
            <w:vAlign w:val="bottom"/>
            <w:shd w:val="clear" w:color="auto" w:fill="EBFBFF"/>
          </w:tcPr>
          <w:p>
            <w:pPr>
              <w:spacing w:after="0"/>
              <w:rPr>
                <w:sz w:val="24"/>
                <w:szCs w:val="24"/>
                <w:color w:val="auto"/>
              </w:rPr>
            </w:pPr>
          </w:p>
        </w:tc>
        <w:tc>
          <w:tcPr>
            <w:tcW w:w="1650" w:type="dxa"/>
            <w:vAlign w:val="bottom"/>
            <w:shd w:val="clear" w:color="auto" w:fill="EBFBFF"/>
          </w:tcPr>
          <w:p>
            <w:pPr>
              <w:spacing w:after="0"/>
              <w:rPr>
                <w:sz w:val="24"/>
                <w:szCs w:val="24"/>
                <w:color w:val="auto"/>
              </w:rPr>
            </w:pPr>
          </w:p>
        </w:tc>
        <w:tc>
          <w:tcPr>
            <w:tcW w:w="1650" w:type="dxa"/>
            <w:vAlign w:val="bottom"/>
            <w:shd w:val="clear" w:color="auto" w:fill="EBFBFF"/>
          </w:tcPr>
          <w:p>
            <w:pPr>
              <w:spacing w:after="0"/>
              <w:rPr>
                <w:sz w:val="24"/>
                <w:szCs w:val="24"/>
                <w:color w:val="auto"/>
              </w:rPr>
            </w:pPr>
          </w:p>
        </w:tc>
        <w:tc>
          <w:tcPr>
            <w:tcW w:w="400" w:type="dxa"/>
            <w:vAlign w:val="bottom"/>
            <w:shd w:val="clear" w:color="auto" w:fill="EBFBFF"/>
          </w:tcPr>
          <w:p>
            <w:pPr>
              <w:spacing w:after="0"/>
              <w:rPr>
                <w:sz w:val="24"/>
                <w:szCs w:val="24"/>
                <w:color w:val="auto"/>
              </w:rPr>
            </w:pPr>
          </w:p>
        </w:tc>
        <w:tc>
          <w:tcPr>
            <w:tcW w:w="11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4900" w:type="dxa"/>
            <w:vAlign w:val="bottom"/>
          </w:tcPr>
          <w:p>
            <w:pPr>
              <w:ind w:left="140"/>
              <w:spacing w:after="0"/>
              <w:rPr>
                <w:sz w:val="20"/>
                <w:szCs w:val="20"/>
                <w:color w:val="auto"/>
              </w:rPr>
            </w:pPr>
            <w:r>
              <w:rPr>
                <w:rFonts w:ascii="Calibri" w:cs="Calibri" w:eastAsia="Calibri" w:hAnsi="Calibri"/>
                <w:sz w:val="18"/>
                <w:szCs w:val="18"/>
                <w:color w:val="51555C"/>
              </w:rPr>
              <w:t>December 2022</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39</w:t>
            </w:r>
          </w:p>
        </w:tc>
        <w:tc>
          <w:tcPr>
            <w:tcW w:w="1650" w:type="dxa"/>
            <w:vAlign w:val="bottom"/>
          </w:tcPr>
          <w:p>
            <w:pPr>
              <w:jc w:val="right"/>
              <w:spacing w:after="0"/>
              <w:rPr>
                <w:sz w:val="20"/>
                <w:szCs w:val="20"/>
                <w:color w:val="auto"/>
              </w:rPr>
            </w:pPr>
            <w:r>
              <w:rPr>
                <w:rFonts w:ascii="Calibri" w:cs="Calibri" w:eastAsia="Calibri" w:hAnsi="Calibri"/>
                <w:sz w:val="18"/>
                <w:szCs w:val="18"/>
                <w:color w:val="51555C"/>
              </w:rPr>
              <w:t>3</w:t>
            </w:r>
          </w:p>
        </w:tc>
        <w:tc>
          <w:tcPr>
            <w:tcW w:w="1650" w:type="dxa"/>
            <w:vAlign w:val="bottom"/>
          </w:tcPr>
          <w:p>
            <w:pPr>
              <w:jc w:val="right"/>
              <w:spacing w:after="0"/>
              <w:rPr>
                <w:sz w:val="20"/>
                <w:szCs w:val="20"/>
                <w:color w:val="auto"/>
              </w:rPr>
            </w:pPr>
            <w:r>
              <w:rPr>
                <w:rFonts w:ascii="Calibri" w:cs="Calibri" w:eastAsia="Calibri" w:hAnsi="Calibri"/>
                <w:sz w:val="18"/>
                <w:szCs w:val="18"/>
                <w:color w:val="51555C"/>
              </w:rPr>
              <w:t>January 2023</w:t>
            </w:r>
          </w:p>
        </w:tc>
        <w:tc>
          <w:tcPr>
            <w:tcW w:w="400" w:type="dxa"/>
            <w:vAlign w:val="bottom"/>
          </w:tcPr>
          <w:p>
            <w:pPr>
              <w:jc w:val="right"/>
              <w:ind w:right="210"/>
              <w:spacing w:after="0"/>
              <w:rPr>
                <w:sz w:val="20"/>
                <w:szCs w:val="20"/>
                <w:color w:val="auto"/>
              </w:rPr>
            </w:pPr>
            <w:r>
              <w:rPr>
                <w:rFonts w:ascii="Calibri" w:cs="Calibri" w:eastAsia="Calibri" w:hAnsi="Calibri"/>
                <w:sz w:val="18"/>
                <w:szCs w:val="18"/>
                <w:color w:val="51555C"/>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1,710</w:t>
            </w:r>
          </w:p>
        </w:tc>
        <w:tc>
          <w:tcPr>
            <w:tcW w:w="20" w:type="dxa"/>
            <w:vAlign w:val="bottom"/>
          </w:tcPr>
          <w:p>
            <w:pPr>
              <w:spacing w:after="0"/>
              <w:rPr>
                <w:sz w:val="19"/>
                <w:szCs w:val="19"/>
                <w:color w:val="auto"/>
              </w:rPr>
            </w:pPr>
          </w:p>
        </w:tc>
      </w:tr>
      <w:tr>
        <w:trPr>
          <w:trHeight w:val="50"/>
        </w:trPr>
        <w:tc>
          <w:tcPr>
            <w:tcW w:w="4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650" w:type="dxa"/>
            <w:vAlign w:val="bottom"/>
          </w:tcPr>
          <w:p>
            <w:pPr>
              <w:spacing w:after="0"/>
              <w:rPr>
                <w:sz w:val="4"/>
                <w:szCs w:val="4"/>
                <w:color w:val="auto"/>
              </w:rPr>
            </w:pPr>
          </w:p>
        </w:tc>
        <w:tc>
          <w:tcPr>
            <w:tcW w:w="165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9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January 2023</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36</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w:t>
            </w:r>
          </w:p>
        </w:tc>
        <w:tc>
          <w:tcPr>
            <w:tcW w:w="165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April 2023</w:t>
            </w:r>
          </w:p>
        </w:tc>
        <w:tc>
          <w:tcPr>
            <w:tcW w:w="4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2,491</w:t>
            </w:r>
          </w:p>
        </w:tc>
        <w:tc>
          <w:tcPr>
            <w:tcW w:w="20" w:type="dxa"/>
            <w:vAlign w:val="bottom"/>
          </w:tcPr>
          <w:p>
            <w:pPr>
              <w:spacing w:after="0"/>
              <w:rPr>
                <w:sz w:val="21"/>
                <w:szCs w:val="21"/>
                <w:color w:val="auto"/>
              </w:rPr>
            </w:pPr>
          </w:p>
        </w:tc>
      </w:tr>
      <w:tr>
        <w:trPr>
          <w:trHeight w:val="20"/>
        </w:trPr>
        <w:tc>
          <w:tcPr>
            <w:tcW w:w="4900" w:type="dxa"/>
            <w:vAlign w:val="bottom"/>
            <w:shd w:val="clear" w:color="auto" w:fill="0CD973"/>
          </w:tcPr>
          <w:p>
            <w:pPr>
              <w:spacing w:after="0" w:line="20" w:lineRule="exact"/>
              <w:rPr>
                <w:sz w:val="1"/>
                <w:szCs w:val="1"/>
                <w:color w:val="auto"/>
              </w:rPr>
            </w:pPr>
          </w:p>
        </w:tc>
        <w:tc>
          <w:tcPr>
            <w:tcW w:w="1520" w:type="dxa"/>
            <w:vAlign w:val="bottom"/>
            <w:shd w:val="clear" w:color="auto" w:fill="0CD973"/>
          </w:tcPr>
          <w:p>
            <w:pPr>
              <w:spacing w:after="0" w:line="20" w:lineRule="exact"/>
              <w:rPr>
                <w:sz w:val="1"/>
                <w:szCs w:val="1"/>
                <w:color w:val="auto"/>
              </w:rPr>
            </w:pPr>
          </w:p>
        </w:tc>
        <w:tc>
          <w:tcPr>
            <w:tcW w:w="1650" w:type="dxa"/>
            <w:vAlign w:val="bottom"/>
            <w:shd w:val="clear" w:color="auto" w:fill="0CD973"/>
          </w:tcPr>
          <w:p>
            <w:pPr>
              <w:spacing w:after="0" w:line="20" w:lineRule="exact"/>
              <w:rPr>
                <w:sz w:val="1"/>
                <w:szCs w:val="1"/>
                <w:color w:val="auto"/>
              </w:rPr>
            </w:pPr>
          </w:p>
        </w:tc>
        <w:tc>
          <w:tcPr>
            <w:tcW w:w="165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53"/>
        </w:numPr>
        <w:rPr>
          <w:rFonts w:ascii="Calibri" w:cs="Calibri" w:eastAsia="Calibri" w:hAnsi="Calibri"/>
          <w:sz w:val="14"/>
          <w:szCs w:val="14"/>
          <w:color w:val="51555C"/>
        </w:rPr>
      </w:pPr>
      <w:r>
        <w:rPr>
          <w:rFonts w:ascii="Calibri" w:cs="Calibri" w:eastAsia="Calibri" w:hAnsi="Calibri"/>
          <w:sz w:val="14"/>
          <w:szCs w:val="14"/>
          <w:color w:val="51555C"/>
        </w:rPr>
        <w:t>Represent noncash investng and fnancing transactons during the periods indicated as we purchased sofware and services by assuming directly related liabilites.</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color w:val="51555C"/>
        </w:rPr>
        <w:t>The changes in supplier fnancing obligatons during the years ended December 31, 2023,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6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Total</w:t>
            </w:r>
          </w:p>
        </w:tc>
        <w:tc>
          <w:tcPr>
            <w:tcW w:w="20" w:type="dxa"/>
            <w:vAlign w:val="bottom"/>
            <w:shd w:val="clear" w:color="auto" w:fill="004054"/>
          </w:tcPr>
          <w:p>
            <w:pPr>
              <w:spacing w:after="0"/>
              <w:rPr>
                <w:sz w:val="16"/>
                <w:szCs w:val="16"/>
                <w:color w:val="auto"/>
              </w:rPr>
            </w:pPr>
          </w:p>
        </w:tc>
      </w:tr>
      <w:tr>
        <w:trPr>
          <w:trHeight w:val="67"/>
        </w:trPr>
        <w:tc>
          <w:tcPr>
            <w:tcW w:w="9720" w:type="dxa"/>
            <w:vAlign w:val="bottom"/>
            <w:shd w:val="clear" w:color="auto" w:fill="004054"/>
          </w:tcPr>
          <w:p>
            <w:pPr>
              <w:spacing w:after="0"/>
              <w:rPr>
                <w:sz w:val="5"/>
                <w:szCs w:val="5"/>
                <w:color w:val="auto"/>
              </w:rPr>
            </w:pPr>
          </w:p>
        </w:tc>
        <w:tc>
          <w:tcPr>
            <w:tcW w:w="260" w:type="dxa"/>
            <w:vAlign w:val="bottom"/>
            <w:shd w:val="clear" w:color="auto" w:fill="004054"/>
          </w:tcPr>
          <w:p>
            <w:pPr>
              <w:spacing w:after="0"/>
              <w:rPr>
                <w:sz w:val="5"/>
                <w:szCs w:val="5"/>
                <w:color w:val="auto"/>
              </w:rPr>
            </w:pPr>
          </w:p>
        </w:tc>
        <w:tc>
          <w:tcPr>
            <w:tcW w:w="360" w:type="dxa"/>
            <w:vAlign w:val="bottom"/>
            <w:shd w:val="clear" w:color="auto" w:fill="004054"/>
          </w:tcPr>
          <w:p>
            <w:pPr>
              <w:spacing w:after="0"/>
              <w:rPr>
                <w:sz w:val="5"/>
                <w:szCs w:val="5"/>
                <w:color w:val="auto"/>
              </w:rPr>
            </w:pPr>
          </w:p>
        </w:tc>
        <w:tc>
          <w:tcPr>
            <w:tcW w:w="90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r>
      <w:tr>
        <w:trPr>
          <w:trHeight w:val="250"/>
        </w:trPr>
        <w:tc>
          <w:tcPr>
            <w:tcW w:w="9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Balance at December 31, 2022</w:t>
            </w:r>
          </w:p>
        </w:tc>
        <w:tc>
          <w:tcPr>
            <w:tcW w:w="26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w w:val="87"/>
              </w:rPr>
              <w:t>$</w:t>
            </w:r>
          </w:p>
        </w:tc>
        <w:tc>
          <w:tcPr>
            <w:tcW w:w="36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2,247</w:t>
            </w:r>
          </w:p>
        </w:tc>
        <w:tc>
          <w:tcPr>
            <w:tcW w:w="20" w:type="dxa"/>
            <w:vAlign w:val="bottom"/>
          </w:tcPr>
          <w:p>
            <w:pPr>
              <w:spacing w:after="0"/>
              <w:rPr>
                <w:sz w:val="21"/>
                <w:szCs w:val="21"/>
                <w:color w:val="auto"/>
              </w:rPr>
            </w:pPr>
          </w:p>
        </w:tc>
      </w:tr>
      <w:tr>
        <w:trPr>
          <w:trHeight w:val="274"/>
        </w:trPr>
        <w:tc>
          <w:tcPr>
            <w:tcW w:w="9720" w:type="dxa"/>
            <w:vAlign w:val="bottom"/>
          </w:tcPr>
          <w:p>
            <w:pPr>
              <w:ind w:left="140"/>
              <w:spacing w:after="0"/>
              <w:rPr>
                <w:sz w:val="20"/>
                <w:szCs w:val="20"/>
                <w:color w:val="auto"/>
              </w:rPr>
            </w:pPr>
            <w:r>
              <w:rPr>
                <w:rFonts w:ascii="Calibri" w:cs="Calibri" w:eastAsia="Calibri" w:hAnsi="Calibri"/>
                <w:sz w:val="18"/>
                <w:szCs w:val="18"/>
                <w:color w:val="51555C"/>
              </w:rPr>
              <w:t>Additons</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2,491</w:t>
            </w:r>
          </w:p>
        </w:tc>
        <w:tc>
          <w:tcPr>
            <w:tcW w:w="20" w:type="dxa"/>
            <w:vAlign w:val="bottom"/>
          </w:tcPr>
          <w:p>
            <w:pPr>
              <w:spacing w:after="0"/>
              <w:rPr>
                <w:sz w:val="23"/>
                <w:szCs w:val="23"/>
                <w:color w:val="auto"/>
              </w:rPr>
            </w:pPr>
          </w:p>
        </w:tc>
      </w:tr>
      <w:tr>
        <w:trPr>
          <w:trHeight w:val="50"/>
        </w:trPr>
        <w:tc>
          <w:tcPr>
            <w:tcW w:w="9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97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Payments</w:t>
            </w:r>
          </w:p>
        </w:tc>
        <w:tc>
          <w:tcPr>
            <w:tcW w:w="260" w:type="dxa"/>
            <w:vAlign w:val="bottom"/>
            <w:tcBorders>
              <w:bottom w:val="single" w:sz="8" w:color="EBFBFF"/>
            </w:tcBorders>
            <w:shd w:val="clear" w:color="auto" w:fill="EBFBFF"/>
          </w:tcPr>
          <w:p>
            <w:pPr>
              <w:spacing w:after="0"/>
              <w:rPr>
                <w:sz w:val="24"/>
                <w:szCs w:val="24"/>
                <w:color w:val="auto"/>
              </w:rPr>
            </w:pPr>
          </w:p>
        </w:tc>
        <w:tc>
          <w:tcPr>
            <w:tcW w:w="360" w:type="dxa"/>
            <w:vAlign w:val="bottom"/>
            <w:tcBorders>
              <w:bottom w:val="single" w:sz="8" w:color="EBFBFF"/>
            </w:tcBorders>
            <w:shd w:val="clear" w:color="auto" w:fill="EBFBFF"/>
          </w:tcPr>
          <w:p>
            <w:pPr>
              <w:spacing w:after="0"/>
              <w:rPr>
                <w:sz w:val="24"/>
                <w:szCs w:val="24"/>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(1,938)</w:t>
            </w:r>
          </w:p>
        </w:tc>
        <w:tc>
          <w:tcPr>
            <w:tcW w:w="20" w:type="dxa"/>
            <w:vAlign w:val="bottom"/>
          </w:tcPr>
          <w:p>
            <w:pPr>
              <w:spacing w:after="0"/>
              <w:rPr>
                <w:sz w:val="24"/>
                <w:szCs w:val="24"/>
                <w:color w:val="auto"/>
              </w:rPr>
            </w:pPr>
          </w:p>
        </w:tc>
      </w:tr>
      <w:tr>
        <w:trPr>
          <w:trHeight w:val="213"/>
        </w:trPr>
        <w:tc>
          <w:tcPr>
            <w:tcW w:w="9720" w:type="dxa"/>
            <w:vAlign w:val="bottom"/>
          </w:tcPr>
          <w:p>
            <w:pPr>
              <w:ind w:left="20"/>
              <w:spacing w:after="0" w:line="213" w:lineRule="exact"/>
              <w:rPr>
                <w:sz w:val="20"/>
                <w:szCs w:val="20"/>
                <w:color w:val="auto"/>
              </w:rPr>
            </w:pPr>
            <w:r>
              <w:rPr>
                <w:rFonts w:ascii="Calibri" w:cs="Calibri" w:eastAsia="Calibri" w:hAnsi="Calibri"/>
                <w:sz w:val="18"/>
                <w:szCs w:val="18"/>
                <w:b w:val="1"/>
                <w:bCs w:val="1"/>
                <w:color w:val="51555C"/>
              </w:rPr>
              <w:t>Balance at December 31, 2023</w:t>
            </w:r>
          </w:p>
        </w:tc>
        <w:tc>
          <w:tcPr>
            <w:tcW w:w="260" w:type="dxa"/>
            <w:vAlign w:val="bottom"/>
            <w:tcBorders>
              <w:top w:val="single" w:sz="8" w:color="51555C"/>
            </w:tcBorders>
          </w:tcPr>
          <w:p>
            <w:pPr>
              <w:jc w:val="right"/>
              <w:ind w:right="70"/>
              <w:spacing w:after="0" w:line="213" w:lineRule="exact"/>
              <w:rPr>
                <w:sz w:val="20"/>
                <w:szCs w:val="20"/>
                <w:color w:val="auto"/>
              </w:rPr>
            </w:pPr>
            <w:r>
              <w:rPr>
                <w:rFonts w:ascii="Calibri" w:cs="Calibri" w:eastAsia="Calibri" w:hAnsi="Calibri"/>
                <w:sz w:val="18"/>
                <w:szCs w:val="18"/>
                <w:color w:val="51555C"/>
                <w:w w:val="87"/>
              </w:rPr>
              <w:t>$</w:t>
            </w:r>
          </w:p>
        </w:tc>
        <w:tc>
          <w:tcPr>
            <w:tcW w:w="360" w:type="dxa"/>
            <w:vAlign w:val="bottom"/>
            <w:tcBorders>
              <w:top w:val="single" w:sz="8" w:color="51555C"/>
            </w:tcBorders>
          </w:tcPr>
          <w:p>
            <w:pPr>
              <w:spacing w:after="0"/>
              <w:rPr>
                <w:sz w:val="18"/>
                <w:szCs w:val="18"/>
                <w:color w:val="auto"/>
              </w:rPr>
            </w:pPr>
          </w:p>
        </w:tc>
        <w:tc>
          <w:tcPr>
            <w:tcW w:w="9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2,800</w:t>
            </w:r>
          </w:p>
        </w:tc>
        <w:tc>
          <w:tcPr>
            <w:tcW w:w="20" w:type="dxa"/>
            <w:vAlign w:val="bottom"/>
          </w:tcPr>
          <w:p>
            <w:pPr>
              <w:spacing w:after="0"/>
              <w:rPr>
                <w:sz w:val="18"/>
                <w:szCs w:val="18"/>
                <w:color w:val="auto"/>
              </w:rPr>
            </w:pPr>
          </w:p>
        </w:tc>
      </w:tr>
      <w:tr>
        <w:trPr>
          <w:trHeight w:val="50"/>
        </w:trPr>
        <w:tc>
          <w:tcPr>
            <w:tcW w:w="9720" w:type="dxa"/>
            <w:vAlign w:val="bottom"/>
            <w:tcBorders>
              <w:bottom w:val="single" w:sz="8" w:color="0CD973"/>
            </w:tcBorders>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1260" w:type="dxa"/>
            <w:vAlign w:val="bottom"/>
            <w:tcBorders>
              <w:bottom w:val="single" w:sz="8" w:color="0CD973"/>
            </w:tcBorders>
            <w:gridSpan w:val="2"/>
          </w:tcPr>
          <w:p>
            <w:pPr>
              <w:spacing w:after="0"/>
              <w:rPr>
                <w:sz w:val="4"/>
                <w:szCs w:val="4"/>
                <w:color w:val="auto"/>
              </w:rPr>
            </w:pPr>
          </w:p>
        </w:tc>
        <w:tc>
          <w:tcPr>
            <w:tcW w:w="20" w:type="dxa"/>
            <w:vAlign w:val="bottom"/>
          </w:tcPr>
          <w:p>
            <w:pPr>
              <w:spacing w:after="0"/>
              <w:rPr>
                <w:sz w:val="4"/>
                <w:szCs w:val="4"/>
                <w:color w:val="auto"/>
              </w:rPr>
            </w:pPr>
          </w:p>
        </w:tc>
      </w:tr>
      <w:tr>
        <w:trPr>
          <w:trHeight w:val="443"/>
        </w:trPr>
        <w:tc>
          <w:tcPr>
            <w:tcW w:w="11240" w:type="dxa"/>
            <w:vAlign w:val="bottom"/>
            <w:gridSpan w:val="4"/>
          </w:tcPr>
          <w:p>
            <w:pPr>
              <w:spacing w:after="0"/>
              <w:rPr>
                <w:sz w:val="20"/>
                <w:szCs w:val="20"/>
                <w:color w:val="auto"/>
              </w:rPr>
            </w:pPr>
            <w:r>
              <w:rPr>
                <w:rFonts w:ascii="Calibri" w:cs="Calibri" w:eastAsia="Calibri" w:hAnsi="Calibri"/>
                <w:sz w:val="18"/>
                <w:szCs w:val="18"/>
                <w:color w:val="51555C"/>
              </w:rPr>
              <w:t>As of December 31, 2023, the required annual maturites related to the 2020 Credit Facility, the Real Estate Loans and our other debt were as follows:</w:t>
            </w:r>
          </w:p>
        </w:tc>
        <w:tc>
          <w:tcPr>
            <w:tcW w:w="20" w:type="dxa"/>
            <w:vAlign w:val="bottom"/>
          </w:tcPr>
          <w:p>
            <w:pPr>
              <w:spacing w:after="0"/>
              <w:rPr>
                <w:sz w:val="24"/>
                <w:szCs w:val="24"/>
                <w:color w:val="auto"/>
              </w:rPr>
            </w:pPr>
          </w:p>
        </w:tc>
      </w:tr>
      <w:tr>
        <w:trPr>
          <w:trHeight w:val="104"/>
        </w:trPr>
        <w:tc>
          <w:tcPr>
            <w:tcW w:w="9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3"/>
        </w:trPr>
        <w:tc>
          <w:tcPr>
            <w:tcW w:w="97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ending December 31,</w:t>
            </w:r>
          </w:p>
        </w:tc>
        <w:tc>
          <w:tcPr>
            <w:tcW w:w="260" w:type="dxa"/>
            <w:vAlign w:val="bottom"/>
            <w:shd w:val="clear" w:color="auto" w:fill="004054"/>
          </w:tcPr>
          <w:p>
            <w:pPr>
              <w:spacing w:after="0"/>
              <w:rPr>
                <w:sz w:val="15"/>
                <w:szCs w:val="15"/>
                <w:color w:val="auto"/>
              </w:rPr>
            </w:pPr>
          </w:p>
        </w:tc>
        <w:tc>
          <w:tcPr>
            <w:tcW w:w="360" w:type="dxa"/>
            <w:vAlign w:val="bottom"/>
            <w:shd w:val="clear" w:color="auto" w:fill="004054"/>
          </w:tcPr>
          <w:p>
            <w:pPr>
              <w:spacing w:after="0"/>
              <w:rPr>
                <w:sz w:val="15"/>
                <w:szCs w:val="15"/>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Annual</w:t>
            </w:r>
          </w:p>
        </w:tc>
        <w:tc>
          <w:tcPr>
            <w:tcW w:w="20" w:type="dxa"/>
            <w:vAlign w:val="bottom"/>
            <w:shd w:val="clear" w:color="auto" w:fill="004054"/>
          </w:tcPr>
          <w:p>
            <w:pPr>
              <w:spacing w:after="0"/>
              <w:rPr>
                <w:sz w:val="15"/>
                <w:szCs w:val="15"/>
                <w:color w:val="auto"/>
              </w:rPr>
            </w:pPr>
          </w:p>
        </w:tc>
      </w:tr>
      <w:tr>
        <w:trPr>
          <w:trHeight w:val="176"/>
        </w:trPr>
        <w:tc>
          <w:tcPr>
            <w:tcW w:w="97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60" w:type="dxa"/>
            <w:vAlign w:val="bottom"/>
            <w:shd w:val="clear" w:color="auto" w:fill="004054"/>
          </w:tcPr>
          <w:p>
            <w:pPr>
              <w:spacing w:after="0"/>
              <w:rPr>
                <w:sz w:val="15"/>
                <w:szCs w:val="15"/>
                <w:color w:val="auto"/>
              </w:rPr>
            </w:pPr>
          </w:p>
        </w:tc>
        <w:tc>
          <w:tcPr>
            <w:tcW w:w="360" w:type="dxa"/>
            <w:vAlign w:val="bottom"/>
            <w:shd w:val="clear" w:color="auto" w:fill="004054"/>
          </w:tcPr>
          <w:p>
            <w:pPr>
              <w:spacing w:after="0"/>
              <w:rPr>
                <w:sz w:val="15"/>
                <w:szCs w:val="15"/>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maturites</w:t>
            </w:r>
          </w:p>
        </w:tc>
        <w:tc>
          <w:tcPr>
            <w:tcW w:w="20" w:type="dxa"/>
            <w:vAlign w:val="bottom"/>
            <w:shd w:val="clear" w:color="auto" w:fill="004054"/>
          </w:tcPr>
          <w:p>
            <w:pPr>
              <w:spacing w:after="0"/>
              <w:rPr>
                <w:sz w:val="15"/>
                <w:szCs w:val="15"/>
                <w:color w:val="auto"/>
              </w:rPr>
            </w:pPr>
          </w:p>
        </w:tc>
      </w:tr>
      <w:tr>
        <w:trPr>
          <w:trHeight w:val="74"/>
        </w:trPr>
        <w:tc>
          <w:tcPr>
            <w:tcW w:w="972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9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2024</w:t>
            </w:r>
          </w:p>
        </w:tc>
        <w:tc>
          <w:tcPr>
            <w:tcW w:w="620" w:type="dxa"/>
            <w:vAlign w:val="bottom"/>
            <w:tcBorders>
              <w:bottom w:val="single" w:sz="8" w:color="EBFBFF"/>
            </w:tcBorders>
            <w:gridSpan w:val="2"/>
            <w:shd w:val="clear" w:color="auto" w:fill="EBFBFF"/>
          </w:tcPr>
          <w:p>
            <w:pPr>
              <w:jc w:val="right"/>
              <w:ind w:right="240"/>
              <w:spacing w:after="0"/>
              <w:rPr>
                <w:sz w:val="20"/>
                <w:szCs w:val="20"/>
                <w:color w:val="auto"/>
              </w:rPr>
            </w:pPr>
            <w:r>
              <w:rPr>
                <w:rFonts w:ascii="Calibri" w:cs="Calibri" w:eastAsia="Calibri" w:hAnsi="Calibri"/>
                <w:sz w:val="18"/>
                <w:szCs w:val="18"/>
                <w:color w:val="51555C"/>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19,259</w:t>
            </w:r>
          </w:p>
        </w:tc>
        <w:tc>
          <w:tcPr>
            <w:tcW w:w="20" w:type="dxa"/>
            <w:vAlign w:val="bottom"/>
          </w:tcPr>
          <w:p>
            <w:pPr>
              <w:spacing w:after="0"/>
              <w:rPr>
                <w:sz w:val="21"/>
                <w:szCs w:val="21"/>
                <w:color w:val="auto"/>
              </w:rPr>
            </w:pPr>
          </w:p>
        </w:tc>
      </w:tr>
      <w:tr>
        <w:trPr>
          <w:trHeight w:val="220"/>
        </w:trPr>
        <w:tc>
          <w:tcPr>
            <w:tcW w:w="9720" w:type="dxa"/>
            <w:vAlign w:val="bottom"/>
          </w:tcPr>
          <w:p>
            <w:pPr>
              <w:ind w:left="20"/>
              <w:spacing w:after="0"/>
              <w:rPr>
                <w:sz w:val="20"/>
                <w:szCs w:val="20"/>
                <w:color w:val="auto"/>
              </w:rPr>
            </w:pPr>
            <w:r>
              <w:rPr>
                <w:rFonts w:ascii="Calibri" w:cs="Calibri" w:eastAsia="Calibri" w:hAnsi="Calibri"/>
                <w:sz w:val="18"/>
                <w:szCs w:val="18"/>
                <w:color w:val="51555C"/>
              </w:rPr>
              <w:t>2025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708,534</w:t>
            </w:r>
          </w:p>
        </w:tc>
        <w:tc>
          <w:tcPr>
            <w:tcW w:w="20" w:type="dxa"/>
            <w:vAlign w:val="bottom"/>
          </w:tcPr>
          <w:p>
            <w:pPr>
              <w:spacing w:after="0"/>
              <w:rPr>
                <w:sz w:val="19"/>
                <w:szCs w:val="19"/>
                <w:color w:val="auto"/>
              </w:rPr>
            </w:pPr>
          </w:p>
        </w:tc>
      </w:tr>
      <w:tr>
        <w:trPr>
          <w:trHeight w:val="50"/>
        </w:trPr>
        <w:tc>
          <w:tcPr>
            <w:tcW w:w="9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2026</w:t>
            </w:r>
          </w:p>
        </w:tc>
        <w:tc>
          <w:tcPr>
            <w:tcW w:w="26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1,969</w:t>
            </w:r>
          </w:p>
        </w:tc>
        <w:tc>
          <w:tcPr>
            <w:tcW w:w="20" w:type="dxa"/>
            <w:vAlign w:val="bottom"/>
          </w:tcPr>
          <w:p>
            <w:pPr>
              <w:spacing w:after="0"/>
              <w:rPr>
                <w:sz w:val="21"/>
                <w:szCs w:val="21"/>
                <w:color w:val="auto"/>
              </w:rPr>
            </w:pPr>
          </w:p>
        </w:tc>
      </w:tr>
      <w:tr>
        <w:trPr>
          <w:trHeight w:val="220"/>
        </w:trPr>
        <w:tc>
          <w:tcPr>
            <w:tcW w:w="9720" w:type="dxa"/>
            <w:vAlign w:val="bottom"/>
          </w:tcPr>
          <w:p>
            <w:pPr>
              <w:ind w:left="20"/>
              <w:spacing w:after="0"/>
              <w:rPr>
                <w:sz w:val="20"/>
                <w:szCs w:val="20"/>
                <w:color w:val="auto"/>
              </w:rPr>
            </w:pPr>
            <w:r>
              <w:rPr>
                <w:rFonts w:ascii="Calibri" w:cs="Calibri" w:eastAsia="Calibri" w:hAnsi="Calibri"/>
                <w:sz w:val="18"/>
                <w:szCs w:val="18"/>
                <w:color w:val="51555C"/>
              </w:rPr>
              <w:t>2027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2,166</w:t>
            </w:r>
          </w:p>
        </w:tc>
        <w:tc>
          <w:tcPr>
            <w:tcW w:w="20" w:type="dxa"/>
            <w:vAlign w:val="bottom"/>
          </w:tcPr>
          <w:p>
            <w:pPr>
              <w:spacing w:after="0"/>
              <w:rPr>
                <w:sz w:val="19"/>
                <w:szCs w:val="19"/>
                <w:color w:val="auto"/>
              </w:rPr>
            </w:pPr>
          </w:p>
        </w:tc>
      </w:tr>
      <w:tr>
        <w:trPr>
          <w:trHeight w:val="50"/>
        </w:trPr>
        <w:tc>
          <w:tcPr>
            <w:tcW w:w="9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2028</w:t>
            </w:r>
          </w:p>
        </w:tc>
        <w:tc>
          <w:tcPr>
            <w:tcW w:w="26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2,374</w:t>
            </w:r>
          </w:p>
        </w:tc>
        <w:tc>
          <w:tcPr>
            <w:tcW w:w="20" w:type="dxa"/>
            <w:vAlign w:val="bottom"/>
          </w:tcPr>
          <w:p>
            <w:pPr>
              <w:spacing w:after="0"/>
              <w:rPr>
                <w:sz w:val="21"/>
                <w:szCs w:val="21"/>
                <w:color w:val="auto"/>
              </w:rPr>
            </w:pPr>
          </w:p>
        </w:tc>
      </w:tr>
      <w:tr>
        <w:trPr>
          <w:trHeight w:val="220"/>
        </w:trPr>
        <w:tc>
          <w:tcPr>
            <w:tcW w:w="9720" w:type="dxa"/>
            <w:vAlign w:val="bottom"/>
          </w:tcPr>
          <w:p>
            <w:pPr>
              <w:ind w:left="20"/>
              <w:spacing w:after="0"/>
              <w:rPr>
                <w:sz w:val="20"/>
                <w:szCs w:val="20"/>
                <w:color w:val="auto"/>
              </w:rPr>
            </w:pPr>
            <w:r>
              <w:rPr>
                <w:rFonts w:ascii="Calibri" w:cs="Calibri" w:eastAsia="Calibri" w:hAnsi="Calibri"/>
                <w:sz w:val="18"/>
                <w:szCs w:val="18"/>
                <w:color w:val="51555C"/>
              </w:rPr>
              <w:t>Thereafer</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46,843</w:t>
            </w:r>
          </w:p>
        </w:tc>
        <w:tc>
          <w:tcPr>
            <w:tcW w:w="20" w:type="dxa"/>
            <w:vAlign w:val="bottom"/>
          </w:tcPr>
          <w:p>
            <w:pPr>
              <w:spacing w:after="0"/>
              <w:rPr>
                <w:sz w:val="19"/>
                <w:szCs w:val="19"/>
                <w:color w:val="auto"/>
              </w:rPr>
            </w:pPr>
          </w:p>
        </w:tc>
      </w:tr>
      <w:tr>
        <w:trPr>
          <w:trHeight w:val="50"/>
        </w:trPr>
        <w:tc>
          <w:tcPr>
            <w:tcW w:w="9720" w:type="dxa"/>
            <w:vAlign w:val="bottom"/>
            <w:tcBorders>
              <w:bottom w:val="single" w:sz="8" w:color="EBFBFF"/>
            </w:tcBorders>
          </w:tcPr>
          <w:p>
            <w:pPr>
              <w:spacing w:after="0"/>
              <w:rPr>
                <w:sz w:val="4"/>
                <w:szCs w:val="4"/>
                <w:color w:val="auto"/>
              </w:rPr>
            </w:pPr>
          </w:p>
        </w:tc>
        <w:tc>
          <w:tcPr>
            <w:tcW w:w="26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90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9720" w:type="dxa"/>
            <w:vAlign w:val="bottom"/>
            <w:tcBorders>
              <w:bottom w:val="single" w:sz="8" w:color="EBFBFF"/>
            </w:tcBorders>
            <w:shd w:val="clear" w:color="auto" w:fill="EBFBFF"/>
          </w:tcPr>
          <w:p>
            <w:pPr>
              <w:ind w:left="140"/>
              <w:spacing w:after="0" w:line="213" w:lineRule="exact"/>
              <w:rPr>
                <w:sz w:val="20"/>
                <w:szCs w:val="20"/>
                <w:color w:val="auto"/>
              </w:rPr>
            </w:pPr>
            <w:r>
              <w:rPr>
                <w:rFonts w:ascii="Calibri" w:cs="Calibri" w:eastAsia="Calibri" w:hAnsi="Calibri"/>
                <w:sz w:val="18"/>
                <w:szCs w:val="18"/>
                <w:color w:val="51555C"/>
              </w:rPr>
              <w:t>Total required maturites</w:t>
            </w:r>
          </w:p>
        </w:tc>
        <w:tc>
          <w:tcPr>
            <w:tcW w:w="620" w:type="dxa"/>
            <w:vAlign w:val="bottom"/>
            <w:tcBorders>
              <w:bottom w:val="single" w:sz="8" w:color="EBFBFF"/>
            </w:tcBorders>
            <w:gridSpan w:val="2"/>
            <w:shd w:val="clear" w:color="auto" w:fill="EBFBFF"/>
          </w:tcPr>
          <w:p>
            <w:pPr>
              <w:jc w:val="right"/>
              <w:ind w:right="240"/>
              <w:spacing w:after="0" w:line="213" w:lineRule="exact"/>
              <w:rPr>
                <w:sz w:val="20"/>
                <w:szCs w:val="20"/>
                <w:color w:val="auto"/>
              </w:rPr>
            </w:pPr>
            <w:r>
              <w:rPr>
                <w:rFonts w:ascii="Calibri" w:cs="Calibri" w:eastAsia="Calibri" w:hAnsi="Calibri"/>
                <w:sz w:val="18"/>
                <w:szCs w:val="18"/>
                <w:color w:val="51555C"/>
              </w:rPr>
              <w:t>$</w:t>
            </w:r>
          </w:p>
        </w:tc>
        <w:tc>
          <w:tcPr>
            <w:tcW w:w="9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781,145</w:t>
            </w:r>
          </w:p>
        </w:tc>
        <w:tc>
          <w:tcPr>
            <w:tcW w:w="20" w:type="dxa"/>
            <w:vAlign w:val="bottom"/>
          </w:tcPr>
          <w:p>
            <w:pPr>
              <w:spacing w:after="0"/>
              <w:rPr>
                <w:sz w:val="21"/>
                <w:szCs w:val="21"/>
                <w:color w:val="auto"/>
              </w:rPr>
            </w:pPr>
          </w:p>
        </w:tc>
      </w:tr>
      <w:tr>
        <w:trPr>
          <w:trHeight w:val="20"/>
        </w:trPr>
        <w:tc>
          <w:tcPr>
            <w:tcW w:w="972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10. Derivatve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generally use derivatve instruments to manage our interest rate and foreign currency exchange risk. We currently have derivatves classifed as cash fow hedges and net investment hedges. We do not enter into any derivatves for trading or speculatve purposes.</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All of our derivatve instruments are governed by Internatonal Swap Dealers Associaton, Inc. master agreements with our counterpartes. As of December 31, 2023 and December 31, 2022, we have presented the fair value of our derivatve instruments at the gross amounts in the consolidated balance sheet as the gross fair values of our derivatve instruments equaled their net fair values.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Cash fow hedges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entered into interest rate swap agreements, which efectvely convert portons of our variable rate debt under the 2020 Credit Facility to a fxed rate for the term of the swap agreements. We designated each of the interest rate swaps as cash fow hedges at the incepton of the contracts. As of December 31, 2023 and December 31, 2022, the aggregate notonal</w:t>
      </w:r>
    </w:p>
    <w:p>
      <w:pPr>
        <w:spacing w:after="0" w:line="325"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92</w:t>
      </w:r>
      <w:r>
        <w:rPr>
          <w:sz w:val="20"/>
          <w:szCs w:val="20"/>
          <w:color w:val="auto"/>
        </w:rPr>
        <w:tab/>
      </w:r>
      <w:r>
        <w:rPr>
          <w:sz w:val="1"/>
          <w:szCs w:val="1"/>
          <w:color w:val="auto"/>
        </w:rPr>
        <w:drawing>
          <wp:inline distT="0" distB="0" distL="0" distR="0">
            <wp:extent cx="728345" cy="18859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values of the interest rate swaps were $935.0 million and $435.0 million, respectvely. All of the contracts have maturites on or before October 2028.</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entered into foreign currency forward contracts to hedge revenues denominated in the Canadian Dollar ("CAD") against changes in the exchange rate with the United States Dollar ("USD"). We designated each of these foreign currency forward contracts as cash fow hedges at the incepton of the contracts. As of December 31, 2023 and December 31, 2022, the aggregate notonal values of the foreign currency forward contracts designated as cash fow hedges that we held to buy USD in exchange for Canadian Dollars were $29.9 million CAD and $22.6 million CAD, respectvely. All of the contracts have maturites of 12 months or less.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Net investment hedges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entered into foreign currency forward contracts to hedge a porton of the foreign currency exposure that arises on translaton of our investments denominated in Britsh Pounds ("GBP") into USD. We designated each of these foreign currency forward contracts as net investment hedges at the incepton of the contracts. As of December 31, 2023 and December 31, 2022, the aggregate notonal values of the foreign currency forward contracts designated as net investment hedges to reduce the volatlity of the U.S. dollar value of a porton of our GBP-denominated investments was £13.2 million and £11.2 million, respectvely.</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fair values of our derivatve instruments were as follows as 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shd w:val="clear" w:color="auto" w:fill="004054"/>
          </w:tcPr>
          <w:p>
            <w:pPr>
              <w:spacing w:after="0"/>
              <w:rPr>
                <w:sz w:val="16"/>
                <w:szCs w:val="16"/>
                <w:color w:val="auto"/>
              </w:rPr>
            </w:pPr>
          </w:p>
        </w:tc>
        <w:tc>
          <w:tcPr>
            <w:tcW w:w="17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2260" w:type="dxa"/>
            <w:vAlign w:val="bottom"/>
            <w:tcBorders>
              <w:right w:val="single" w:sz="8" w:color="004054"/>
            </w:tcBorders>
            <w:gridSpan w:val="3"/>
            <w:shd w:val="clear" w:color="auto" w:fill="004054"/>
          </w:tcPr>
          <w:p>
            <w:pPr>
              <w:jc w:val="right"/>
              <w:ind w:right="676"/>
              <w:spacing w:after="0"/>
              <w:rPr>
                <w:sz w:val="20"/>
                <w:szCs w:val="20"/>
                <w:color w:val="auto"/>
              </w:rPr>
            </w:pPr>
            <w:r>
              <w:rPr>
                <w:rFonts w:ascii="Calibri" w:cs="Calibri" w:eastAsia="Calibri" w:hAnsi="Calibri"/>
                <w:sz w:val="14"/>
                <w:szCs w:val="14"/>
                <w:b w:val="1"/>
                <w:bCs w:val="1"/>
                <w:color w:val="FFFFFF"/>
              </w:rPr>
              <w:t>Asset derivatves</w:t>
            </w:r>
          </w:p>
        </w:tc>
        <w:tc>
          <w:tcPr>
            <w:tcW w:w="80" w:type="dxa"/>
            <w:vAlign w:val="bottom"/>
          </w:tcPr>
          <w:p>
            <w:pPr>
              <w:spacing w:after="0"/>
              <w:rPr>
                <w:sz w:val="16"/>
                <w:szCs w:val="16"/>
                <w:color w:val="auto"/>
              </w:rPr>
            </w:pPr>
          </w:p>
        </w:tc>
        <w:tc>
          <w:tcPr>
            <w:tcW w:w="17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2240" w:type="dxa"/>
            <w:vAlign w:val="bottom"/>
            <w:gridSpan w:val="3"/>
            <w:shd w:val="clear" w:color="auto" w:fill="004054"/>
          </w:tcPr>
          <w:p>
            <w:pPr>
              <w:jc w:val="right"/>
              <w:ind w:right="578"/>
              <w:spacing w:after="0"/>
              <w:rPr>
                <w:sz w:val="20"/>
                <w:szCs w:val="20"/>
                <w:color w:val="auto"/>
              </w:rPr>
            </w:pPr>
            <w:r>
              <w:rPr>
                <w:rFonts w:ascii="Calibri" w:cs="Calibri" w:eastAsia="Calibri" w:hAnsi="Calibri"/>
                <w:sz w:val="14"/>
                <w:szCs w:val="14"/>
                <w:b w:val="1"/>
                <w:bCs w:val="1"/>
                <w:color w:val="FFFFFF"/>
              </w:rPr>
              <w:t>Liability Derivatves</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80" w:type="dxa"/>
            <w:vAlign w:val="bottom"/>
            <w:shd w:val="clear" w:color="auto" w:fill="004054"/>
          </w:tcPr>
          <w:p>
            <w:pPr>
              <w:spacing w:after="0"/>
              <w:rPr>
                <w:sz w:val="20"/>
                <w:szCs w:val="20"/>
                <w:color w:val="auto"/>
              </w:rPr>
            </w:pPr>
          </w:p>
        </w:tc>
        <w:tc>
          <w:tcPr>
            <w:tcW w:w="1700" w:type="dxa"/>
            <w:vAlign w:val="bottom"/>
            <w:shd w:val="clear" w:color="auto" w:fill="004054"/>
          </w:tcPr>
          <w:p>
            <w:pPr>
              <w:spacing w:after="0"/>
              <w:rPr>
                <w:sz w:val="20"/>
                <w:szCs w:val="20"/>
                <w:color w:val="auto"/>
              </w:rPr>
            </w:pPr>
          </w:p>
        </w:tc>
        <w:tc>
          <w:tcPr>
            <w:tcW w:w="240" w:type="dxa"/>
            <w:vAlign w:val="bottom"/>
            <w:shd w:val="clear" w:color="auto" w:fill="004054"/>
          </w:tcPr>
          <w:p>
            <w:pPr>
              <w:spacing w:after="0"/>
              <w:rPr>
                <w:sz w:val="20"/>
                <w:szCs w:val="20"/>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60" w:type="dxa"/>
            <w:vAlign w:val="bottom"/>
            <w:shd w:val="clear" w:color="auto" w:fill="004054"/>
          </w:tcPr>
          <w:p>
            <w:pPr>
              <w:spacing w:after="0"/>
              <w:rPr>
                <w:sz w:val="20"/>
                <w:szCs w:val="20"/>
                <w:color w:val="auto"/>
              </w:rPr>
            </w:pPr>
          </w:p>
        </w:tc>
        <w:tc>
          <w:tcPr>
            <w:tcW w:w="10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80" w:type="dxa"/>
            <w:vAlign w:val="bottom"/>
          </w:tcPr>
          <w:p>
            <w:pPr>
              <w:spacing w:after="0"/>
              <w:rPr>
                <w:sz w:val="20"/>
                <w:szCs w:val="20"/>
                <w:color w:val="auto"/>
              </w:rPr>
            </w:pPr>
          </w:p>
        </w:tc>
        <w:tc>
          <w:tcPr>
            <w:tcW w:w="1700" w:type="dxa"/>
            <w:vAlign w:val="bottom"/>
            <w:shd w:val="clear" w:color="auto" w:fill="004054"/>
          </w:tcPr>
          <w:p>
            <w:pPr>
              <w:spacing w:after="0"/>
              <w:rPr>
                <w:sz w:val="20"/>
                <w:szCs w:val="20"/>
                <w:color w:val="auto"/>
              </w:rPr>
            </w:pPr>
          </w:p>
        </w:tc>
        <w:tc>
          <w:tcPr>
            <w:tcW w:w="240" w:type="dxa"/>
            <w:vAlign w:val="bottom"/>
            <w:shd w:val="clear" w:color="auto" w:fill="004054"/>
          </w:tcPr>
          <w:p>
            <w:pPr>
              <w:spacing w:after="0"/>
              <w:rPr>
                <w:sz w:val="20"/>
                <w:szCs w:val="20"/>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60" w:type="dxa"/>
            <w:vAlign w:val="bottom"/>
            <w:shd w:val="clear" w:color="auto" w:fill="004054"/>
          </w:tcPr>
          <w:p>
            <w:pPr>
              <w:spacing w:after="0"/>
              <w:rPr>
                <w:sz w:val="20"/>
                <w:szCs w:val="20"/>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7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sheet locaton</w:t>
            </w:r>
          </w:p>
        </w:tc>
        <w:tc>
          <w:tcPr>
            <w:tcW w:w="240" w:type="dxa"/>
            <w:vAlign w:val="bottom"/>
            <w:shd w:val="clear" w:color="auto" w:fill="004054"/>
          </w:tcPr>
          <w:p>
            <w:pPr>
              <w:spacing w:after="0"/>
              <w:rPr>
                <w:sz w:val="15"/>
                <w:szCs w:val="15"/>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60" w:type="dxa"/>
            <w:vAlign w:val="bottom"/>
            <w:shd w:val="clear" w:color="auto" w:fill="004054"/>
          </w:tcPr>
          <w:p>
            <w:pPr>
              <w:spacing w:after="0"/>
              <w:rPr>
                <w:sz w:val="15"/>
                <w:szCs w:val="15"/>
                <w:color w:val="auto"/>
              </w:rPr>
            </w:pPr>
          </w:p>
        </w:tc>
        <w:tc>
          <w:tcPr>
            <w:tcW w:w="100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80" w:type="dxa"/>
            <w:vAlign w:val="bottom"/>
          </w:tcPr>
          <w:p>
            <w:pPr>
              <w:spacing w:after="0"/>
              <w:rPr>
                <w:sz w:val="15"/>
                <w:szCs w:val="15"/>
                <w:color w:val="auto"/>
              </w:rPr>
            </w:pPr>
          </w:p>
        </w:tc>
        <w:tc>
          <w:tcPr>
            <w:tcW w:w="17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sheet locaton</w:t>
            </w:r>
          </w:p>
        </w:tc>
        <w:tc>
          <w:tcPr>
            <w:tcW w:w="240" w:type="dxa"/>
            <w:vAlign w:val="bottom"/>
            <w:shd w:val="clear" w:color="auto" w:fill="004054"/>
          </w:tcPr>
          <w:p>
            <w:pPr>
              <w:spacing w:after="0"/>
              <w:rPr>
                <w:sz w:val="15"/>
                <w:szCs w:val="15"/>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6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780" w:type="dxa"/>
            <w:vAlign w:val="bottom"/>
            <w:tcBorders>
              <w:bottom w:val="single" w:sz="8" w:color="004054"/>
            </w:tcBorders>
            <w:shd w:val="clear" w:color="auto" w:fill="004054"/>
          </w:tcPr>
          <w:p>
            <w:pPr>
              <w:spacing w:after="0"/>
              <w:rPr>
                <w:sz w:val="5"/>
                <w:szCs w:val="5"/>
                <w:color w:val="auto"/>
              </w:rPr>
            </w:pPr>
          </w:p>
        </w:tc>
        <w:tc>
          <w:tcPr>
            <w:tcW w:w="1700" w:type="dxa"/>
            <w:vAlign w:val="bottom"/>
            <w:tcBorders>
              <w:bottom w:val="single" w:sz="8" w:color="004054"/>
            </w:tcBorders>
            <w:shd w:val="clear" w:color="auto" w:fill="004054"/>
          </w:tcPr>
          <w:p>
            <w:pPr>
              <w:spacing w:after="0"/>
              <w:rPr>
                <w:sz w:val="5"/>
                <w:szCs w:val="5"/>
                <w:color w:val="auto"/>
              </w:rPr>
            </w:pPr>
          </w:p>
        </w:tc>
        <w:tc>
          <w:tcPr>
            <w:tcW w:w="240" w:type="dxa"/>
            <w:vAlign w:val="bottom"/>
            <w:tcBorders>
              <w:bottom w:val="single" w:sz="8" w:color="004054"/>
            </w:tcBorders>
            <w:shd w:val="clear" w:color="auto" w:fill="004054"/>
          </w:tcPr>
          <w:p>
            <w:pPr>
              <w:spacing w:after="0"/>
              <w:rPr>
                <w:sz w:val="5"/>
                <w:szCs w:val="5"/>
                <w:color w:val="auto"/>
              </w:rPr>
            </w:pPr>
          </w:p>
        </w:tc>
        <w:tc>
          <w:tcPr>
            <w:tcW w:w="1000" w:type="dxa"/>
            <w:vAlign w:val="bottom"/>
            <w:tcBorders>
              <w:bottom w:val="single" w:sz="8" w:color="004054"/>
            </w:tcBorders>
            <w:shd w:val="clear" w:color="auto" w:fill="004054"/>
          </w:tcPr>
          <w:p>
            <w:pPr>
              <w:spacing w:after="0"/>
              <w:rPr>
                <w:sz w:val="5"/>
                <w:szCs w:val="5"/>
                <w:color w:val="auto"/>
              </w:rPr>
            </w:pPr>
          </w:p>
        </w:tc>
        <w:tc>
          <w:tcPr>
            <w:tcW w:w="260" w:type="dxa"/>
            <w:vAlign w:val="bottom"/>
            <w:tcBorders>
              <w:bottom w:val="single" w:sz="8" w:color="004054"/>
            </w:tcBorders>
            <w:shd w:val="clear" w:color="auto" w:fill="004054"/>
          </w:tcPr>
          <w:p>
            <w:pPr>
              <w:spacing w:after="0"/>
              <w:rPr>
                <w:sz w:val="5"/>
                <w:szCs w:val="5"/>
                <w:color w:val="auto"/>
              </w:rPr>
            </w:pPr>
          </w:p>
        </w:tc>
        <w:tc>
          <w:tcPr>
            <w:tcW w:w="1000" w:type="dxa"/>
            <w:vAlign w:val="bottom"/>
            <w:tcBorders>
              <w:bottom w:val="single" w:sz="8" w:color="004054"/>
              <w:right w:val="single" w:sz="8" w:color="004054"/>
            </w:tcBorders>
            <w:shd w:val="clear" w:color="auto" w:fill="004054"/>
          </w:tcPr>
          <w:p>
            <w:pPr>
              <w:spacing w:after="0"/>
              <w:rPr>
                <w:sz w:val="5"/>
                <w:szCs w:val="5"/>
                <w:color w:val="auto"/>
              </w:rPr>
            </w:pPr>
          </w:p>
        </w:tc>
        <w:tc>
          <w:tcPr>
            <w:tcW w:w="80" w:type="dxa"/>
            <w:vAlign w:val="bottom"/>
            <w:tcBorders>
              <w:bottom w:val="single" w:sz="8" w:color="EBFBFF"/>
            </w:tcBorders>
          </w:tcPr>
          <w:p>
            <w:pPr>
              <w:spacing w:after="0"/>
              <w:rPr>
                <w:sz w:val="5"/>
                <w:szCs w:val="5"/>
                <w:color w:val="auto"/>
              </w:rPr>
            </w:pPr>
          </w:p>
        </w:tc>
        <w:tc>
          <w:tcPr>
            <w:tcW w:w="1700" w:type="dxa"/>
            <w:vAlign w:val="bottom"/>
            <w:tcBorders>
              <w:bottom w:val="single" w:sz="8" w:color="004054"/>
            </w:tcBorders>
            <w:shd w:val="clear" w:color="auto" w:fill="004054"/>
          </w:tcPr>
          <w:p>
            <w:pPr>
              <w:spacing w:after="0"/>
              <w:rPr>
                <w:sz w:val="5"/>
                <w:szCs w:val="5"/>
                <w:color w:val="auto"/>
              </w:rPr>
            </w:pPr>
          </w:p>
        </w:tc>
        <w:tc>
          <w:tcPr>
            <w:tcW w:w="240" w:type="dxa"/>
            <w:vAlign w:val="bottom"/>
            <w:tcBorders>
              <w:bottom w:val="single" w:sz="8" w:color="004054"/>
            </w:tcBorders>
            <w:shd w:val="clear" w:color="auto" w:fill="004054"/>
          </w:tcPr>
          <w:p>
            <w:pPr>
              <w:spacing w:after="0"/>
              <w:rPr>
                <w:sz w:val="5"/>
                <w:szCs w:val="5"/>
                <w:color w:val="auto"/>
              </w:rPr>
            </w:pPr>
          </w:p>
        </w:tc>
        <w:tc>
          <w:tcPr>
            <w:tcW w:w="1000" w:type="dxa"/>
            <w:vAlign w:val="bottom"/>
            <w:tcBorders>
              <w:bottom w:val="single" w:sz="8" w:color="004054"/>
            </w:tcBorders>
            <w:shd w:val="clear" w:color="auto" w:fill="004054"/>
          </w:tcPr>
          <w:p>
            <w:pPr>
              <w:spacing w:after="0"/>
              <w:rPr>
                <w:sz w:val="5"/>
                <w:szCs w:val="5"/>
                <w:color w:val="auto"/>
              </w:rPr>
            </w:pPr>
          </w:p>
        </w:tc>
        <w:tc>
          <w:tcPr>
            <w:tcW w:w="260" w:type="dxa"/>
            <w:vAlign w:val="bottom"/>
            <w:tcBorders>
              <w:bottom w:val="single" w:sz="8" w:color="004054"/>
            </w:tcBorders>
            <w:shd w:val="clear" w:color="auto" w:fill="004054"/>
          </w:tcPr>
          <w:p>
            <w:pPr>
              <w:spacing w:after="0"/>
              <w:rPr>
                <w:sz w:val="5"/>
                <w:szCs w:val="5"/>
                <w:color w:val="auto"/>
              </w:rPr>
            </w:pPr>
          </w:p>
        </w:tc>
        <w:tc>
          <w:tcPr>
            <w:tcW w:w="98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780" w:type="dxa"/>
            <w:vAlign w:val="bottom"/>
            <w:shd w:val="clear" w:color="auto" w:fill="EBFBFF"/>
          </w:tcPr>
          <w:p>
            <w:pPr>
              <w:ind w:left="20"/>
              <w:spacing w:after="0" w:line="213" w:lineRule="exact"/>
              <w:rPr>
                <w:sz w:val="20"/>
                <w:szCs w:val="20"/>
                <w:color w:val="auto"/>
              </w:rPr>
            </w:pPr>
            <w:r>
              <w:rPr>
                <w:rFonts w:ascii="Calibri" w:cs="Calibri" w:eastAsia="Calibri" w:hAnsi="Calibri"/>
                <w:sz w:val="18"/>
                <w:szCs w:val="18"/>
                <w:b w:val="1"/>
                <w:bCs w:val="1"/>
                <w:color w:val="51555C"/>
              </w:rPr>
              <w:t>Derivatve instruments designated as</w:t>
            </w:r>
          </w:p>
        </w:tc>
        <w:tc>
          <w:tcPr>
            <w:tcW w:w="1700" w:type="dxa"/>
            <w:vAlign w:val="bottom"/>
            <w:shd w:val="clear" w:color="auto" w:fill="EBFBFF"/>
          </w:tcPr>
          <w:p>
            <w:pPr>
              <w:spacing w:after="0"/>
              <w:rPr>
                <w:sz w:val="18"/>
                <w:szCs w:val="18"/>
                <w:color w:val="auto"/>
              </w:rPr>
            </w:pPr>
          </w:p>
        </w:tc>
        <w:tc>
          <w:tcPr>
            <w:tcW w:w="240" w:type="dxa"/>
            <w:vAlign w:val="bottom"/>
            <w:shd w:val="clear" w:color="auto" w:fill="EBFBFF"/>
          </w:tcPr>
          <w:p>
            <w:pPr>
              <w:spacing w:after="0"/>
              <w:rPr>
                <w:sz w:val="18"/>
                <w:szCs w:val="18"/>
                <w:color w:val="auto"/>
              </w:rPr>
            </w:pPr>
          </w:p>
        </w:tc>
        <w:tc>
          <w:tcPr>
            <w:tcW w:w="100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1000" w:type="dxa"/>
            <w:vAlign w:val="bottom"/>
            <w:tcBorders>
              <w:right w:val="single" w:sz="8" w:color="EBFBFF"/>
            </w:tcBorders>
            <w:shd w:val="clear" w:color="auto" w:fill="EBFBFF"/>
          </w:tcPr>
          <w:p>
            <w:pPr>
              <w:spacing w:after="0"/>
              <w:rPr>
                <w:sz w:val="18"/>
                <w:szCs w:val="18"/>
                <w:color w:val="auto"/>
              </w:rPr>
            </w:pPr>
          </w:p>
        </w:tc>
        <w:tc>
          <w:tcPr>
            <w:tcW w:w="80" w:type="dxa"/>
            <w:vAlign w:val="bottom"/>
            <w:shd w:val="clear" w:color="auto" w:fill="EBFBFF"/>
          </w:tcPr>
          <w:p>
            <w:pPr>
              <w:spacing w:after="0"/>
              <w:rPr>
                <w:sz w:val="18"/>
                <w:szCs w:val="18"/>
                <w:color w:val="auto"/>
              </w:rPr>
            </w:pPr>
          </w:p>
        </w:tc>
        <w:tc>
          <w:tcPr>
            <w:tcW w:w="1700" w:type="dxa"/>
            <w:vAlign w:val="bottom"/>
            <w:shd w:val="clear" w:color="auto" w:fill="EBFBFF"/>
          </w:tcPr>
          <w:p>
            <w:pPr>
              <w:spacing w:after="0"/>
              <w:rPr>
                <w:sz w:val="18"/>
                <w:szCs w:val="18"/>
                <w:color w:val="auto"/>
              </w:rPr>
            </w:pPr>
          </w:p>
        </w:tc>
        <w:tc>
          <w:tcPr>
            <w:tcW w:w="240" w:type="dxa"/>
            <w:vAlign w:val="bottom"/>
            <w:shd w:val="clear" w:color="auto" w:fill="EBFBFF"/>
          </w:tcPr>
          <w:p>
            <w:pPr>
              <w:spacing w:after="0"/>
              <w:rPr>
                <w:sz w:val="18"/>
                <w:szCs w:val="18"/>
                <w:color w:val="auto"/>
              </w:rPr>
            </w:pPr>
          </w:p>
        </w:tc>
        <w:tc>
          <w:tcPr>
            <w:tcW w:w="1000" w:type="dxa"/>
            <w:vAlign w:val="bottom"/>
            <w:shd w:val="clear" w:color="auto" w:fill="EBFBFF"/>
          </w:tcPr>
          <w:p>
            <w:pPr>
              <w:spacing w:after="0"/>
              <w:rPr>
                <w:sz w:val="18"/>
                <w:szCs w:val="18"/>
                <w:color w:val="auto"/>
              </w:rPr>
            </w:pPr>
          </w:p>
        </w:tc>
        <w:tc>
          <w:tcPr>
            <w:tcW w:w="26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780" w:type="dxa"/>
            <w:vAlign w:val="bottom"/>
            <w:tcBorders>
              <w:bottom w:val="single" w:sz="8" w:color="EBFBFF"/>
            </w:tcBorders>
            <w:shd w:val="clear" w:color="auto" w:fill="EBFBFF"/>
          </w:tcPr>
          <w:p>
            <w:pPr>
              <w:ind w:left="20"/>
              <w:spacing w:after="0" w:line="216" w:lineRule="exact"/>
              <w:rPr>
                <w:sz w:val="20"/>
                <w:szCs w:val="20"/>
                <w:color w:val="auto"/>
              </w:rPr>
            </w:pPr>
            <w:r>
              <w:rPr>
                <w:rFonts w:ascii="Calibri" w:cs="Calibri" w:eastAsia="Calibri" w:hAnsi="Calibri"/>
                <w:sz w:val="18"/>
                <w:szCs w:val="18"/>
                <w:b w:val="1"/>
                <w:bCs w:val="1"/>
                <w:color w:val="51555C"/>
              </w:rPr>
              <w:t>hedging instruments:</w:t>
            </w:r>
          </w:p>
        </w:tc>
        <w:tc>
          <w:tcPr>
            <w:tcW w:w="17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17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780" w:type="dxa"/>
            <w:vAlign w:val="bottom"/>
          </w:tcPr>
          <w:p>
            <w:pPr>
              <w:ind w:left="140"/>
              <w:spacing w:after="0"/>
              <w:rPr>
                <w:sz w:val="20"/>
                <w:szCs w:val="20"/>
                <w:color w:val="auto"/>
              </w:rPr>
            </w:pPr>
            <w:r>
              <w:rPr>
                <w:rFonts w:ascii="Calibri" w:cs="Calibri" w:eastAsia="Calibri" w:hAnsi="Calibri"/>
                <w:sz w:val="18"/>
                <w:szCs w:val="18"/>
                <w:color w:val="51555C"/>
              </w:rPr>
              <w:t>Interest rate swaps, current porton</w:t>
            </w:r>
          </w:p>
        </w:tc>
        <w:tc>
          <w:tcPr>
            <w:tcW w:w="1940" w:type="dxa"/>
            <w:vAlign w:val="bottom"/>
            <w:gridSpan w:val="2"/>
          </w:tcPr>
          <w:p>
            <w:pPr>
              <w:jc w:val="right"/>
              <w:ind w:right="260"/>
              <w:spacing w:after="0"/>
              <w:rPr>
                <w:sz w:val="20"/>
                <w:szCs w:val="20"/>
                <w:color w:val="auto"/>
              </w:rPr>
            </w:pPr>
            <w:r>
              <w:rPr>
                <w:rFonts w:ascii="Calibri" w:cs="Calibri" w:eastAsia="Calibri" w:hAnsi="Calibri"/>
                <w:sz w:val="18"/>
                <w:szCs w:val="18"/>
                <w:color w:val="51555C"/>
              </w:rPr>
              <w:t>Prepaid expenses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jc w:val="right"/>
              <w:ind w:right="260"/>
              <w:spacing w:after="0"/>
              <w:rPr>
                <w:sz w:val="20"/>
                <w:szCs w:val="20"/>
                <w:color w:val="auto"/>
              </w:rPr>
            </w:pPr>
            <w:r>
              <w:rPr>
                <w:rFonts w:ascii="Calibri" w:cs="Calibri" w:eastAsia="Calibri" w:hAnsi="Calibri"/>
                <w:sz w:val="18"/>
                <w:szCs w:val="18"/>
                <w:color w:val="51555C"/>
              </w:rPr>
              <w:t>Accrued expenses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940" w:type="dxa"/>
            <w:vAlign w:val="bottom"/>
            <w:gridSpan w:val="2"/>
          </w:tcPr>
          <w:p>
            <w:pPr>
              <w:jc w:val="right"/>
              <w:ind w:right="260"/>
              <w:spacing w:after="0" w:line="216" w:lineRule="exact"/>
              <w:rPr>
                <w:sz w:val="20"/>
                <w:szCs w:val="20"/>
                <w:color w:val="auto"/>
              </w:rPr>
            </w:pPr>
            <w:r>
              <w:rPr>
                <w:rFonts w:ascii="Calibri" w:cs="Calibri" w:eastAsia="Calibri" w:hAnsi="Calibri"/>
                <w:sz w:val="18"/>
                <w:szCs w:val="18"/>
                <w:color w:val="51555C"/>
              </w:rPr>
              <w:t>and other current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jc w:val="right"/>
              <w:ind w:right="260"/>
              <w:spacing w:after="0" w:line="216" w:lineRule="exact"/>
              <w:rPr>
                <w:sz w:val="20"/>
                <w:szCs w:val="20"/>
                <w:color w:val="auto"/>
              </w:rPr>
            </w:pPr>
            <w:r>
              <w:rPr>
                <w:rFonts w:ascii="Calibri" w:cs="Calibri" w:eastAsia="Calibri" w:hAnsi="Calibri"/>
                <w:sz w:val="18"/>
                <w:szCs w:val="18"/>
                <w:color w:val="51555C"/>
              </w:rPr>
              <w:t>and other current</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94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51555C"/>
              </w:rPr>
              <w:t>assets $</w:t>
            </w: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51555C"/>
              </w:rPr>
              <w:t>16,198</w:t>
            </w:r>
          </w:p>
        </w:tc>
        <w:tc>
          <w:tcPr>
            <w:tcW w:w="260" w:type="dxa"/>
            <w:vAlign w:val="bottom"/>
          </w:tcPr>
          <w:p>
            <w:pPr>
              <w:jc w:val="right"/>
              <w:ind w:right="70"/>
              <w:spacing w:after="0" w:line="216" w:lineRule="exact"/>
              <w:rPr>
                <w:sz w:val="20"/>
                <w:szCs w:val="20"/>
                <w:color w:val="auto"/>
              </w:rPr>
            </w:pPr>
            <w:r>
              <w:rPr>
                <w:rFonts w:ascii="Calibri" w:cs="Calibri" w:eastAsia="Calibri" w:hAnsi="Calibri"/>
                <w:sz w:val="18"/>
                <w:szCs w:val="18"/>
                <w:color w:val="51555C"/>
                <w:w w:val="87"/>
              </w:rPr>
              <w:t>$</w:t>
            </w:r>
          </w:p>
        </w:tc>
        <w:tc>
          <w:tcPr>
            <w:tcW w:w="1000" w:type="dxa"/>
            <w:vAlign w:val="bottom"/>
          </w:tcPr>
          <w:p>
            <w:pPr>
              <w:jc w:val="right"/>
              <w:spacing w:after="0" w:line="216" w:lineRule="exact"/>
              <w:rPr>
                <w:sz w:val="20"/>
                <w:szCs w:val="20"/>
                <w:color w:val="auto"/>
              </w:rPr>
            </w:pPr>
            <w:r>
              <w:rPr>
                <w:rFonts w:ascii="Calibri" w:cs="Calibri" w:eastAsia="Calibri" w:hAnsi="Calibri"/>
                <w:sz w:val="18"/>
                <w:szCs w:val="18"/>
                <w:color w:val="51555C"/>
              </w:rPr>
              <w:t>—</w:t>
            </w:r>
          </w:p>
        </w:tc>
        <w:tc>
          <w:tcPr>
            <w:tcW w:w="80" w:type="dxa"/>
            <w:vAlign w:val="bottom"/>
          </w:tcPr>
          <w:p>
            <w:pPr>
              <w:spacing w:after="0"/>
              <w:rPr>
                <w:sz w:val="18"/>
                <w:szCs w:val="18"/>
                <w:color w:val="auto"/>
              </w:rPr>
            </w:pPr>
          </w:p>
        </w:tc>
        <w:tc>
          <w:tcPr>
            <w:tcW w:w="1940" w:type="dxa"/>
            <w:vAlign w:val="bottom"/>
            <w:gridSpan w:val="2"/>
          </w:tcPr>
          <w:p>
            <w:pPr>
              <w:jc w:val="right"/>
              <w:ind w:right="140"/>
              <w:spacing w:after="0" w:line="216" w:lineRule="exact"/>
              <w:rPr>
                <w:sz w:val="20"/>
                <w:szCs w:val="20"/>
                <w:color w:val="auto"/>
              </w:rPr>
            </w:pPr>
            <w:r>
              <w:rPr>
                <w:rFonts w:ascii="Calibri" w:cs="Calibri" w:eastAsia="Calibri" w:hAnsi="Calibri"/>
                <w:sz w:val="18"/>
                <w:szCs w:val="18"/>
                <w:color w:val="51555C"/>
              </w:rPr>
              <w:t>liabilites $</w:t>
            </w:r>
          </w:p>
        </w:tc>
        <w:tc>
          <w:tcPr>
            <w:tcW w:w="1260" w:type="dxa"/>
            <w:vAlign w:val="bottom"/>
            <w:gridSpan w:val="2"/>
          </w:tcPr>
          <w:p>
            <w:pPr>
              <w:jc w:val="right"/>
              <w:ind w:right="70"/>
              <w:spacing w:after="0" w:line="216" w:lineRule="exact"/>
              <w:rPr>
                <w:sz w:val="20"/>
                <w:szCs w:val="20"/>
                <w:color w:val="auto"/>
              </w:rPr>
            </w:pPr>
            <w:r>
              <w:rPr>
                <w:rFonts w:ascii="Calibri" w:cs="Calibri" w:eastAsia="Calibri" w:hAnsi="Calibri"/>
                <w:sz w:val="18"/>
                <w:szCs w:val="18"/>
                <w:color w:val="51555C"/>
              </w:rPr>
              <w:t>— $</w:t>
            </w:r>
          </w:p>
        </w:tc>
        <w:tc>
          <w:tcPr>
            <w:tcW w:w="980" w:type="dxa"/>
            <w:vAlign w:val="bottom"/>
          </w:tcPr>
          <w:p>
            <w:pPr>
              <w:jc w:val="right"/>
              <w:spacing w:after="0" w:line="216" w:lineRule="exact"/>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7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780" w:type="dxa"/>
            <w:vAlign w:val="bottom"/>
            <w:vMerge w:val="restart"/>
            <w:shd w:val="clear" w:color="auto" w:fill="EBFBFF"/>
          </w:tcPr>
          <w:p>
            <w:pPr>
              <w:ind w:left="140"/>
              <w:spacing w:after="0"/>
              <w:rPr>
                <w:sz w:val="20"/>
                <w:szCs w:val="20"/>
                <w:color w:val="auto"/>
              </w:rPr>
            </w:pPr>
            <w:r>
              <w:rPr>
                <w:rFonts w:ascii="Calibri" w:cs="Calibri" w:eastAsia="Calibri" w:hAnsi="Calibri"/>
                <w:sz w:val="18"/>
                <w:szCs w:val="18"/>
                <w:color w:val="51555C"/>
                <w:w w:val="99"/>
              </w:rPr>
              <w:t>Foreign currency forward contracts,</w:t>
            </w:r>
          </w:p>
        </w:tc>
        <w:tc>
          <w:tcPr>
            <w:tcW w:w="1940" w:type="dxa"/>
            <w:vAlign w:val="bottom"/>
            <w:gridSpan w:val="2"/>
            <w:shd w:val="clear" w:color="auto" w:fill="EBFBFF"/>
          </w:tcPr>
          <w:p>
            <w:pPr>
              <w:jc w:val="right"/>
              <w:ind w:right="260"/>
              <w:spacing w:after="0"/>
              <w:rPr>
                <w:sz w:val="20"/>
                <w:szCs w:val="20"/>
                <w:color w:val="auto"/>
              </w:rPr>
            </w:pPr>
            <w:r>
              <w:rPr>
                <w:rFonts w:ascii="Calibri" w:cs="Calibri" w:eastAsia="Calibri" w:hAnsi="Calibri"/>
                <w:sz w:val="18"/>
                <w:szCs w:val="18"/>
                <w:color w:val="51555C"/>
              </w:rPr>
              <w:t>Prepaid expenses</w:t>
            </w:r>
          </w:p>
        </w:tc>
        <w:tc>
          <w:tcPr>
            <w:tcW w:w="1000" w:type="dxa"/>
            <w:vAlign w:val="bottom"/>
            <w:shd w:val="clear" w:color="auto" w:fill="EBFBFF"/>
          </w:tcPr>
          <w:p>
            <w:pPr>
              <w:spacing w:after="0"/>
              <w:rPr>
                <w:sz w:val="19"/>
                <w:szCs w:val="19"/>
                <w:color w:val="auto"/>
              </w:rPr>
            </w:pPr>
          </w:p>
        </w:tc>
        <w:tc>
          <w:tcPr>
            <w:tcW w:w="260" w:type="dxa"/>
            <w:vAlign w:val="bottom"/>
            <w:shd w:val="clear" w:color="auto" w:fill="EBFBFF"/>
          </w:tcPr>
          <w:p>
            <w:pPr>
              <w:spacing w:after="0"/>
              <w:rPr>
                <w:sz w:val="19"/>
                <w:szCs w:val="19"/>
                <w:color w:val="auto"/>
              </w:rPr>
            </w:pPr>
          </w:p>
        </w:tc>
        <w:tc>
          <w:tcPr>
            <w:tcW w:w="1000" w:type="dxa"/>
            <w:vAlign w:val="bottom"/>
            <w:tcBorders>
              <w:right w:val="single" w:sz="8" w:color="EBFBFF"/>
            </w:tcBorders>
            <w:shd w:val="clear" w:color="auto" w:fill="EBFBFF"/>
          </w:tcPr>
          <w:p>
            <w:pPr>
              <w:spacing w:after="0"/>
              <w:rPr>
                <w:sz w:val="19"/>
                <w:szCs w:val="19"/>
                <w:color w:val="auto"/>
              </w:rPr>
            </w:pPr>
          </w:p>
        </w:tc>
        <w:tc>
          <w:tcPr>
            <w:tcW w:w="80" w:type="dxa"/>
            <w:vAlign w:val="bottom"/>
            <w:shd w:val="clear" w:color="auto" w:fill="EBFBFF"/>
          </w:tcPr>
          <w:p>
            <w:pPr>
              <w:spacing w:after="0"/>
              <w:rPr>
                <w:sz w:val="19"/>
                <w:szCs w:val="19"/>
                <w:color w:val="auto"/>
              </w:rPr>
            </w:pPr>
          </w:p>
        </w:tc>
        <w:tc>
          <w:tcPr>
            <w:tcW w:w="1940" w:type="dxa"/>
            <w:vAlign w:val="bottom"/>
            <w:gridSpan w:val="2"/>
            <w:shd w:val="clear" w:color="auto" w:fill="EBFBFF"/>
          </w:tcPr>
          <w:p>
            <w:pPr>
              <w:jc w:val="right"/>
              <w:ind w:right="260"/>
              <w:spacing w:after="0"/>
              <w:rPr>
                <w:sz w:val="20"/>
                <w:szCs w:val="20"/>
                <w:color w:val="auto"/>
              </w:rPr>
            </w:pPr>
            <w:r>
              <w:rPr>
                <w:rFonts w:ascii="Calibri" w:cs="Calibri" w:eastAsia="Calibri" w:hAnsi="Calibri"/>
                <w:sz w:val="18"/>
                <w:szCs w:val="18"/>
                <w:color w:val="51555C"/>
              </w:rPr>
              <w:t>Accrued expenses</w:t>
            </w:r>
          </w:p>
        </w:tc>
        <w:tc>
          <w:tcPr>
            <w:tcW w:w="1000" w:type="dxa"/>
            <w:vAlign w:val="bottom"/>
            <w:shd w:val="clear" w:color="auto" w:fill="EBFBFF"/>
          </w:tcPr>
          <w:p>
            <w:pPr>
              <w:spacing w:after="0"/>
              <w:rPr>
                <w:sz w:val="19"/>
                <w:szCs w:val="19"/>
                <w:color w:val="auto"/>
              </w:rPr>
            </w:pPr>
          </w:p>
        </w:tc>
        <w:tc>
          <w:tcPr>
            <w:tcW w:w="260" w:type="dxa"/>
            <w:vAlign w:val="bottom"/>
            <w:shd w:val="clear" w:color="auto" w:fill="EBFBFF"/>
          </w:tcPr>
          <w:p>
            <w:pPr>
              <w:spacing w:after="0"/>
              <w:rPr>
                <w:sz w:val="19"/>
                <w:szCs w:val="19"/>
                <w:color w:val="auto"/>
              </w:rPr>
            </w:pPr>
          </w:p>
        </w:tc>
        <w:tc>
          <w:tcPr>
            <w:tcW w:w="98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780" w:type="dxa"/>
            <w:vAlign w:val="bottom"/>
            <w:vMerge w:val="continue"/>
            <w:shd w:val="clear" w:color="auto" w:fill="EBFBFF"/>
          </w:tcPr>
          <w:p>
            <w:pPr>
              <w:spacing w:after="0"/>
              <w:rPr>
                <w:sz w:val="4"/>
                <w:szCs w:val="4"/>
                <w:color w:val="auto"/>
              </w:rPr>
            </w:pPr>
          </w:p>
        </w:tc>
        <w:tc>
          <w:tcPr>
            <w:tcW w:w="1940" w:type="dxa"/>
            <w:vAlign w:val="bottom"/>
            <w:gridSpan w:val="2"/>
            <w:vMerge w:val="restart"/>
            <w:shd w:val="clear" w:color="auto" w:fill="EBFBFF"/>
          </w:tcPr>
          <w:p>
            <w:pPr>
              <w:jc w:val="right"/>
              <w:ind w:right="260"/>
              <w:spacing w:after="0" w:line="216" w:lineRule="exact"/>
              <w:rPr>
                <w:sz w:val="20"/>
                <w:szCs w:val="20"/>
                <w:color w:val="auto"/>
              </w:rPr>
            </w:pPr>
            <w:r>
              <w:rPr>
                <w:rFonts w:ascii="Calibri" w:cs="Calibri" w:eastAsia="Calibri" w:hAnsi="Calibri"/>
                <w:sz w:val="18"/>
                <w:szCs w:val="18"/>
                <w:color w:val="51555C"/>
              </w:rPr>
              <w:t>and other current</w:t>
            </w:r>
          </w:p>
        </w:tc>
        <w:tc>
          <w:tcPr>
            <w:tcW w:w="1000" w:type="dxa"/>
            <w:vAlign w:val="bottom"/>
            <w:shd w:val="clear" w:color="auto" w:fill="EBFBFF"/>
          </w:tcPr>
          <w:p>
            <w:pPr>
              <w:spacing w:after="0"/>
              <w:rPr>
                <w:sz w:val="4"/>
                <w:szCs w:val="4"/>
                <w:color w:val="auto"/>
              </w:rPr>
            </w:pPr>
          </w:p>
        </w:tc>
        <w:tc>
          <w:tcPr>
            <w:tcW w:w="260" w:type="dxa"/>
            <w:vAlign w:val="bottom"/>
            <w:shd w:val="clear" w:color="auto" w:fill="EBFBFF"/>
          </w:tcPr>
          <w:p>
            <w:pPr>
              <w:spacing w:after="0"/>
              <w:rPr>
                <w:sz w:val="4"/>
                <w:szCs w:val="4"/>
                <w:color w:val="auto"/>
              </w:rPr>
            </w:pPr>
          </w:p>
        </w:tc>
        <w:tc>
          <w:tcPr>
            <w:tcW w:w="1000" w:type="dxa"/>
            <w:vAlign w:val="bottom"/>
            <w:tcBorders>
              <w:right w:val="single" w:sz="8" w:color="EBFBFF"/>
            </w:tcBorders>
            <w:shd w:val="clear" w:color="auto" w:fill="EBFBFF"/>
          </w:tcPr>
          <w:p>
            <w:pPr>
              <w:spacing w:after="0"/>
              <w:rPr>
                <w:sz w:val="4"/>
                <w:szCs w:val="4"/>
                <w:color w:val="auto"/>
              </w:rPr>
            </w:pPr>
          </w:p>
        </w:tc>
        <w:tc>
          <w:tcPr>
            <w:tcW w:w="80" w:type="dxa"/>
            <w:vAlign w:val="bottom"/>
            <w:shd w:val="clear" w:color="auto" w:fill="EBFBFF"/>
          </w:tcPr>
          <w:p>
            <w:pPr>
              <w:spacing w:after="0"/>
              <w:rPr>
                <w:sz w:val="4"/>
                <w:szCs w:val="4"/>
                <w:color w:val="auto"/>
              </w:rPr>
            </w:pPr>
          </w:p>
        </w:tc>
        <w:tc>
          <w:tcPr>
            <w:tcW w:w="1940" w:type="dxa"/>
            <w:vAlign w:val="bottom"/>
            <w:gridSpan w:val="2"/>
            <w:vMerge w:val="restart"/>
            <w:shd w:val="clear" w:color="auto" w:fill="EBFBFF"/>
          </w:tcPr>
          <w:p>
            <w:pPr>
              <w:jc w:val="right"/>
              <w:ind w:right="260"/>
              <w:spacing w:after="0" w:line="216" w:lineRule="exact"/>
              <w:rPr>
                <w:sz w:val="20"/>
                <w:szCs w:val="20"/>
                <w:color w:val="auto"/>
              </w:rPr>
            </w:pPr>
            <w:r>
              <w:rPr>
                <w:rFonts w:ascii="Calibri" w:cs="Calibri" w:eastAsia="Calibri" w:hAnsi="Calibri"/>
                <w:sz w:val="18"/>
                <w:szCs w:val="18"/>
                <w:color w:val="51555C"/>
              </w:rPr>
              <w:t>and other current</w:t>
            </w:r>
          </w:p>
        </w:tc>
        <w:tc>
          <w:tcPr>
            <w:tcW w:w="1000" w:type="dxa"/>
            <w:vAlign w:val="bottom"/>
            <w:shd w:val="clear" w:color="auto" w:fill="EBFBFF"/>
          </w:tcPr>
          <w:p>
            <w:pPr>
              <w:spacing w:after="0"/>
              <w:rPr>
                <w:sz w:val="4"/>
                <w:szCs w:val="4"/>
                <w:color w:val="auto"/>
              </w:rPr>
            </w:pPr>
          </w:p>
        </w:tc>
        <w:tc>
          <w:tcPr>
            <w:tcW w:w="260" w:type="dxa"/>
            <w:vAlign w:val="bottom"/>
            <w:shd w:val="clear" w:color="auto" w:fill="EBFBFF"/>
          </w:tcPr>
          <w:p>
            <w:pPr>
              <w:spacing w:after="0"/>
              <w:rPr>
                <w:sz w:val="4"/>
                <w:szCs w:val="4"/>
                <w:color w:val="auto"/>
              </w:rPr>
            </w:pPr>
          </w:p>
        </w:tc>
        <w:tc>
          <w:tcPr>
            <w:tcW w:w="980" w:type="dxa"/>
            <w:vAlign w:val="bottom"/>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80" w:type="dxa"/>
            <w:vAlign w:val="bottom"/>
            <w:vMerge w:val="restart"/>
            <w:shd w:val="clear" w:color="auto" w:fill="EBFBFF"/>
          </w:tcPr>
          <w:p>
            <w:pPr>
              <w:ind w:left="140"/>
              <w:spacing w:after="0" w:line="216" w:lineRule="exact"/>
              <w:rPr>
                <w:sz w:val="20"/>
                <w:szCs w:val="20"/>
                <w:color w:val="auto"/>
              </w:rPr>
            </w:pPr>
            <w:r>
              <w:rPr>
                <w:rFonts w:ascii="Calibri" w:cs="Calibri" w:eastAsia="Calibri" w:hAnsi="Calibri"/>
                <w:sz w:val="18"/>
                <w:szCs w:val="18"/>
                <w:color w:val="51555C"/>
              </w:rPr>
              <w:t>current porton</w:t>
            </w:r>
          </w:p>
        </w:tc>
        <w:tc>
          <w:tcPr>
            <w:tcW w:w="1940" w:type="dxa"/>
            <w:vAlign w:val="bottom"/>
            <w:gridSpan w:val="2"/>
            <w:vMerge w:val="continue"/>
            <w:shd w:val="clear" w:color="auto" w:fill="EBFBFF"/>
          </w:tcPr>
          <w:p>
            <w:pPr>
              <w:spacing w:after="0"/>
              <w:rPr>
                <w:sz w:val="14"/>
                <w:szCs w:val="14"/>
                <w:color w:val="auto"/>
              </w:rPr>
            </w:pPr>
          </w:p>
        </w:tc>
        <w:tc>
          <w:tcPr>
            <w:tcW w:w="1000" w:type="dxa"/>
            <w:vAlign w:val="bottom"/>
            <w:shd w:val="clear" w:color="auto" w:fill="EBFBFF"/>
          </w:tcPr>
          <w:p>
            <w:pPr>
              <w:spacing w:after="0"/>
              <w:rPr>
                <w:sz w:val="14"/>
                <w:szCs w:val="14"/>
                <w:color w:val="auto"/>
              </w:rPr>
            </w:pPr>
          </w:p>
        </w:tc>
        <w:tc>
          <w:tcPr>
            <w:tcW w:w="260" w:type="dxa"/>
            <w:vAlign w:val="bottom"/>
            <w:shd w:val="clear" w:color="auto" w:fill="EBFBFF"/>
          </w:tcPr>
          <w:p>
            <w:pPr>
              <w:spacing w:after="0"/>
              <w:rPr>
                <w:sz w:val="14"/>
                <w:szCs w:val="14"/>
                <w:color w:val="auto"/>
              </w:rPr>
            </w:pPr>
          </w:p>
        </w:tc>
        <w:tc>
          <w:tcPr>
            <w:tcW w:w="1000" w:type="dxa"/>
            <w:vAlign w:val="bottom"/>
            <w:tcBorders>
              <w:right w:val="single" w:sz="8" w:color="EBFBFF"/>
            </w:tcBorders>
            <w:shd w:val="clear" w:color="auto" w:fill="EBFBFF"/>
          </w:tcPr>
          <w:p>
            <w:pPr>
              <w:spacing w:after="0"/>
              <w:rPr>
                <w:sz w:val="14"/>
                <w:szCs w:val="14"/>
                <w:color w:val="auto"/>
              </w:rPr>
            </w:pPr>
          </w:p>
        </w:tc>
        <w:tc>
          <w:tcPr>
            <w:tcW w:w="80" w:type="dxa"/>
            <w:vAlign w:val="bottom"/>
            <w:shd w:val="clear" w:color="auto" w:fill="EBFBFF"/>
          </w:tcPr>
          <w:p>
            <w:pPr>
              <w:spacing w:after="0"/>
              <w:rPr>
                <w:sz w:val="14"/>
                <w:szCs w:val="14"/>
                <w:color w:val="auto"/>
              </w:rPr>
            </w:pPr>
          </w:p>
        </w:tc>
        <w:tc>
          <w:tcPr>
            <w:tcW w:w="1940" w:type="dxa"/>
            <w:vAlign w:val="bottom"/>
            <w:gridSpan w:val="2"/>
            <w:vMerge w:val="continue"/>
            <w:shd w:val="clear" w:color="auto" w:fill="EBFBFF"/>
          </w:tcPr>
          <w:p>
            <w:pPr>
              <w:spacing w:after="0"/>
              <w:rPr>
                <w:sz w:val="14"/>
                <w:szCs w:val="14"/>
                <w:color w:val="auto"/>
              </w:rPr>
            </w:pPr>
          </w:p>
        </w:tc>
        <w:tc>
          <w:tcPr>
            <w:tcW w:w="1000" w:type="dxa"/>
            <w:vAlign w:val="bottom"/>
            <w:shd w:val="clear" w:color="auto" w:fill="EBFBFF"/>
          </w:tcPr>
          <w:p>
            <w:pPr>
              <w:spacing w:after="0"/>
              <w:rPr>
                <w:sz w:val="14"/>
                <w:szCs w:val="14"/>
                <w:color w:val="auto"/>
              </w:rPr>
            </w:pPr>
          </w:p>
        </w:tc>
        <w:tc>
          <w:tcPr>
            <w:tcW w:w="260" w:type="dxa"/>
            <w:vAlign w:val="bottom"/>
            <w:shd w:val="clear" w:color="auto" w:fill="EBFBFF"/>
          </w:tcPr>
          <w:p>
            <w:pPr>
              <w:spacing w:after="0"/>
              <w:rPr>
                <w:sz w:val="14"/>
                <w:szCs w:val="14"/>
                <w:color w:val="auto"/>
              </w:rPr>
            </w:pPr>
          </w:p>
        </w:tc>
        <w:tc>
          <w:tcPr>
            <w:tcW w:w="980" w:type="dxa"/>
            <w:vAlign w:val="bottom"/>
            <w:shd w:val="clear" w:color="auto" w:fill="EBFB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80" w:type="dxa"/>
            <w:vAlign w:val="bottom"/>
            <w:vMerge w:val="continue"/>
            <w:shd w:val="clear" w:color="auto" w:fill="EBFBFF"/>
          </w:tcPr>
          <w:p>
            <w:pPr>
              <w:spacing w:after="0"/>
              <w:rPr>
                <w:sz w:val="4"/>
                <w:szCs w:val="4"/>
                <w:color w:val="auto"/>
              </w:rPr>
            </w:pPr>
          </w:p>
        </w:tc>
        <w:tc>
          <w:tcPr>
            <w:tcW w:w="1940" w:type="dxa"/>
            <w:vAlign w:val="bottom"/>
            <w:gridSpan w:val="2"/>
            <w:vMerge w:val="restart"/>
            <w:shd w:val="clear" w:color="auto" w:fill="EBFBFF"/>
          </w:tcPr>
          <w:p>
            <w:pPr>
              <w:jc w:val="right"/>
              <w:ind w:right="260"/>
              <w:spacing w:after="0" w:line="216" w:lineRule="exact"/>
              <w:rPr>
                <w:sz w:val="20"/>
                <w:szCs w:val="20"/>
                <w:color w:val="auto"/>
              </w:rPr>
            </w:pPr>
            <w:r>
              <w:rPr>
                <w:rFonts w:ascii="Calibri" w:cs="Calibri" w:eastAsia="Calibri" w:hAnsi="Calibri"/>
                <w:sz w:val="18"/>
                <w:szCs w:val="18"/>
                <w:color w:val="51555C"/>
              </w:rPr>
              <w:t>assets</w:t>
            </w:r>
          </w:p>
        </w:tc>
        <w:tc>
          <w:tcPr>
            <w:tcW w:w="1000" w:type="dxa"/>
            <w:vAlign w:val="bottom"/>
            <w:vMerge w:val="restart"/>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w:t>
            </w:r>
          </w:p>
        </w:tc>
        <w:tc>
          <w:tcPr>
            <w:tcW w:w="260" w:type="dxa"/>
            <w:vAlign w:val="bottom"/>
            <w:shd w:val="clear" w:color="auto" w:fill="EBFBFF"/>
          </w:tcPr>
          <w:p>
            <w:pPr>
              <w:spacing w:after="0"/>
              <w:rPr>
                <w:sz w:val="4"/>
                <w:szCs w:val="4"/>
                <w:color w:val="auto"/>
              </w:rPr>
            </w:pPr>
          </w:p>
        </w:tc>
        <w:tc>
          <w:tcPr>
            <w:tcW w:w="1000" w:type="dxa"/>
            <w:vAlign w:val="bottom"/>
            <w:tcBorders>
              <w:right w:val="single" w:sz="8" w:color="EBFBFF"/>
            </w:tcBorders>
            <w:vMerge w:val="restart"/>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247</w:t>
            </w:r>
          </w:p>
        </w:tc>
        <w:tc>
          <w:tcPr>
            <w:tcW w:w="80" w:type="dxa"/>
            <w:vAlign w:val="bottom"/>
            <w:shd w:val="clear" w:color="auto" w:fill="EBFBFF"/>
          </w:tcPr>
          <w:p>
            <w:pPr>
              <w:spacing w:after="0"/>
              <w:rPr>
                <w:sz w:val="4"/>
                <w:szCs w:val="4"/>
                <w:color w:val="auto"/>
              </w:rPr>
            </w:pPr>
          </w:p>
        </w:tc>
        <w:tc>
          <w:tcPr>
            <w:tcW w:w="1940" w:type="dxa"/>
            <w:vAlign w:val="bottom"/>
            <w:gridSpan w:val="2"/>
            <w:vMerge w:val="restart"/>
            <w:shd w:val="clear" w:color="auto" w:fill="EBFBFF"/>
          </w:tcPr>
          <w:p>
            <w:pPr>
              <w:jc w:val="right"/>
              <w:ind w:right="260"/>
              <w:spacing w:after="0" w:line="216" w:lineRule="exact"/>
              <w:rPr>
                <w:sz w:val="20"/>
                <w:szCs w:val="20"/>
                <w:color w:val="auto"/>
              </w:rPr>
            </w:pPr>
            <w:r>
              <w:rPr>
                <w:rFonts w:ascii="Calibri" w:cs="Calibri" w:eastAsia="Calibri" w:hAnsi="Calibri"/>
                <w:sz w:val="18"/>
                <w:szCs w:val="18"/>
                <w:color w:val="51555C"/>
              </w:rPr>
              <w:t>liabilites</w:t>
            </w:r>
          </w:p>
        </w:tc>
        <w:tc>
          <w:tcPr>
            <w:tcW w:w="1000" w:type="dxa"/>
            <w:vAlign w:val="bottom"/>
            <w:vMerge w:val="restart"/>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536</w:t>
            </w:r>
          </w:p>
        </w:tc>
        <w:tc>
          <w:tcPr>
            <w:tcW w:w="260" w:type="dxa"/>
            <w:vAlign w:val="bottom"/>
            <w:shd w:val="clear" w:color="auto" w:fill="EBFBFF"/>
          </w:tcPr>
          <w:p>
            <w:pPr>
              <w:spacing w:after="0"/>
              <w:rPr>
                <w:sz w:val="4"/>
                <w:szCs w:val="4"/>
                <w:color w:val="auto"/>
              </w:rPr>
            </w:pPr>
          </w:p>
        </w:tc>
        <w:tc>
          <w:tcPr>
            <w:tcW w:w="980" w:type="dxa"/>
            <w:vAlign w:val="bottom"/>
            <w:vMerge w:val="restart"/>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323</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780" w:type="dxa"/>
            <w:vAlign w:val="bottom"/>
            <w:tcBorders>
              <w:bottom w:val="single" w:sz="8" w:color="EBFBFF"/>
            </w:tcBorders>
            <w:shd w:val="clear" w:color="auto" w:fill="EBFBFF"/>
          </w:tcPr>
          <w:p>
            <w:pPr>
              <w:spacing w:after="0"/>
              <w:rPr>
                <w:sz w:val="16"/>
                <w:szCs w:val="16"/>
                <w:color w:val="auto"/>
              </w:rPr>
            </w:pPr>
          </w:p>
        </w:tc>
        <w:tc>
          <w:tcPr>
            <w:tcW w:w="1940" w:type="dxa"/>
            <w:vAlign w:val="bottom"/>
            <w:tcBorders>
              <w:bottom w:val="single" w:sz="8" w:color="EBFBFF"/>
            </w:tcBorders>
            <w:gridSpan w:val="2"/>
            <w:vMerge w:val="continue"/>
            <w:shd w:val="clear" w:color="auto" w:fill="EBFBFF"/>
          </w:tcPr>
          <w:p>
            <w:pPr>
              <w:spacing w:after="0"/>
              <w:rPr>
                <w:sz w:val="16"/>
                <w:szCs w:val="16"/>
                <w:color w:val="auto"/>
              </w:rPr>
            </w:pPr>
          </w:p>
        </w:tc>
        <w:tc>
          <w:tcPr>
            <w:tcW w:w="1000" w:type="dxa"/>
            <w:vAlign w:val="bottom"/>
            <w:tcBorders>
              <w:bottom w:val="single" w:sz="8" w:color="EBFBFF"/>
            </w:tcBorders>
            <w:vMerge w:val="continue"/>
            <w:shd w:val="clear" w:color="auto" w:fill="EBFBFF"/>
          </w:tcPr>
          <w:p>
            <w:pPr>
              <w:spacing w:after="0"/>
              <w:rPr>
                <w:sz w:val="16"/>
                <w:szCs w:val="16"/>
                <w:color w:val="auto"/>
              </w:rPr>
            </w:pPr>
          </w:p>
        </w:tc>
        <w:tc>
          <w:tcPr>
            <w:tcW w:w="260" w:type="dxa"/>
            <w:vAlign w:val="bottom"/>
            <w:tcBorders>
              <w:bottom w:val="single" w:sz="8" w:color="EBFBFF"/>
            </w:tcBorders>
            <w:shd w:val="clear" w:color="auto" w:fill="EBFBFF"/>
          </w:tcPr>
          <w:p>
            <w:pPr>
              <w:spacing w:after="0"/>
              <w:rPr>
                <w:sz w:val="16"/>
                <w:szCs w:val="16"/>
                <w:color w:val="auto"/>
              </w:rPr>
            </w:pPr>
          </w:p>
        </w:tc>
        <w:tc>
          <w:tcPr>
            <w:tcW w:w="1000" w:type="dxa"/>
            <w:vAlign w:val="bottom"/>
            <w:tcBorders>
              <w:bottom w:val="single" w:sz="8" w:color="EBFBFF"/>
              <w:right w:val="single" w:sz="8" w:color="EBFBFF"/>
            </w:tcBorders>
            <w:vMerge w:val="continue"/>
            <w:shd w:val="clear" w:color="auto" w:fill="EBFBFF"/>
          </w:tcPr>
          <w:p>
            <w:pPr>
              <w:spacing w:after="0"/>
              <w:rPr>
                <w:sz w:val="16"/>
                <w:szCs w:val="16"/>
                <w:color w:val="auto"/>
              </w:rPr>
            </w:pPr>
          </w:p>
        </w:tc>
        <w:tc>
          <w:tcPr>
            <w:tcW w:w="80" w:type="dxa"/>
            <w:vAlign w:val="bottom"/>
            <w:tcBorders>
              <w:bottom w:val="single" w:sz="8" w:color="EBFBFF"/>
            </w:tcBorders>
            <w:shd w:val="clear" w:color="auto" w:fill="EBFBFF"/>
          </w:tcPr>
          <w:p>
            <w:pPr>
              <w:spacing w:after="0"/>
              <w:rPr>
                <w:sz w:val="16"/>
                <w:szCs w:val="16"/>
                <w:color w:val="auto"/>
              </w:rPr>
            </w:pPr>
          </w:p>
        </w:tc>
        <w:tc>
          <w:tcPr>
            <w:tcW w:w="1940" w:type="dxa"/>
            <w:vAlign w:val="bottom"/>
            <w:tcBorders>
              <w:bottom w:val="single" w:sz="8" w:color="EBFBFF"/>
            </w:tcBorders>
            <w:gridSpan w:val="2"/>
            <w:vMerge w:val="continue"/>
            <w:shd w:val="clear" w:color="auto" w:fill="EBFBFF"/>
          </w:tcPr>
          <w:p>
            <w:pPr>
              <w:spacing w:after="0"/>
              <w:rPr>
                <w:sz w:val="16"/>
                <w:szCs w:val="16"/>
                <w:color w:val="auto"/>
              </w:rPr>
            </w:pPr>
          </w:p>
        </w:tc>
        <w:tc>
          <w:tcPr>
            <w:tcW w:w="1000" w:type="dxa"/>
            <w:vAlign w:val="bottom"/>
            <w:tcBorders>
              <w:bottom w:val="single" w:sz="8" w:color="EBFBFF"/>
            </w:tcBorders>
            <w:vMerge w:val="continue"/>
            <w:shd w:val="clear" w:color="auto" w:fill="EBFBFF"/>
          </w:tcPr>
          <w:p>
            <w:pPr>
              <w:spacing w:after="0"/>
              <w:rPr>
                <w:sz w:val="16"/>
                <w:szCs w:val="16"/>
                <w:color w:val="auto"/>
              </w:rPr>
            </w:pPr>
          </w:p>
        </w:tc>
        <w:tc>
          <w:tcPr>
            <w:tcW w:w="260" w:type="dxa"/>
            <w:vAlign w:val="bottom"/>
            <w:tcBorders>
              <w:bottom w:val="single" w:sz="8" w:color="EBFBFF"/>
            </w:tcBorders>
            <w:shd w:val="clear" w:color="auto" w:fill="EBFBFF"/>
          </w:tcPr>
          <w:p>
            <w:pPr>
              <w:spacing w:after="0"/>
              <w:rPr>
                <w:sz w:val="16"/>
                <w:szCs w:val="16"/>
                <w:color w:val="auto"/>
              </w:rPr>
            </w:pPr>
          </w:p>
        </w:tc>
        <w:tc>
          <w:tcPr>
            <w:tcW w:w="980" w:type="dxa"/>
            <w:vAlign w:val="bottom"/>
            <w:tcBorders>
              <w:bottom w:val="single" w:sz="8" w:color="EBFBFF"/>
            </w:tcBorders>
            <w:vMerge w:val="continue"/>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780" w:type="dxa"/>
            <w:vAlign w:val="bottom"/>
          </w:tcPr>
          <w:p>
            <w:pPr>
              <w:ind w:left="140"/>
              <w:spacing w:after="0"/>
              <w:rPr>
                <w:sz w:val="20"/>
                <w:szCs w:val="20"/>
                <w:color w:val="auto"/>
              </w:rPr>
            </w:pPr>
            <w:r>
              <w:rPr>
                <w:rFonts w:ascii="Calibri" w:cs="Calibri" w:eastAsia="Calibri" w:hAnsi="Calibri"/>
                <w:sz w:val="18"/>
                <w:szCs w:val="18"/>
                <w:color w:val="51555C"/>
              </w:rPr>
              <w:t>Interest rate swaps, long-term</w:t>
            </w:r>
          </w:p>
        </w:tc>
        <w:tc>
          <w:tcPr>
            <w:tcW w:w="1940" w:type="dxa"/>
            <w:vAlign w:val="bottom"/>
            <w:gridSpan w:val="2"/>
          </w:tcPr>
          <w:p>
            <w:pPr>
              <w:jc w:val="right"/>
              <w:ind w:right="260"/>
              <w:spacing w:after="0"/>
              <w:rPr>
                <w:sz w:val="20"/>
                <w:szCs w:val="20"/>
                <w:color w:val="auto"/>
              </w:rPr>
            </w:pPr>
            <w:r>
              <w:rPr>
                <w:rFonts w:ascii="Calibri" w:cs="Calibri" w:eastAsia="Calibri" w:hAnsi="Calibri"/>
                <w:sz w:val="18"/>
                <w:szCs w:val="18"/>
                <w:color w:val="51555C"/>
              </w:rPr>
              <w:t>Other assets</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31,870</w:t>
            </w:r>
          </w:p>
        </w:tc>
        <w:tc>
          <w:tcPr>
            <w:tcW w:w="80" w:type="dxa"/>
            <w:vAlign w:val="bottom"/>
          </w:tcPr>
          <w:p>
            <w:pPr>
              <w:spacing w:after="0"/>
              <w:rPr>
                <w:sz w:val="23"/>
                <w:szCs w:val="23"/>
                <w:color w:val="auto"/>
              </w:rPr>
            </w:pPr>
          </w:p>
        </w:tc>
        <w:tc>
          <w:tcPr>
            <w:tcW w:w="1940" w:type="dxa"/>
            <w:vAlign w:val="bottom"/>
            <w:gridSpan w:val="2"/>
          </w:tcPr>
          <w:p>
            <w:pPr>
              <w:jc w:val="right"/>
              <w:ind w:right="260"/>
              <w:spacing w:after="0"/>
              <w:rPr>
                <w:sz w:val="20"/>
                <w:szCs w:val="20"/>
                <w:color w:val="auto"/>
              </w:rPr>
            </w:pPr>
            <w:r>
              <w:rPr>
                <w:rFonts w:ascii="Calibri" w:cs="Calibri" w:eastAsia="Calibri" w:hAnsi="Calibri"/>
                <w:sz w:val="18"/>
                <w:szCs w:val="18"/>
                <w:color w:val="51555C"/>
              </w:rPr>
              <w:t>Other liabilites</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5,004</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2780" w:type="dxa"/>
            <w:vAlign w:val="bottom"/>
            <w:tcBorders>
              <w:bottom w:val="single" w:sz="8" w:color="EBFBFF"/>
            </w:tcBorders>
          </w:tcPr>
          <w:p>
            <w:pPr>
              <w:spacing w:after="0"/>
              <w:rPr>
                <w:sz w:val="4"/>
                <w:szCs w:val="4"/>
                <w:color w:val="auto"/>
              </w:rPr>
            </w:pPr>
          </w:p>
        </w:tc>
        <w:tc>
          <w:tcPr>
            <w:tcW w:w="17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80" w:type="dxa"/>
            <w:vAlign w:val="bottom"/>
            <w:tcBorders>
              <w:bottom w:val="single" w:sz="8" w:color="EBFBFF"/>
            </w:tcBorders>
          </w:tcPr>
          <w:p>
            <w:pPr>
              <w:spacing w:after="0"/>
              <w:rPr>
                <w:sz w:val="4"/>
                <w:szCs w:val="4"/>
                <w:color w:val="auto"/>
              </w:rPr>
            </w:pPr>
          </w:p>
        </w:tc>
        <w:tc>
          <w:tcPr>
            <w:tcW w:w="1700" w:type="dxa"/>
            <w:vAlign w:val="bottom"/>
            <w:tcBorders>
              <w:bottom w:val="single" w:sz="8" w:color="EBFBFF"/>
            </w:tcBorders>
          </w:tcPr>
          <w:p>
            <w:pPr>
              <w:spacing w:after="0"/>
              <w:rPr>
                <w:sz w:val="4"/>
                <w:szCs w:val="4"/>
                <w:color w:val="auto"/>
              </w:rPr>
            </w:pPr>
          </w:p>
        </w:tc>
        <w:tc>
          <w:tcPr>
            <w:tcW w:w="24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Total derivatve instruments</w:t>
            </w:r>
          </w:p>
        </w:tc>
        <w:tc>
          <w:tcPr>
            <w:tcW w:w="1700" w:type="dxa"/>
            <w:vAlign w:val="bottom"/>
            <w:shd w:val="clear" w:color="auto" w:fill="EBFBFF"/>
          </w:tcPr>
          <w:p>
            <w:pPr>
              <w:spacing w:after="0"/>
              <w:rPr>
                <w:sz w:val="17"/>
                <w:szCs w:val="17"/>
                <w:color w:val="auto"/>
              </w:rPr>
            </w:pPr>
          </w:p>
        </w:tc>
        <w:tc>
          <w:tcPr>
            <w:tcW w:w="24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1000" w:type="dxa"/>
            <w:vAlign w:val="bottom"/>
            <w:tcBorders>
              <w:right w:val="single" w:sz="8" w:color="EBFBFF"/>
            </w:tcBorders>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1700" w:type="dxa"/>
            <w:vAlign w:val="bottom"/>
            <w:shd w:val="clear" w:color="auto" w:fill="EBFBFF"/>
          </w:tcPr>
          <w:p>
            <w:pPr>
              <w:spacing w:after="0"/>
              <w:rPr>
                <w:sz w:val="17"/>
                <w:szCs w:val="17"/>
                <w:color w:val="auto"/>
              </w:rPr>
            </w:pPr>
          </w:p>
        </w:tc>
        <w:tc>
          <w:tcPr>
            <w:tcW w:w="24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98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80" w:type="dxa"/>
            <w:vAlign w:val="bottom"/>
            <w:tcBorders>
              <w:bottom w:val="single" w:sz="8" w:color="EBFBFF"/>
            </w:tcBorders>
            <w:shd w:val="clear" w:color="auto" w:fill="EBFBFF"/>
          </w:tcPr>
          <w:p>
            <w:pPr>
              <w:ind w:left="20"/>
              <w:spacing w:after="0" w:line="216" w:lineRule="exact"/>
              <w:rPr>
                <w:sz w:val="20"/>
                <w:szCs w:val="20"/>
                <w:color w:val="auto"/>
              </w:rPr>
            </w:pPr>
            <w:r>
              <w:rPr>
                <w:rFonts w:ascii="Calibri" w:cs="Calibri" w:eastAsia="Calibri" w:hAnsi="Calibri"/>
                <w:sz w:val="18"/>
                <w:szCs w:val="18"/>
                <w:b w:val="1"/>
                <w:bCs w:val="1"/>
                <w:color w:val="51555C"/>
              </w:rPr>
              <w:t>designated as hedging instruments</w:t>
            </w:r>
          </w:p>
        </w:tc>
        <w:tc>
          <w:tcPr>
            <w:tcW w:w="1940" w:type="dxa"/>
            <w:vAlign w:val="bottom"/>
            <w:tcBorders>
              <w:bottom w:val="single" w:sz="8" w:color="EBFBFF"/>
            </w:tcBorders>
            <w:gridSpan w:val="2"/>
            <w:shd w:val="clear" w:color="auto" w:fill="EBFBFF"/>
          </w:tcPr>
          <w:p>
            <w:pPr>
              <w:jc w:val="right"/>
              <w:ind w:right="140"/>
              <w:spacing w:after="0" w:line="216" w:lineRule="exact"/>
              <w:rPr>
                <w:sz w:val="20"/>
                <w:szCs w:val="20"/>
                <w:color w:val="auto"/>
              </w:rPr>
            </w:pPr>
            <w:r>
              <w:rPr>
                <w:rFonts w:ascii="Calibri" w:cs="Calibri" w:eastAsia="Calibri" w:hAnsi="Calibri"/>
                <w:sz w:val="18"/>
                <w:szCs w:val="18"/>
                <w:color w:val="51555C"/>
              </w:rPr>
              <w:t>$</w:t>
            </w:r>
          </w:p>
        </w:tc>
        <w:tc>
          <w:tcPr>
            <w:tcW w:w="100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16,198</w:t>
            </w:r>
          </w:p>
        </w:tc>
        <w:tc>
          <w:tcPr>
            <w:tcW w:w="260" w:type="dxa"/>
            <w:vAlign w:val="bottom"/>
            <w:tcBorders>
              <w:bottom w:val="single" w:sz="8" w:color="EBFBFF"/>
            </w:tcBorders>
            <w:shd w:val="clear" w:color="auto" w:fill="EBFBFF"/>
          </w:tcPr>
          <w:p>
            <w:pPr>
              <w:jc w:val="right"/>
              <w:ind w:right="70"/>
              <w:spacing w:after="0" w:line="216" w:lineRule="exact"/>
              <w:rPr>
                <w:sz w:val="20"/>
                <w:szCs w:val="20"/>
                <w:color w:val="auto"/>
              </w:rPr>
            </w:pPr>
            <w:r>
              <w:rPr>
                <w:rFonts w:ascii="Calibri" w:cs="Calibri" w:eastAsia="Calibri" w:hAnsi="Calibri"/>
                <w:sz w:val="18"/>
                <w:szCs w:val="18"/>
                <w:color w:val="51555C"/>
                <w:w w:val="87"/>
              </w:rPr>
              <w:t>$</w:t>
            </w:r>
          </w:p>
        </w:tc>
        <w:tc>
          <w:tcPr>
            <w:tcW w:w="1000" w:type="dxa"/>
            <w:vAlign w:val="bottom"/>
            <w:tcBorders>
              <w:bottom w:val="single" w:sz="8" w:color="EBFBFF"/>
              <w:right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32,117</w:t>
            </w:r>
          </w:p>
        </w:tc>
        <w:tc>
          <w:tcPr>
            <w:tcW w:w="2020" w:type="dxa"/>
            <w:vAlign w:val="bottom"/>
            <w:tcBorders>
              <w:bottom w:val="single" w:sz="8" w:color="EBFBFF"/>
            </w:tcBorders>
            <w:gridSpan w:val="3"/>
            <w:shd w:val="clear" w:color="auto" w:fill="EBFBFF"/>
          </w:tcPr>
          <w:p>
            <w:pPr>
              <w:jc w:val="right"/>
              <w:ind w:right="140"/>
              <w:spacing w:after="0" w:line="216" w:lineRule="exact"/>
              <w:rPr>
                <w:sz w:val="20"/>
                <w:szCs w:val="20"/>
                <w:color w:val="auto"/>
              </w:rPr>
            </w:pPr>
            <w:r>
              <w:rPr>
                <w:rFonts w:ascii="Calibri" w:cs="Calibri" w:eastAsia="Calibri" w:hAnsi="Calibri"/>
                <w:sz w:val="18"/>
                <w:szCs w:val="18"/>
                <w:color w:val="51555C"/>
              </w:rPr>
              <w:t>$</w:t>
            </w:r>
          </w:p>
        </w:tc>
        <w:tc>
          <w:tcPr>
            <w:tcW w:w="100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5,540</w:t>
            </w:r>
          </w:p>
        </w:tc>
        <w:tc>
          <w:tcPr>
            <w:tcW w:w="260" w:type="dxa"/>
            <w:vAlign w:val="bottom"/>
            <w:tcBorders>
              <w:bottom w:val="single" w:sz="8" w:color="EBFBFF"/>
            </w:tcBorders>
            <w:shd w:val="clear" w:color="auto" w:fill="EBFBFF"/>
          </w:tcPr>
          <w:p>
            <w:pPr>
              <w:jc w:val="right"/>
              <w:ind w:right="70"/>
              <w:spacing w:after="0" w:line="216" w:lineRule="exact"/>
              <w:rPr>
                <w:sz w:val="20"/>
                <w:szCs w:val="20"/>
                <w:color w:val="auto"/>
              </w:rPr>
            </w:pPr>
            <w:r>
              <w:rPr>
                <w:rFonts w:ascii="Calibri" w:cs="Calibri" w:eastAsia="Calibri" w:hAnsi="Calibri"/>
                <w:sz w:val="18"/>
                <w:szCs w:val="18"/>
                <w:color w:val="51555C"/>
                <w:w w:val="87"/>
              </w:rPr>
              <w:t>$</w:t>
            </w:r>
          </w:p>
        </w:tc>
        <w:tc>
          <w:tcPr>
            <w:tcW w:w="98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323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9"/>
        </w:trPr>
        <w:tc>
          <w:tcPr>
            <w:tcW w:w="2780" w:type="dxa"/>
            <w:vAlign w:val="bottom"/>
            <w:tcBorders>
              <w:top w:val="single" w:sz="8" w:color="0CD973"/>
            </w:tcBorders>
          </w:tcPr>
          <w:p>
            <w:pPr>
              <w:spacing w:after="0"/>
              <w:rPr>
                <w:sz w:val="24"/>
                <w:szCs w:val="24"/>
                <w:color w:val="auto"/>
              </w:rPr>
            </w:pPr>
          </w:p>
        </w:tc>
        <w:tc>
          <w:tcPr>
            <w:tcW w:w="1700" w:type="dxa"/>
            <w:vAlign w:val="bottom"/>
            <w:tcBorders>
              <w:top w:val="single" w:sz="8" w:color="0CD973"/>
            </w:tcBorders>
          </w:tcPr>
          <w:p>
            <w:pPr>
              <w:spacing w:after="0"/>
              <w:rPr>
                <w:sz w:val="24"/>
                <w:szCs w:val="24"/>
                <w:color w:val="auto"/>
              </w:rPr>
            </w:pPr>
          </w:p>
        </w:tc>
        <w:tc>
          <w:tcPr>
            <w:tcW w:w="240" w:type="dxa"/>
            <w:vAlign w:val="bottom"/>
            <w:tcBorders>
              <w:top w:val="single" w:sz="8" w:color="0CD973"/>
            </w:tcBorders>
          </w:tcPr>
          <w:p>
            <w:pPr>
              <w:spacing w:after="0"/>
              <w:rPr>
                <w:sz w:val="24"/>
                <w:szCs w:val="24"/>
                <w:color w:val="auto"/>
              </w:rPr>
            </w:pPr>
          </w:p>
        </w:tc>
        <w:tc>
          <w:tcPr>
            <w:tcW w:w="1000" w:type="dxa"/>
            <w:vAlign w:val="bottom"/>
            <w:tcBorders>
              <w:top w:val="single" w:sz="8" w:color="0CD973"/>
            </w:tcBorders>
          </w:tcPr>
          <w:p>
            <w:pPr>
              <w:spacing w:after="0"/>
              <w:rPr>
                <w:sz w:val="24"/>
                <w:szCs w:val="24"/>
                <w:color w:val="auto"/>
              </w:rPr>
            </w:pPr>
          </w:p>
        </w:tc>
        <w:tc>
          <w:tcPr>
            <w:tcW w:w="260" w:type="dxa"/>
            <w:vAlign w:val="bottom"/>
            <w:tcBorders>
              <w:top w:val="single" w:sz="8" w:color="0CD973"/>
            </w:tcBorders>
          </w:tcPr>
          <w:p>
            <w:pPr>
              <w:spacing w:after="0"/>
              <w:rPr>
                <w:sz w:val="24"/>
                <w:szCs w:val="24"/>
                <w:color w:val="auto"/>
              </w:rPr>
            </w:pPr>
          </w:p>
        </w:tc>
        <w:tc>
          <w:tcPr>
            <w:tcW w:w="1000" w:type="dxa"/>
            <w:vAlign w:val="bottom"/>
            <w:tcBorders>
              <w:top w:val="single" w:sz="8" w:color="0CD973"/>
            </w:tcBorders>
          </w:tcPr>
          <w:p>
            <w:pPr>
              <w:spacing w:after="0"/>
              <w:rPr>
                <w:sz w:val="24"/>
                <w:szCs w:val="24"/>
                <w:color w:val="auto"/>
              </w:rPr>
            </w:pPr>
          </w:p>
        </w:tc>
        <w:tc>
          <w:tcPr>
            <w:tcW w:w="80" w:type="dxa"/>
            <w:vAlign w:val="bottom"/>
            <w:tcBorders>
              <w:top w:val="single" w:sz="8" w:color="0CD973"/>
            </w:tcBorders>
          </w:tcPr>
          <w:p>
            <w:pPr>
              <w:spacing w:after="0"/>
              <w:rPr>
                <w:sz w:val="24"/>
                <w:szCs w:val="24"/>
                <w:color w:val="auto"/>
              </w:rPr>
            </w:pPr>
          </w:p>
        </w:tc>
        <w:tc>
          <w:tcPr>
            <w:tcW w:w="2940" w:type="dxa"/>
            <w:vAlign w:val="bottom"/>
            <w:tcBorders>
              <w:top w:val="single" w:sz="8" w:color="0CD973"/>
            </w:tcBorders>
            <w:gridSpan w:val="3"/>
          </w:tcPr>
          <w:p>
            <w:pPr>
              <w:jc w:val="right"/>
              <w:ind w:right="458"/>
              <w:spacing w:after="0"/>
              <w:rPr>
                <w:sz w:val="20"/>
                <w:szCs w:val="20"/>
                <w:color w:val="auto"/>
              </w:rPr>
            </w:pPr>
            <w:r>
              <w:rPr>
                <w:rFonts w:ascii="Calibri" w:cs="Calibri" w:eastAsia="Calibri" w:hAnsi="Calibri"/>
                <w:sz w:val="14"/>
                <w:szCs w:val="14"/>
                <w:color w:val="51555C"/>
              </w:rPr>
              <w:t>2023 Form 10-K</w:t>
            </w:r>
          </w:p>
        </w:tc>
        <w:tc>
          <w:tcPr>
            <w:tcW w:w="260" w:type="dxa"/>
            <w:vAlign w:val="bottom"/>
            <w:tcBorders>
              <w:top w:val="single" w:sz="8" w:color="0CD973"/>
            </w:tcBorders>
          </w:tcPr>
          <w:p>
            <w:pPr>
              <w:spacing w:after="0"/>
              <w:rPr>
                <w:sz w:val="24"/>
                <w:szCs w:val="24"/>
                <w:color w:val="auto"/>
              </w:rPr>
            </w:pPr>
          </w:p>
        </w:tc>
        <w:tc>
          <w:tcPr>
            <w:tcW w:w="980" w:type="dxa"/>
            <w:vAlign w:val="bottom"/>
            <w:tcBorders>
              <w:top w:val="single" w:sz="8" w:color="0CD973"/>
            </w:tcBorders>
          </w:tcPr>
          <w:p>
            <w:pPr>
              <w:jc w:val="right"/>
              <w:spacing w:after="0"/>
              <w:rPr>
                <w:sz w:val="20"/>
                <w:szCs w:val="20"/>
                <w:color w:val="auto"/>
              </w:rPr>
            </w:pPr>
            <w:r>
              <w:rPr>
                <w:rFonts w:ascii="Calibri" w:cs="Calibri" w:eastAsia="Calibri" w:hAnsi="Calibri"/>
                <w:sz w:val="14"/>
                <w:szCs w:val="14"/>
                <w:color w:val="51555C"/>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-2648585</wp:posOffset>
            </wp:positionV>
            <wp:extent cx="15855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85595"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-2648585</wp:posOffset>
            </wp:positionV>
            <wp:extent cx="158559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8559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efects of derivatve instruments in cash fow and net investment hedging relatonships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480" w:type="dxa"/>
            <w:vAlign w:val="bottom"/>
            <w:tcBorders>
              <w:right w:val="single" w:sz="8" w:color="004054"/>
            </w:tcBorders>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Gain recognized</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Locaton</w:t>
            </w:r>
          </w:p>
        </w:tc>
        <w:tc>
          <w:tcPr>
            <w:tcW w:w="400" w:type="dxa"/>
            <w:vAlign w:val="bottom"/>
            <w:shd w:val="clear" w:color="auto" w:fill="004054"/>
          </w:tcPr>
          <w:p>
            <w:pPr>
              <w:spacing w:after="0"/>
              <w:rPr>
                <w:sz w:val="16"/>
                <w:szCs w:val="16"/>
                <w:color w:val="auto"/>
              </w:rPr>
            </w:pPr>
          </w:p>
        </w:tc>
        <w:tc>
          <w:tcPr>
            <w:tcW w:w="20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Gain (loss) reclassifed from</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28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480" w:type="dxa"/>
            <w:vAlign w:val="bottom"/>
            <w:tcBorders>
              <w:right w:val="single" w:sz="8" w:color="004054"/>
            </w:tcBorders>
            <w:vMerge w:val="continue"/>
            <w:shd w:val="clear" w:color="auto" w:fill="004054"/>
          </w:tcPr>
          <w:p>
            <w:pPr>
              <w:spacing w:after="0"/>
              <w:rPr>
                <w:sz w:val="6"/>
                <w:szCs w:val="6"/>
                <w:color w:val="auto"/>
              </w:rPr>
            </w:pPr>
          </w:p>
        </w:tc>
        <w:tc>
          <w:tcPr>
            <w:tcW w:w="17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of gain</w:t>
            </w:r>
          </w:p>
        </w:tc>
        <w:tc>
          <w:tcPr>
            <w:tcW w:w="400" w:type="dxa"/>
            <w:vAlign w:val="bottom"/>
            <w:shd w:val="clear" w:color="auto" w:fill="004054"/>
          </w:tcPr>
          <w:p>
            <w:pPr>
              <w:spacing w:after="0"/>
              <w:rPr>
                <w:sz w:val="6"/>
                <w:szCs w:val="6"/>
                <w:color w:val="auto"/>
              </w:rPr>
            </w:pPr>
          </w:p>
        </w:tc>
        <w:tc>
          <w:tcPr>
            <w:tcW w:w="2020" w:type="dxa"/>
            <w:vAlign w:val="bottom"/>
            <w:vMerge w:val="continue"/>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5280" w:type="dxa"/>
            <w:vAlign w:val="bottom"/>
            <w:shd w:val="clear" w:color="auto" w:fill="004054"/>
          </w:tcPr>
          <w:p>
            <w:pPr>
              <w:spacing w:after="0"/>
              <w:rPr>
                <w:sz w:val="8"/>
                <w:szCs w:val="8"/>
                <w:color w:val="auto"/>
              </w:rPr>
            </w:pPr>
          </w:p>
        </w:tc>
        <w:tc>
          <w:tcPr>
            <w:tcW w:w="280" w:type="dxa"/>
            <w:vAlign w:val="bottom"/>
            <w:shd w:val="clear" w:color="auto" w:fill="004054"/>
          </w:tcPr>
          <w:p>
            <w:pPr>
              <w:spacing w:after="0"/>
              <w:rPr>
                <w:sz w:val="8"/>
                <w:szCs w:val="8"/>
                <w:color w:val="auto"/>
              </w:rPr>
            </w:pPr>
          </w:p>
        </w:tc>
        <w:tc>
          <w:tcPr>
            <w:tcW w:w="1480" w:type="dxa"/>
            <w:vAlign w:val="bottom"/>
            <w:tcBorders>
              <w:right w:val="single" w:sz="8" w:color="004054"/>
            </w:tcBorders>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accumulated other</w:t>
            </w:r>
          </w:p>
        </w:tc>
        <w:tc>
          <w:tcPr>
            <w:tcW w:w="1780" w:type="dxa"/>
            <w:vAlign w:val="bottom"/>
            <w:vMerge w:val="continue"/>
            <w:shd w:val="clear" w:color="auto" w:fill="004054"/>
          </w:tcPr>
          <w:p>
            <w:pPr>
              <w:spacing w:after="0"/>
              <w:rPr>
                <w:sz w:val="8"/>
                <w:szCs w:val="8"/>
                <w:color w:val="auto"/>
              </w:rPr>
            </w:pPr>
          </w:p>
        </w:tc>
        <w:tc>
          <w:tcPr>
            <w:tcW w:w="400" w:type="dxa"/>
            <w:vAlign w:val="bottom"/>
            <w:shd w:val="clear" w:color="auto" w:fill="004054"/>
          </w:tcPr>
          <w:p>
            <w:pPr>
              <w:spacing w:after="0"/>
              <w:rPr>
                <w:sz w:val="8"/>
                <w:szCs w:val="8"/>
                <w:color w:val="auto"/>
              </w:rPr>
            </w:pPr>
          </w:p>
        </w:tc>
        <w:tc>
          <w:tcPr>
            <w:tcW w:w="20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accumulated other</w:t>
            </w:r>
          </w:p>
        </w:tc>
        <w:tc>
          <w:tcPr>
            <w:tcW w:w="20" w:type="dxa"/>
            <w:vAlign w:val="bottom"/>
            <w:shd w:val="clear" w:color="auto" w:fill="004054"/>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80" w:type="dxa"/>
            <w:vAlign w:val="bottom"/>
            <w:tcBorders>
              <w:right w:val="single" w:sz="8" w:color="004054"/>
            </w:tcBorders>
            <w:vMerge w:val="continue"/>
            <w:shd w:val="clear" w:color="auto" w:fill="004054"/>
          </w:tcPr>
          <w:p>
            <w:pPr>
              <w:spacing w:after="0"/>
              <w:rPr>
                <w:sz w:val="7"/>
                <w:szCs w:val="7"/>
                <w:color w:val="auto"/>
              </w:rPr>
            </w:pPr>
          </w:p>
        </w:tc>
        <w:tc>
          <w:tcPr>
            <w:tcW w:w="1780" w:type="dxa"/>
            <w:vAlign w:val="bottom"/>
            <w:vMerge w:val="restart"/>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reclassifed from</w:t>
            </w:r>
          </w:p>
        </w:tc>
        <w:tc>
          <w:tcPr>
            <w:tcW w:w="400" w:type="dxa"/>
            <w:vAlign w:val="bottom"/>
            <w:shd w:val="clear" w:color="auto" w:fill="004054"/>
          </w:tcPr>
          <w:p>
            <w:pPr>
              <w:spacing w:after="0"/>
              <w:rPr>
                <w:sz w:val="7"/>
                <w:szCs w:val="7"/>
                <w:color w:val="auto"/>
              </w:rPr>
            </w:pPr>
          </w:p>
        </w:tc>
        <w:tc>
          <w:tcPr>
            <w:tcW w:w="2020" w:type="dxa"/>
            <w:vAlign w:val="bottom"/>
            <w:vMerge w:val="continue"/>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80" w:type="dxa"/>
            <w:vAlign w:val="bottom"/>
            <w:tcBorders>
              <w:right w:val="single" w:sz="8" w:color="004054"/>
            </w:tcBorders>
            <w:vMerge w:val="restart"/>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comprehensive</w:t>
            </w:r>
          </w:p>
        </w:tc>
        <w:tc>
          <w:tcPr>
            <w:tcW w:w="1780" w:type="dxa"/>
            <w:vAlign w:val="bottom"/>
            <w:vMerge w:val="continue"/>
            <w:shd w:val="clear" w:color="auto" w:fill="004054"/>
          </w:tcPr>
          <w:p>
            <w:pPr>
              <w:spacing w:after="0"/>
              <w:rPr>
                <w:sz w:val="7"/>
                <w:szCs w:val="7"/>
                <w:color w:val="auto"/>
              </w:rPr>
            </w:pPr>
          </w:p>
        </w:tc>
        <w:tc>
          <w:tcPr>
            <w:tcW w:w="400" w:type="dxa"/>
            <w:vAlign w:val="bottom"/>
            <w:shd w:val="clear" w:color="auto" w:fill="004054"/>
          </w:tcPr>
          <w:p>
            <w:pPr>
              <w:spacing w:after="0"/>
              <w:rPr>
                <w:sz w:val="7"/>
                <w:szCs w:val="7"/>
                <w:color w:val="auto"/>
              </w:rPr>
            </w:pPr>
          </w:p>
        </w:tc>
        <w:tc>
          <w:tcPr>
            <w:tcW w:w="2020" w:type="dxa"/>
            <w:vAlign w:val="bottom"/>
            <w:vMerge w:val="restart"/>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comprehensive (loss) income</w:t>
            </w: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80" w:type="dxa"/>
            <w:vAlign w:val="bottom"/>
            <w:tcBorders>
              <w:right w:val="single" w:sz="8" w:color="004054"/>
            </w:tcBorders>
            <w:vMerge w:val="continue"/>
            <w:shd w:val="clear" w:color="auto" w:fill="004054"/>
          </w:tcPr>
          <w:p>
            <w:pPr>
              <w:spacing w:after="0"/>
              <w:rPr>
                <w:sz w:val="7"/>
                <w:szCs w:val="7"/>
                <w:color w:val="auto"/>
              </w:rPr>
            </w:pPr>
          </w:p>
        </w:tc>
        <w:tc>
          <w:tcPr>
            <w:tcW w:w="178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accumulated other</w:t>
            </w:r>
          </w:p>
        </w:tc>
        <w:tc>
          <w:tcPr>
            <w:tcW w:w="400" w:type="dxa"/>
            <w:vAlign w:val="bottom"/>
            <w:shd w:val="clear" w:color="auto" w:fill="004054"/>
          </w:tcPr>
          <w:p>
            <w:pPr>
              <w:spacing w:after="0"/>
              <w:rPr>
                <w:sz w:val="7"/>
                <w:szCs w:val="7"/>
                <w:color w:val="auto"/>
              </w:rPr>
            </w:pPr>
          </w:p>
        </w:tc>
        <w:tc>
          <w:tcPr>
            <w:tcW w:w="2020" w:type="dxa"/>
            <w:vAlign w:val="bottom"/>
            <w:vMerge w:val="continue"/>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80" w:type="dxa"/>
            <w:vAlign w:val="bottom"/>
            <w:tcBorders>
              <w:right w:val="single" w:sz="8" w:color="004054"/>
            </w:tcBorders>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income as of</w:t>
            </w:r>
          </w:p>
        </w:tc>
        <w:tc>
          <w:tcPr>
            <w:tcW w:w="1780" w:type="dxa"/>
            <w:vAlign w:val="bottom"/>
            <w:vMerge w:val="continue"/>
            <w:shd w:val="clear" w:color="auto" w:fill="004054"/>
          </w:tcPr>
          <w:p>
            <w:pPr>
              <w:spacing w:after="0"/>
              <w:rPr>
                <w:sz w:val="7"/>
                <w:szCs w:val="7"/>
                <w:color w:val="auto"/>
              </w:rPr>
            </w:pPr>
          </w:p>
        </w:tc>
        <w:tc>
          <w:tcPr>
            <w:tcW w:w="400" w:type="dxa"/>
            <w:vAlign w:val="bottom"/>
            <w:shd w:val="clear" w:color="auto" w:fill="004054"/>
          </w:tcPr>
          <w:p>
            <w:pPr>
              <w:spacing w:after="0"/>
              <w:rPr>
                <w:sz w:val="7"/>
                <w:szCs w:val="7"/>
                <w:color w:val="auto"/>
              </w:rPr>
            </w:pPr>
          </w:p>
        </w:tc>
        <w:tc>
          <w:tcPr>
            <w:tcW w:w="20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into income (loss)</w:t>
            </w: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480" w:type="dxa"/>
            <w:vAlign w:val="bottom"/>
            <w:tcBorders>
              <w:right w:val="single" w:sz="8" w:color="004054"/>
            </w:tcBorders>
            <w:vMerge w:val="continue"/>
            <w:shd w:val="clear" w:color="auto" w:fill="004054"/>
          </w:tcPr>
          <w:p>
            <w:pPr>
              <w:spacing w:after="0"/>
              <w:rPr>
                <w:sz w:val="7"/>
                <w:szCs w:val="7"/>
                <w:color w:val="auto"/>
              </w:rPr>
            </w:pPr>
          </w:p>
        </w:tc>
        <w:tc>
          <w:tcPr>
            <w:tcW w:w="1780" w:type="dxa"/>
            <w:vAlign w:val="bottom"/>
            <w:vMerge w:val="restart"/>
            <w:shd w:val="clear" w:color="auto" w:fill="004054"/>
          </w:tcPr>
          <w:p>
            <w:pPr>
              <w:jc w:val="right"/>
              <w:spacing w:after="0" w:line="155" w:lineRule="exact"/>
              <w:rPr>
                <w:sz w:val="20"/>
                <w:szCs w:val="20"/>
                <w:color w:val="auto"/>
              </w:rPr>
            </w:pPr>
            <w:r>
              <w:rPr>
                <w:rFonts w:ascii="Calibri" w:cs="Calibri" w:eastAsia="Calibri" w:hAnsi="Calibri"/>
                <w:sz w:val="14"/>
                <w:szCs w:val="14"/>
                <w:b w:val="1"/>
                <w:bCs w:val="1"/>
                <w:color w:val="FFFFFF"/>
              </w:rPr>
              <w:t>comprehensive</w:t>
            </w:r>
          </w:p>
        </w:tc>
        <w:tc>
          <w:tcPr>
            <w:tcW w:w="400" w:type="dxa"/>
            <w:vAlign w:val="bottom"/>
            <w:shd w:val="clear" w:color="auto" w:fill="004054"/>
          </w:tcPr>
          <w:p>
            <w:pPr>
              <w:spacing w:after="0"/>
              <w:rPr>
                <w:sz w:val="7"/>
                <w:szCs w:val="7"/>
                <w:color w:val="auto"/>
              </w:rPr>
            </w:pPr>
          </w:p>
        </w:tc>
        <w:tc>
          <w:tcPr>
            <w:tcW w:w="2020" w:type="dxa"/>
            <w:vAlign w:val="bottom"/>
            <w:vMerge w:val="continue"/>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28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480" w:type="dxa"/>
            <w:vAlign w:val="bottom"/>
            <w:tcBorders>
              <w:right w:val="single" w:sz="8" w:color="004054"/>
            </w:tcBorders>
            <w:shd w:val="clear" w:color="auto" w:fill="004054"/>
          </w:tcPr>
          <w:p>
            <w:pPr>
              <w:spacing w:after="0"/>
              <w:rPr>
                <w:sz w:val="6"/>
                <w:szCs w:val="6"/>
                <w:color w:val="auto"/>
              </w:rPr>
            </w:pPr>
          </w:p>
        </w:tc>
        <w:tc>
          <w:tcPr>
            <w:tcW w:w="1780" w:type="dxa"/>
            <w:vAlign w:val="bottom"/>
            <w:vMerge w:val="continue"/>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20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(loss) income into</w:t>
            </w:r>
          </w:p>
        </w:tc>
        <w:tc>
          <w:tcPr>
            <w:tcW w:w="400" w:type="dxa"/>
            <w:vAlign w:val="bottom"/>
            <w:shd w:val="clear" w:color="auto" w:fill="004054"/>
          </w:tcPr>
          <w:p>
            <w:pPr>
              <w:spacing w:after="0"/>
              <w:rPr>
                <w:sz w:val="17"/>
                <w:szCs w:val="17"/>
                <w:color w:val="auto"/>
              </w:rPr>
            </w:pPr>
          </w:p>
        </w:tc>
        <w:tc>
          <w:tcPr>
            <w:tcW w:w="2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 ended</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80" w:type="dxa"/>
            <w:vAlign w:val="bottom"/>
            <w:shd w:val="clear" w:color="auto" w:fill="004054"/>
          </w:tcPr>
          <w:p>
            <w:pPr>
              <w:spacing w:after="0"/>
              <w:rPr>
                <w:sz w:val="15"/>
                <w:szCs w:val="15"/>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7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income (loss)</w:t>
            </w:r>
          </w:p>
        </w:tc>
        <w:tc>
          <w:tcPr>
            <w:tcW w:w="400" w:type="dxa"/>
            <w:vAlign w:val="bottom"/>
            <w:shd w:val="clear" w:color="auto" w:fill="004054"/>
          </w:tcPr>
          <w:p>
            <w:pPr>
              <w:spacing w:after="0"/>
              <w:rPr>
                <w:sz w:val="15"/>
                <w:szCs w:val="15"/>
                <w:color w:val="auto"/>
              </w:rPr>
            </w:pPr>
          </w:p>
        </w:tc>
        <w:tc>
          <w:tcPr>
            <w:tcW w:w="2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 2023</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28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480" w:type="dxa"/>
            <w:vAlign w:val="bottom"/>
            <w:tcBorders>
              <w:right w:val="single" w:sz="8" w:color="004054"/>
            </w:tcBorders>
            <w:shd w:val="clear" w:color="auto" w:fill="004054"/>
          </w:tcPr>
          <w:p>
            <w:pPr>
              <w:spacing w:after="0"/>
              <w:rPr>
                <w:sz w:val="6"/>
                <w:szCs w:val="6"/>
                <w:color w:val="auto"/>
              </w:rPr>
            </w:pPr>
          </w:p>
        </w:tc>
        <w:tc>
          <w:tcPr>
            <w:tcW w:w="178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20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Cash Flow Hedges</w:t>
            </w:r>
          </w:p>
        </w:tc>
        <w:tc>
          <w:tcPr>
            <w:tcW w:w="280" w:type="dxa"/>
            <w:vAlign w:val="bottom"/>
            <w:tcBorders>
              <w:bottom w:val="single" w:sz="8" w:color="EBFBFF"/>
            </w:tcBorders>
            <w:shd w:val="clear" w:color="auto" w:fill="EBFBFF"/>
          </w:tcPr>
          <w:p>
            <w:pPr>
              <w:spacing w:after="0"/>
              <w:rPr>
                <w:sz w:val="21"/>
                <w:szCs w:val="21"/>
                <w:color w:val="auto"/>
              </w:rPr>
            </w:pPr>
          </w:p>
        </w:tc>
        <w:tc>
          <w:tcPr>
            <w:tcW w:w="1480" w:type="dxa"/>
            <w:vAlign w:val="bottom"/>
            <w:tcBorders>
              <w:bottom w:val="single" w:sz="8" w:color="EBFBFF"/>
              <w:right w:val="single" w:sz="8" w:color="EBFBFF"/>
            </w:tcBorders>
            <w:shd w:val="clear" w:color="auto" w:fill="EBFBFF"/>
          </w:tcPr>
          <w:p>
            <w:pPr>
              <w:spacing w:after="0"/>
              <w:rPr>
                <w:sz w:val="21"/>
                <w:szCs w:val="21"/>
                <w:color w:val="auto"/>
              </w:rPr>
            </w:pPr>
          </w:p>
        </w:tc>
        <w:tc>
          <w:tcPr>
            <w:tcW w:w="1780" w:type="dxa"/>
            <w:vAlign w:val="bottom"/>
            <w:tcBorders>
              <w:bottom w:val="single" w:sz="8" w:color="EBFBFF"/>
            </w:tcBorders>
            <w:shd w:val="clear" w:color="auto" w:fill="EBFBFF"/>
          </w:tcPr>
          <w:p>
            <w:pPr>
              <w:spacing w:after="0"/>
              <w:rPr>
                <w:sz w:val="21"/>
                <w:szCs w:val="21"/>
                <w:color w:val="auto"/>
              </w:rPr>
            </w:pPr>
          </w:p>
        </w:tc>
        <w:tc>
          <w:tcPr>
            <w:tcW w:w="400" w:type="dxa"/>
            <w:vAlign w:val="bottom"/>
            <w:tcBorders>
              <w:bottom w:val="single" w:sz="8" w:color="EBFBFF"/>
            </w:tcBorders>
            <w:shd w:val="clear" w:color="auto" w:fill="EBFBFF"/>
          </w:tcPr>
          <w:p>
            <w:pPr>
              <w:spacing w:after="0"/>
              <w:rPr>
                <w:sz w:val="21"/>
                <w:szCs w:val="21"/>
                <w:color w:val="auto"/>
              </w:rPr>
            </w:pPr>
          </w:p>
        </w:tc>
        <w:tc>
          <w:tcPr>
            <w:tcW w:w="2020" w:type="dxa"/>
            <w:vAlign w:val="bottom"/>
            <w:tcBorders>
              <w:bottom w:val="single" w:sz="8" w:color="EBFBFF"/>
            </w:tcBorders>
            <w:shd w:val="clear" w:color="auto" w:fill="EBFBFF"/>
          </w:tcPr>
          <w:p>
            <w:pPr>
              <w:spacing w:after="0"/>
              <w:rPr>
                <w:sz w:val="21"/>
                <w:szCs w:val="21"/>
                <w:color w:val="auto"/>
              </w:rPr>
            </w:pPr>
          </w:p>
        </w:tc>
        <w:tc>
          <w:tcPr>
            <w:tcW w:w="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140"/>
              <w:spacing w:after="0"/>
              <w:rPr>
                <w:sz w:val="20"/>
                <w:szCs w:val="20"/>
                <w:color w:val="auto"/>
              </w:rPr>
            </w:pPr>
            <w:r>
              <w:rPr>
                <w:rFonts w:ascii="Calibri" w:cs="Calibri" w:eastAsia="Calibri" w:hAnsi="Calibri"/>
                <w:sz w:val="18"/>
                <w:szCs w:val="18"/>
                <w:color w:val="51555C"/>
              </w:rPr>
              <w:t>Interest rate swaps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Pr>
          <w:p>
            <w:pPr>
              <w:jc w:val="right"/>
              <w:ind w:right="1"/>
              <w:spacing w:after="0"/>
              <w:rPr>
                <w:sz w:val="20"/>
                <w:szCs w:val="20"/>
                <w:color w:val="auto"/>
              </w:rPr>
            </w:pPr>
            <w:r>
              <w:rPr>
                <w:rFonts w:ascii="Calibri" w:cs="Calibri" w:eastAsia="Calibri" w:hAnsi="Calibri"/>
                <w:sz w:val="18"/>
                <w:szCs w:val="18"/>
                <w:color w:val="51555C"/>
              </w:rPr>
              <w:t>11,194</w:t>
            </w:r>
          </w:p>
        </w:tc>
        <w:tc>
          <w:tcPr>
            <w:tcW w:w="2180" w:type="dxa"/>
            <w:vAlign w:val="bottom"/>
            <w:gridSpan w:val="2"/>
          </w:tcPr>
          <w:p>
            <w:pPr>
              <w:jc w:val="right"/>
              <w:ind w:right="280"/>
              <w:spacing w:after="0"/>
              <w:rPr>
                <w:sz w:val="20"/>
                <w:szCs w:val="20"/>
                <w:color w:val="auto"/>
              </w:rPr>
            </w:pPr>
            <w:r>
              <w:rPr>
                <w:rFonts w:ascii="Calibri" w:cs="Calibri" w:eastAsia="Calibri" w:hAnsi="Calibri"/>
                <w:sz w:val="18"/>
                <w:szCs w:val="18"/>
                <w:color w:val="51555C"/>
              </w:rPr>
              <w:t>Interest expense $</w:t>
            </w:r>
          </w:p>
        </w:tc>
        <w:tc>
          <w:tcPr>
            <w:tcW w:w="2020" w:type="dxa"/>
            <w:vAlign w:val="bottom"/>
          </w:tcPr>
          <w:p>
            <w:pPr>
              <w:jc w:val="right"/>
              <w:spacing w:after="0"/>
              <w:rPr>
                <w:sz w:val="20"/>
                <w:szCs w:val="20"/>
                <w:color w:val="auto"/>
              </w:rPr>
            </w:pPr>
            <w:r>
              <w:rPr>
                <w:rFonts w:ascii="Calibri" w:cs="Calibri" w:eastAsia="Calibri" w:hAnsi="Calibri"/>
                <w:sz w:val="18"/>
                <w:szCs w:val="18"/>
                <w:color w:val="51555C"/>
              </w:rPr>
              <w:t>20,418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(235)</w:t>
            </w:r>
          </w:p>
        </w:tc>
        <w:tc>
          <w:tcPr>
            <w:tcW w:w="2180" w:type="dxa"/>
            <w:vAlign w:val="bottom"/>
            <w:tcBorders>
              <w:bottom w:val="single" w:sz="8" w:color="EBFBFF"/>
            </w:tcBorders>
            <w:gridSpan w:val="2"/>
            <w:shd w:val="clear" w:color="auto" w:fill="EBFBFF"/>
          </w:tcPr>
          <w:p>
            <w:pPr>
              <w:jc w:val="right"/>
              <w:ind w:right="280"/>
              <w:spacing w:after="0"/>
              <w:rPr>
                <w:sz w:val="20"/>
                <w:szCs w:val="20"/>
                <w:color w:val="auto"/>
              </w:rPr>
            </w:pPr>
            <w:r>
              <w:rPr>
                <w:rFonts w:ascii="Calibri" w:cs="Calibri" w:eastAsia="Calibri" w:hAnsi="Calibri"/>
                <w:sz w:val="18"/>
                <w:szCs w:val="18"/>
                <w:color w:val="51555C"/>
              </w:rPr>
              <w:t>Revenue $</w:t>
            </w:r>
          </w:p>
        </w:tc>
        <w:tc>
          <w:tcPr>
            <w:tcW w:w="2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388</w:t>
            </w:r>
          </w:p>
        </w:tc>
        <w:tc>
          <w:tcPr>
            <w:tcW w:w="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Calibri" w:cs="Calibri" w:eastAsia="Calibri" w:hAnsi="Calibri"/>
                <w:sz w:val="18"/>
                <w:szCs w:val="18"/>
                <w:b w:val="1"/>
                <w:bCs w:val="1"/>
                <w:color w:val="51555C"/>
              </w:rPr>
              <w:t>Net Investment Hedge</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(301)</w:t>
            </w:r>
          </w:p>
        </w:tc>
        <w:tc>
          <w:tcPr>
            <w:tcW w:w="2180" w:type="dxa"/>
            <w:vAlign w:val="bottom"/>
            <w:tcBorders>
              <w:bottom w:val="single" w:sz="8" w:color="EBFBFF"/>
            </w:tcBorders>
            <w:gridSpan w:val="2"/>
            <w:shd w:val="clear" w:color="auto" w:fill="EBFBFF"/>
          </w:tcPr>
          <w:p>
            <w:pPr>
              <w:jc w:val="right"/>
              <w:ind w:right="280"/>
              <w:spacing w:after="0"/>
              <w:rPr>
                <w:sz w:val="20"/>
                <w:szCs w:val="20"/>
                <w:color w:val="auto"/>
              </w:rPr>
            </w:pPr>
            <w:r>
              <w:rPr>
                <w:rFonts w:ascii="Calibri" w:cs="Calibri" w:eastAsia="Calibri" w:hAnsi="Calibri"/>
                <w:sz w:val="18"/>
                <w:szCs w:val="18"/>
                <w:color w:val="51555C"/>
              </w:rPr>
              <w:t>$</w:t>
            </w:r>
          </w:p>
        </w:tc>
        <w:tc>
          <w:tcPr>
            <w:tcW w:w="2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Borders>
              <w:bottom w:val="single" w:sz="8" w:color="EBFBFF"/>
            </w:tcBorders>
            <w:shd w:val="clear" w:color="auto" w:fill="EBFBFF"/>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780" w:type="dxa"/>
            <w:vAlign w:val="bottom"/>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2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 ended</w:t>
            </w:r>
          </w:p>
        </w:tc>
        <w:tc>
          <w:tcPr>
            <w:tcW w:w="20" w:type="dxa"/>
            <w:vAlign w:val="bottom"/>
            <w:tcBorders>
              <w:top w:val="single" w:sz="8" w:color="004054"/>
            </w:tcBorders>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1780" w:type="dxa"/>
            <w:vAlign w:val="bottom"/>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2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 2022</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5280" w:type="dxa"/>
            <w:vAlign w:val="bottom"/>
            <w:tcBorders>
              <w:bottom w:val="single" w:sz="8" w:color="EBFBFF"/>
            </w:tcBorders>
          </w:tcPr>
          <w:p>
            <w:pPr>
              <w:spacing w:after="0"/>
              <w:rPr>
                <w:sz w:val="5"/>
                <w:szCs w:val="5"/>
                <w:color w:val="auto"/>
              </w:rPr>
            </w:pPr>
          </w:p>
        </w:tc>
        <w:tc>
          <w:tcPr>
            <w:tcW w:w="280" w:type="dxa"/>
            <w:vAlign w:val="bottom"/>
            <w:tcBorders>
              <w:bottom w:val="single" w:sz="8" w:color="004054"/>
            </w:tcBorders>
            <w:shd w:val="clear" w:color="auto" w:fill="004054"/>
          </w:tcPr>
          <w:p>
            <w:pPr>
              <w:spacing w:after="0"/>
              <w:rPr>
                <w:sz w:val="5"/>
                <w:szCs w:val="5"/>
                <w:color w:val="auto"/>
              </w:rPr>
            </w:pPr>
          </w:p>
        </w:tc>
        <w:tc>
          <w:tcPr>
            <w:tcW w:w="1480" w:type="dxa"/>
            <w:vAlign w:val="bottom"/>
            <w:tcBorders>
              <w:bottom w:val="single" w:sz="8" w:color="004054"/>
              <w:right w:val="single" w:sz="8" w:color="004054"/>
            </w:tcBorders>
            <w:shd w:val="clear" w:color="auto" w:fill="004054"/>
          </w:tcPr>
          <w:p>
            <w:pPr>
              <w:spacing w:after="0"/>
              <w:rPr>
                <w:sz w:val="5"/>
                <w:szCs w:val="5"/>
                <w:color w:val="auto"/>
              </w:rPr>
            </w:pPr>
          </w:p>
        </w:tc>
        <w:tc>
          <w:tcPr>
            <w:tcW w:w="1780" w:type="dxa"/>
            <w:vAlign w:val="bottom"/>
            <w:tcBorders>
              <w:bottom w:val="single" w:sz="8" w:color="EBFBFF"/>
            </w:tcBorders>
          </w:tcPr>
          <w:p>
            <w:pPr>
              <w:spacing w:after="0"/>
              <w:rPr>
                <w:sz w:val="5"/>
                <w:szCs w:val="5"/>
                <w:color w:val="auto"/>
              </w:rPr>
            </w:pPr>
          </w:p>
        </w:tc>
        <w:tc>
          <w:tcPr>
            <w:tcW w:w="400" w:type="dxa"/>
            <w:vAlign w:val="bottom"/>
            <w:tcBorders>
              <w:bottom w:val="single" w:sz="8" w:color="004054"/>
            </w:tcBorders>
            <w:shd w:val="clear" w:color="auto" w:fill="004054"/>
          </w:tcPr>
          <w:p>
            <w:pPr>
              <w:spacing w:after="0"/>
              <w:rPr>
                <w:sz w:val="5"/>
                <w:szCs w:val="5"/>
                <w:color w:val="auto"/>
              </w:rPr>
            </w:pPr>
          </w:p>
        </w:tc>
        <w:tc>
          <w:tcPr>
            <w:tcW w:w="202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b w:val="1"/>
                <w:bCs w:val="1"/>
                <w:color w:val="51555C"/>
              </w:rPr>
              <w:t>Cash Flow Hedges</w:t>
            </w:r>
          </w:p>
        </w:tc>
        <w:tc>
          <w:tcPr>
            <w:tcW w:w="280" w:type="dxa"/>
            <w:vAlign w:val="bottom"/>
            <w:tcBorders>
              <w:bottom w:val="single" w:sz="8" w:color="EBFBFF"/>
            </w:tcBorders>
            <w:shd w:val="clear" w:color="auto" w:fill="EBFBFF"/>
          </w:tcPr>
          <w:p>
            <w:pPr>
              <w:spacing w:after="0"/>
              <w:rPr>
                <w:sz w:val="20"/>
                <w:szCs w:val="20"/>
                <w:color w:val="auto"/>
              </w:rPr>
            </w:pPr>
          </w:p>
        </w:tc>
        <w:tc>
          <w:tcPr>
            <w:tcW w:w="1480" w:type="dxa"/>
            <w:vAlign w:val="bottom"/>
            <w:tcBorders>
              <w:bottom w:val="single" w:sz="8" w:color="EBFBFF"/>
              <w:right w:val="single" w:sz="8" w:color="EBFBFF"/>
            </w:tcBorders>
            <w:shd w:val="clear" w:color="auto" w:fill="EBFBFF"/>
          </w:tcPr>
          <w:p>
            <w:pPr>
              <w:spacing w:after="0"/>
              <w:rPr>
                <w:sz w:val="20"/>
                <w:szCs w:val="20"/>
                <w:color w:val="auto"/>
              </w:rPr>
            </w:pPr>
          </w:p>
        </w:tc>
        <w:tc>
          <w:tcPr>
            <w:tcW w:w="1780" w:type="dxa"/>
            <w:vAlign w:val="bottom"/>
            <w:tcBorders>
              <w:bottom w:val="single" w:sz="8" w:color="EBFBFF"/>
            </w:tcBorders>
            <w:shd w:val="clear" w:color="auto" w:fill="EBFBFF"/>
          </w:tcPr>
          <w:p>
            <w:pPr>
              <w:spacing w:after="0"/>
              <w:rPr>
                <w:sz w:val="20"/>
                <w:szCs w:val="20"/>
                <w:color w:val="auto"/>
              </w:rPr>
            </w:pPr>
          </w:p>
        </w:tc>
        <w:tc>
          <w:tcPr>
            <w:tcW w:w="400" w:type="dxa"/>
            <w:vAlign w:val="bottom"/>
            <w:tcBorders>
              <w:bottom w:val="single" w:sz="8" w:color="EBFBFF"/>
            </w:tcBorders>
            <w:shd w:val="clear" w:color="auto" w:fill="EBFBFF"/>
          </w:tcPr>
          <w:p>
            <w:pPr>
              <w:spacing w:after="0"/>
              <w:rPr>
                <w:sz w:val="20"/>
                <w:szCs w:val="20"/>
                <w:color w:val="auto"/>
              </w:rPr>
            </w:pPr>
          </w:p>
        </w:tc>
        <w:tc>
          <w:tcPr>
            <w:tcW w:w="2020" w:type="dxa"/>
            <w:vAlign w:val="bottom"/>
            <w:tcBorders>
              <w:bottom w:val="single" w:sz="8" w:color="EBFBFF"/>
            </w:tcBorders>
            <w:shd w:val="clear" w:color="auto" w:fill="EBFBFF"/>
          </w:tcPr>
          <w:p>
            <w:pPr>
              <w:spacing w:after="0"/>
              <w:rPr>
                <w:sz w:val="20"/>
                <w:szCs w:val="20"/>
                <w:color w:val="auto"/>
              </w:rPr>
            </w:pPr>
          </w:p>
        </w:tc>
        <w:tc>
          <w:tcPr>
            <w:tcW w:w="20" w:type="dxa"/>
            <w:vAlign w:val="bottom"/>
            <w:tcBorders>
              <w:bottom w:val="single" w:sz="8" w:color="EBFBFF"/>
            </w:tcBorders>
            <w:shd w:val="clear" w:color="auto" w:fill="EBFB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140"/>
              <w:spacing w:after="0"/>
              <w:rPr>
                <w:sz w:val="20"/>
                <w:szCs w:val="20"/>
                <w:color w:val="auto"/>
              </w:rPr>
            </w:pPr>
            <w:r>
              <w:rPr>
                <w:rFonts w:ascii="Calibri" w:cs="Calibri" w:eastAsia="Calibri" w:hAnsi="Calibri"/>
                <w:sz w:val="18"/>
                <w:szCs w:val="18"/>
                <w:color w:val="51555C"/>
              </w:rPr>
              <w:t>Interest rate swaps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Pr>
          <w:p>
            <w:pPr>
              <w:jc w:val="right"/>
              <w:ind w:right="1"/>
              <w:spacing w:after="0"/>
              <w:rPr>
                <w:sz w:val="20"/>
                <w:szCs w:val="20"/>
                <w:color w:val="auto"/>
              </w:rPr>
            </w:pPr>
            <w:r>
              <w:rPr>
                <w:rFonts w:ascii="Calibri" w:cs="Calibri" w:eastAsia="Calibri" w:hAnsi="Calibri"/>
                <w:sz w:val="18"/>
                <w:szCs w:val="18"/>
                <w:color w:val="51555C"/>
              </w:rPr>
              <w:t>31,870</w:t>
            </w:r>
          </w:p>
        </w:tc>
        <w:tc>
          <w:tcPr>
            <w:tcW w:w="2180" w:type="dxa"/>
            <w:vAlign w:val="bottom"/>
            <w:gridSpan w:val="2"/>
          </w:tcPr>
          <w:p>
            <w:pPr>
              <w:jc w:val="right"/>
              <w:ind w:right="280"/>
              <w:spacing w:after="0"/>
              <w:rPr>
                <w:sz w:val="20"/>
                <w:szCs w:val="20"/>
                <w:color w:val="auto"/>
              </w:rPr>
            </w:pPr>
            <w:r>
              <w:rPr>
                <w:rFonts w:ascii="Calibri" w:cs="Calibri" w:eastAsia="Calibri" w:hAnsi="Calibri"/>
                <w:sz w:val="18"/>
                <w:szCs w:val="18"/>
                <w:color w:val="51555C"/>
              </w:rPr>
              <w:t>Interest expense $</w:t>
            </w:r>
          </w:p>
        </w:tc>
        <w:tc>
          <w:tcPr>
            <w:tcW w:w="2020" w:type="dxa"/>
            <w:vAlign w:val="bottom"/>
          </w:tcPr>
          <w:p>
            <w:pPr>
              <w:jc w:val="right"/>
              <w:spacing w:after="0"/>
              <w:rPr>
                <w:sz w:val="20"/>
                <w:szCs w:val="20"/>
                <w:color w:val="auto"/>
              </w:rPr>
            </w:pPr>
            <w:r>
              <w:rPr>
                <w:rFonts w:ascii="Calibri" w:cs="Calibri" w:eastAsia="Calibri" w:hAnsi="Calibri"/>
                <w:sz w:val="18"/>
                <w:szCs w:val="18"/>
                <w:color w:val="51555C"/>
              </w:rPr>
              <w:t>5,520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right w:val="single" w:sz="8" w:color="EBFBFF"/>
            </w:tcBorders>
            <w:shd w:val="clear" w:color="auto" w:fill="EBFBFF"/>
          </w:tcPr>
          <w:p>
            <w:pPr>
              <w:jc w:val="right"/>
              <w:ind w:right="1"/>
              <w:spacing w:after="0"/>
              <w:rPr>
                <w:sz w:val="20"/>
                <w:szCs w:val="20"/>
                <w:color w:val="auto"/>
              </w:rPr>
            </w:pPr>
            <w:r>
              <w:rPr>
                <w:rFonts w:ascii="Calibri" w:cs="Calibri" w:eastAsia="Calibri" w:hAnsi="Calibri"/>
                <w:sz w:val="18"/>
                <w:szCs w:val="18"/>
                <w:color w:val="51555C"/>
              </w:rPr>
              <w:t>247</w:t>
            </w:r>
          </w:p>
        </w:tc>
        <w:tc>
          <w:tcPr>
            <w:tcW w:w="2180" w:type="dxa"/>
            <w:vAlign w:val="bottom"/>
            <w:tcBorders>
              <w:bottom w:val="single" w:sz="8" w:color="EBFBFF"/>
            </w:tcBorders>
            <w:gridSpan w:val="2"/>
            <w:shd w:val="clear" w:color="auto" w:fill="EBFBFF"/>
          </w:tcPr>
          <w:p>
            <w:pPr>
              <w:jc w:val="right"/>
              <w:ind w:right="280"/>
              <w:spacing w:after="0"/>
              <w:rPr>
                <w:sz w:val="20"/>
                <w:szCs w:val="20"/>
                <w:color w:val="auto"/>
              </w:rPr>
            </w:pPr>
            <w:r>
              <w:rPr>
                <w:rFonts w:ascii="Calibri" w:cs="Calibri" w:eastAsia="Calibri" w:hAnsi="Calibri"/>
                <w:sz w:val="18"/>
                <w:szCs w:val="18"/>
                <w:color w:val="51555C"/>
              </w:rPr>
              <w:t>Revenue $</w:t>
            </w:r>
          </w:p>
        </w:tc>
        <w:tc>
          <w:tcPr>
            <w:tcW w:w="2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165</w:t>
            </w:r>
          </w:p>
        </w:tc>
        <w:tc>
          <w:tcPr>
            <w:tcW w:w="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Calibri" w:cs="Calibri" w:eastAsia="Calibri" w:hAnsi="Calibri"/>
                <w:sz w:val="18"/>
                <w:szCs w:val="18"/>
                <w:b w:val="1"/>
                <w:bCs w:val="1"/>
                <w:color w:val="51555C"/>
              </w:rPr>
              <w:t>Net Investment Hedges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currency forward contracts</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(323)</w:t>
            </w:r>
          </w:p>
        </w:tc>
        <w:tc>
          <w:tcPr>
            <w:tcW w:w="2180" w:type="dxa"/>
            <w:vAlign w:val="bottom"/>
            <w:tcBorders>
              <w:bottom w:val="single" w:sz="8" w:color="EBFBFF"/>
            </w:tcBorders>
            <w:gridSpan w:val="2"/>
            <w:shd w:val="clear" w:color="auto" w:fill="EBFBFF"/>
          </w:tcPr>
          <w:p>
            <w:pPr>
              <w:jc w:val="right"/>
              <w:ind w:right="280"/>
              <w:spacing w:after="0"/>
              <w:rPr>
                <w:sz w:val="20"/>
                <w:szCs w:val="20"/>
                <w:color w:val="auto"/>
              </w:rPr>
            </w:pPr>
            <w:r>
              <w:rPr>
                <w:rFonts w:ascii="Calibri" w:cs="Calibri" w:eastAsia="Calibri" w:hAnsi="Calibri"/>
                <w:sz w:val="18"/>
                <w:szCs w:val="18"/>
                <w:color w:val="51555C"/>
              </w:rPr>
              <w:t>$</w:t>
            </w:r>
          </w:p>
        </w:tc>
        <w:tc>
          <w:tcPr>
            <w:tcW w:w="2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1780" w:type="dxa"/>
            <w:vAlign w:val="bottom"/>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2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 ended</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1780" w:type="dxa"/>
            <w:vAlign w:val="bottom"/>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2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 2021</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5280" w:type="dxa"/>
            <w:vAlign w:val="bottom"/>
            <w:vMerge w:val="restart"/>
          </w:tcPr>
          <w:p>
            <w:pPr>
              <w:ind w:left="20"/>
              <w:spacing w:after="0"/>
              <w:rPr>
                <w:sz w:val="20"/>
                <w:szCs w:val="20"/>
                <w:color w:val="auto"/>
              </w:rPr>
            </w:pPr>
            <w:r>
              <w:rPr>
                <w:rFonts w:ascii="Calibri" w:cs="Calibri" w:eastAsia="Calibri" w:hAnsi="Calibri"/>
                <w:sz w:val="18"/>
                <w:szCs w:val="18"/>
                <w:b w:val="1"/>
                <w:bCs w:val="1"/>
                <w:color w:val="51555C"/>
              </w:rPr>
              <w:t>Cash Flow Hedges</w:t>
            </w:r>
          </w:p>
        </w:tc>
        <w:tc>
          <w:tcPr>
            <w:tcW w:w="280" w:type="dxa"/>
            <w:vAlign w:val="bottom"/>
            <w:tcBorders>
              <w:bottom w:val="single" w:sz="8" w:color="004054"/>
            </w:tcBorders>
            <w:shd w:val="clear" w:color="auto" w:fill="004054"/>
          </w:tcPr>
          <w:p>
            <w:pPr>
              <w:spacing w:after="0"/>
              <w:rPr>
                <w:sz w:val="5"/>
                <w:szCs w:val="5"/>
                <w:color w:val="auto"/>
              </w:rPr>
            </w:pPr>
          </w:p>
        </w:tc>
        <w:tc>
          <w:tcPr>
            <w:tcW w:w="1480" w:type="dxa"/>
            <w:vAlign w:val="bottom"/>
            <w:tcBorders>
              <w:bottom w:val="single" w:sz="8" w:color="004054"/>
              <w:right w:val="single" w:sz="8" w:color="004054"/>
            </w:tcBorders>
            <w:shd w:val="clear" w:color="auto" w:fill="004054"/>
          </w:tcPr>
          <w:p>
            <w:pPr>
              <w:spacing w:after="0"/>
              <w:rPr>
                <w:sz w:val="5"/>
                <w:szCs w:val="5"/>
                <w:color w:val="auto"/>
              </w:rPr>
            </w:pPr>
          </w:p>
        </w:tc>
        <w:tc>
          <w:tcPr>
            <w:tcW w:w="1780" w:type="dxa"/>
            <w:vAlign w:val="bottom"/>
            <w:tcBorders>
              <w:bottom w:val="single" w:sz="8" w:color="EBFBFF"/>
            </w:tcBorders>
          </w:tcPr>
          <w:p>
            <w:pPr>
              <w:spacing w:after="0"/>
              <w:rPr>
                <w:sz w:val="5"/>
                <w:szCs w:val="5"/>
                <w:color w:val="auto"/>
              </w:rPr>
            </w:pPr>
          </w:p>
        </w:tc>
        <w:tc>
          <w:tcPr>
            <w:tcW w:w="400" w:type="dxa"/>
            <w:vAlign w:val="bottom"/>
            <w:tcBorders>
              <w:bottom w:val="single" w:sz="8" w:color="004054"/>
            </w:tcBorders>
            <w:shd w:val="clear" w:color="auto" w:fill="004054"/>
          </w:tcPr>
          <w:p>
            <w:pPr>
              <w:spacing w:after="0"/>
              <w:rPr>
                <w:sz w:val="5"/>
                <w:szCs w:val="5"/>
                <w:color w:val="auto"/>
              </w:rPr>
            </w:pPr>
          </w:p>
        </w:tc>
        <w:tc>
          <w:tcPr>
            <w:tcW w:w="2020" w:type="dxa"/>
            <w:vAlign w:val="bottom"/>
            <w:tcBorders>
              <w:bottom w:val="single" w:sz="8" w:color="004054"/>
            </w:tcBorders>
            <w:shd w:val="clear" w:color="auto" w:fill="004054"/>
          </w:tcPr>
          <w:p>
            <w:pPr>
              <w:spacing w:after="0"/>
              <w:rPr>
                <w:sz w:val="5"/>
                <w:szCs w:val="5"/>
                <w:color w:val="auto"/>
              </w:rPr>
            </w:pPr>
          </w:p>
        </w:tc>
        <w:tc>
          <w:tcPr>
            <w:tcW w:w="20" w:type="dxa"/>
            <w:vAlign w:val="bottom"/>
            <w:tcBorders>
              <w:bottom w:val="single" w:sz="8" w:color="004054"/>
            </w:tcBorders>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280" w:type="dxa"/>
            <w:vAlign w:val="bottom"/>
            <w:tcBorders>
              <w:bottom w:val="single" w:sz="8" w:color="EBFBFF"/>
            </w:tcBorders>
            <w:shd w:val="clear" w:color="auto" w:fill="EBFBFF"/>
          </w:tcPr>
          <w:p>
            <w:pPr>
              <w:spacing w:after="0"/>
              <w:rPr>
                <w:sz w:val="20"/>
                <w:szCs w:val="20"/>
                <w:color w:val="auto"/>
              </w:rPr>
            </w:pPr>
          </w:p>
        </w:tc>
        <w:tc>
          <w:tcPr>
            <w:tcW w:w="1480" w:type="dxa"/>
            <w:vAlign w:val="bottom"/>
            <w:tcBorders>
              <w:bottom w:val="single" w:sz="8" w:color="EBFBFF"/>
              <w:right w:val="single" w:sz="8" w:color="EBFBFF"/>
            </w:tcBorders>
            <w:shd w:val="clear" w:color="auto" w:fill="EBFBFF"/>
          </w:tcPr>
          <w:p>
            <w:pPr>
              <w:spacing w:after="0"/>
              <w:rPr>
                <w:sz w:val="20"/>
                <w:szCs w:val="20"/>
                <w:color w:val="auto"/>
              </w:rPr>
            </w:pPr>
          </w:p>
        </w:tc>
        <w:tc>
          <w:tcPr>
            <w:tcW w:w="1780" w:type="dxa"/>
            <w:vAlign w:val="bottom"/>
            <w:tcBorders>
              <w:bottom w:val="single" w:sz="8" w:color="EBFBFF"/>
            </w:tcBorders>
            <w:shd w:val="clear" w:color="auto" w:fill="EBFBFF"/>
          </w:tcPr>
          <w:p>
            <w:pPr>
              <w:spacing w:after="0"/>
              <w:rPr>
                <w:sz w:val="20"/>
                <w:szCs w:val="20"/>
                <w:color w:val="auto"/>
              </w:rPr>
            </w:pPr>
          </w:p>
        </w:tc>
        <w:tc>
          <w:tcPr>
            <w:tcW w:w="400" w:type="dxa"/>
            <w:vAlign w:val="bottom"/>
            <w:tcBorders>
              <w:bottom w:val="single" w:sz="8" w:color="EBFBFF"/>
            </w:tcBorders>
            <w:shd w:val="clear" w:color="auto" w:fill="EBFBFF"/>
          </w:tcPr>
          <w:p>
            <w:pPr>
              <w:spacing w:after="0"/>
              <w:rPr>
                <w:sz w:val="20"/>
                <w:szCs w:val="20"/>
                <w:color w:val="auto"/>
              </w:rPr>
            </w:pPr>
          </w:p>
        </w:tc>
        <w:tc>
          <w:tcPr>
            <w:tcW w:w="2020" w:type="dxa"/>
            <w:vAlign w:val="bottom"/>
            <w:tcBorders>
              <w:bottom w:val="single" w:sz="8" w:color="EBFBFF"/>
            </w:tcBorders>
            <w:shd w:val="clear" w:color="auto" w:fill="EBFBFF"/>
          </w:tcPr>
          <w:p>
            <w:pPr>
              <w:spacing w:after="0"/>
              <w:rPr>
                <w:sz w:val="20"/>
                <w:szCs w:val="20"/>
                <w:color w:val="auto"/>
              </w:rPr>
            </w:pPr>
          </w:p>
        </w:tc>
        <w:tc>
          <w:tcPr>
            <w:tcW w:w="20" w:type="dxa"/>
            <w:vAlign w:val="bottom"/>
            <w:tcBorders>
              <w:bottom w:val="single" w:sz="8" w:color="EBFBFF"/>
            </w:tcBorders>
            <w:shd w:val="clear" w:color="auto" w:fill="EBFB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80" w:type="dxa"/>
            <w:vAlign w:val="bottom"/>
          </w:tcPr>
          <w:p>
            <w:pPr>
              <w:ind w:left="140"/>
              <w:spacing w:after="0"/>
              <w:rPr>
                <w:sz w:val="20"/>
                <w:szCs w:val="20"/>
                <w:color w:val="auto"/>
              </w:rPr>
            </w:pPr>
            <w:r>
              <w:rPr>
                <w:rFonts w:ascii="Calibri" w:cs="Calibri" w:eastAsia="Calibri" w:hAnsi="Calibri"/>
                <w:sz w:val="18"/>
                <w:szCs w:val="18"/>
                <w:color w:val="51555C"/>
              </w:rPr>
              <w:t>Interest rate swaps</w:t>
            </w:r>
          </w:p>
        </w:tc>
        <w:tc>
          <w:tcPr>
            <w:tcW w:w="280" w:type="dxa"/>
            <w:vAlign w:val="bottom"/>
          </w:tcPr>
          <w:p>
            <w:pPr>
              <w:jc w:val="right"/>
              <w:ind w:right="90"/>
              <w:spacing w:after="0"/>
              <w:rPr>
                <w:sz w:val="20"/>
                <w:szCs w:val="20"/>
                <w:color w:val="auto"/>
              </w:rPr>
            </w:pPr>
            <w:r>
              <w:rPr>
                <w:rFonts w:ascii="Calibri" w:cs="Calibri" w:eastAsia="Calibri" w:hAnsi="Calibri"/>
                <w:sz w:val="18"/>
                <w:szCs w:val="18"/>
                <w:color w:val="51555C"/>
                <w:w w:val="87"/>
              </w:rPr>
              <w:t>$</w:t>
            </w:r>
          </w:p>
        </w:tc>
        <w:tc>
          <w:tcPr>
            <w:tcW w:w="1480" w:type="dxa"/>
            <w:vAlign w:val="bottom"/>
          </w:tcPr>
          <w:p>
            <w:pPr>
              <w:jc w:val="right"/>
              <w:ind w:right="1"/>
              <w:spacing w:after="0"/>
              <w:rPr>
                <w:sz w:val="20"/>
                <w:szCs w:val="20"/>
                <w:color w:val="auto"/>
              </w:rPr>
            </w:pPr>
            <w:r>
              <w:rPr>
                <w:rFonts w:ascii="Calibri" w:cs="Calibri" w:eastAsia="Calibri" w:hAnsi="Calibri"/>
                <w:sz w:val="18"/>
                <w:szCs w:val="18"/>
                <w:color w:val="51555C"/>
              </w:rPr>
              <w:t>7,160</w:t>
            </w:r>
          </w:p>
        </w:tc>
        <w:tc>
          <w:tcPr>
            <w:tcW w:w="2180" w:type="dxa"/>
            <w:vAlign w:val="bottom"/>
            <w:gridSpan w:val="2"/>
          </w:tcPr>
          <w:p>
            <w:pPr>
              <w:jc w:val="right"/>
              <w:ind w:right="280"/>
              <w:spacing w:after="0"/>
              <w:rPr>
                <w:sz w:val="20"/>
                <w:szCs w:val="20"/>
                <w:color w:val="auto"/>
              </w:rPr>
            </w:pPr>
            <w:r>
              <w:rPr>
                <w:rFonts w:ascii="Calibri" w:cs="Calibri" w:eastAsia="Calibri" w:hAnsi="Calibri"/>
                <w:sz w:val="18"/>
                <w:szCs w:val="18"/>
                <w:color w:val="51555C"/>
              </w:rPr>
              <w:t>Interest expense $</w:t>
            </w:r>
          </w:p>
        </w:tc>
        <w:tc>
          <w:tcPr>
            <w:tcW w:w="2020" w:type="dxa"/>
            <w:vAlign w:val="bottom"/>
          </w:tcPr>
          <w:p>
            <w:pPr>
              <w:jc w:val="right"/>
              <w:spacing w:after="0"/>
              <w:rPr>
                <w:sz w:val="20"/>
                <w:szCs w:val="20"/>
                <w:color w:val="auto"/>
              </w:rPr>
            </w:pPr>
            <w:r>
              <w:rPr>
                <w:rFonts w:ascii="Calibri" w:cs="Calibri" w:eastAsia="Calibri" w:hAnsi="Calibri"/>
                <w:sz w:val="18"/>
                <w:szCs w:val="18"/>
                <w:color w:val="51555C"/>
              </w:rPr>
              <w:t>(3,714)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280" w:type="dxa"/>
            <w:vAlign w:val="bottom"/>
            <w:tcBorders>
              <w:bottom w:val="single" w:sz="8" w:color="0CD973"/>
            </w:tcBorders>
          </w:tcPr>
          <w:p>
            <w:pPr>
              <w:spacing w:after="0"/>
              <w:rPr>
                <w:sz w:val="4"/>
                <w:szCs w:val="4"/>
                <w:color w:val="auto"/>
              </w:rPr>
            </w:pPr>
          </w:p>
        </w:tc>
        <w:tc>
          <w:tcPr>
            <w:tcW w:w="280" w:type="dxa"/>
            <w:vAlign w:val="bottom"/>
            <w:tcBorders>
              <w:bottom w:val="single" w:sz="8" w:color="0CD973"/>
            </w:tcBorders>
          </w:tcPr>
          <w:p>
            <w:pPr>
              <w:spacing w:after="0"/>
              <w:rPr>
                <w:sz w:val="4"/>
                <w:szCs w:val="4"/>
                <w:color w:val="auto"/>
              </w:rPr>
            </w:pPr>
          </w:p>
        </w:tc>
        <w:tc>
          <w:tcPr>
            <w:tcW w:w="1480" w:type="dxa"/>
            <w:vAlign w:val="bottom"/>
            <w:tcBorders>
              <w:bottom w:val="single" w:sz="8" w:color="0CD973"/>
            </w:tcBorders>
          </w:tcPr>
          <w:p>
            <w:pPr>
              <w:spacing w:after="0"/>
              <w:rPr>
                <w:sz w:val="4"/>
                <w:szCs w:val="4"/>
                <w:color w:val="auto"/>
              </w:rPr>
            </w:pPr>
          </w:p>
        </w:tc>
        <w:tc>
          <w:tcPr>
            <w:tcW w:w="1780" w:type="dxa"/>
            <w:vAlign w:val="bottom"/>
            <w:tcBorders>
              <w:bottom w:val="single" w:sz="8" w:color="0CD973"/>
            </w:tcBorders>
          </w:tcPr>
          <w:p>
            <w:pPr>
              <w:spacing w:after="0"/>
              <w:rPr>
                <w:sz w:val="4"/>
                <w:szCs w:val="4"/>
                <w:color w:val="auto"/>
              </w:rPr>
            </w:pPr>
          </w:p>
        </w:tc>
        <w:tc>
          <w:tcPr>
            <w:tcW w:w="400" w:type="dxa"/>
            <w:vAlign w:val="bottom"/>
            <w:tcBorders>
              <w:bottom w:val="single" w:sz="8" w:color="0CD973"/>
            </w:tcBorders>
          </w:tcPr>
          <w:p>
            <w:pPr>
              <w:spacing w:after="0"/>
              <w:rPr>
                <w:sz w:val="4"/>
                <w:szCs w:val="4"/>
                <w:color w:val="auto"/>
              </w:rPr>
            </w:pPr>
          </w:p>
        </w:tc>
        <w:tc>
          <w:tcPr>
            <w:tcW w:w="2020" w:type="dxa"/>
            <w:vAlign w:val="bottom"/>
            <w:tcBorders>
              <w:bottom w:val="single" w:sz="8" w:color="0CD973"/>
            </w:tcBorders>
          </w:tcPr>
          <w:p>
            <w:pPr>
              <w:spacing w:after="0"/>
              <w:rPr>
                <w:sz w:val="4"/>
                <w:szCs w:val="4"/>
                <w:color w:val="auto"/>
              </w:rPr>
            </w:pPr>
          </w:p>
        </w:tc>
        <w:tc>
          <w:tcPr>
            <w:tcW w:w="20" w:type="dxa"/>
            <w:vAlign w:val="bottom"/>
            <w:tcBorders>
              <w:bottom w:val="single" w:sz="8" w:color="0CD97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-2957195</wp:posOffset>
            </wp:positionV>
            <wp:extent cx="15430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54305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-2957195</wp:posOffset>
            </wp:positionV>
            <wp:extent cx="11226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14" w:lineRule="exact"/>
        <w:rPr>
          <w:sz w:val="20"/>
          <w:szCs w:val="20"/>
          <w:color w:val="auto"/>
        </w:rPr>
      </w:pPr>
    </w:p>
    <w:p>
      <w:pPr>
        <w:jc w:val="both"/>
        <w:ind w:right="20"/>
        <w:spacing w:after="0" w:line="250" w:lineRule="auto"/>
        <w:rPr>
          <w:sz w:val="20"/>
          <w:szCs w:val="20"/>
          <w:color w:val="auto"/>
        </w:rPr>
      </w:pPr>
      <w:r>
        <w:rPr>
          <w:rFonts w:ascii="Calibri" w:cs="Calibri" w:eastAsia="Calibri" w:hAnsi="Calibri"/>
          <w:sz w:val="17"/>
          <w:szCs w:val="17"/>
          <w:color w:val="51555C"/>
        </w:rPr>
        <w:t>Our policy requires that derivatves used for hedging purposes be designated and efectve as a hedge of the identfed risk exposure at the incepton of the contract. Accumulated other comprehensive income (loss) includes unrealized gains or losses from the change in fair value measurement of our derivatve instruments each reportng period and the related income tax expense or beneft. Excluding net investment hedges, changes in the fair value measurements of the derivatve instruments and the related income tax expense or beneft are refected as adjustments to accumulated other comprehensive income (loss) untl the actual hedged expense is incurred or untl the hedge is terminated at which point the unrealized gain (loss) and related tax efects are reclassifed from accumulated other comprehensive income (loss) to current earnings. For net investment hedges, changes in the fair value measurements of the derivatve instruments and the related income tax expense or beneft are refected as adjustments to translaton adjustment, a component of accumulated other comprehensive income (loss), and recognized in earnings only when the hedged GBP investment is liquidated. The estmated accumulated other comprehensive income as of December 31, 2023 that is expected to be reclassifed into earnings within the next twelve months is $16.4 million. There were no inefectve portons of our interest rate swap or foreign currency forward derivatves during the years ended December 31, 2023, 2022 and 2021. See Note 14 to these consolidated fnancial statements for a summary of the changes in accumulated other comprehensive income (loss) by component. We classify cash fows related to derivatve instruments as operatng actvites in the consolidated statements of cash fows.</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color w:val="51555C"/>
        </w:rPr>
        <w:t>We did not have any undesignated derivatve instruments during 2023, 2022 and 2021.</w:t>
      </w:r>
    </w:p>
    <w:p>
      <w:pPr>
        <w:spacing w:after="0" w:line="20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11. Commitments and Contngencies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Leases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operatng leases for corporate ofces, subleased ofces and certain equipment and furniture. As of December 31, 2023, we did not have any operatng leases that had not yet commenced.</w:t>
      </w:r>
    </w:p>
    <w:p>
      <w:pPr>
        <w:spacing w:after="0" w:line="324"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94</w:t>
      </w:r>
      <w:r>
        <w:rPr>
          <w:sz w:val="20"/>
          <w:szCs w:val="20"/>
          <w:color w:val="auto"/>
        </w:rPr>
        <w:tab/>
      </w:r>
      <w:r>
        <w:rPr>
          <w:sz w:val="1"/>
          <w:szCs w:val="1"/>
          <w:color w:val="auto"/>
        </w:rPr>
        <w:drawing>
          <wp:inline distT="0" distB="0" distL="0" distR="0">
            <wp:extent cx="728345" cy="18859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the components of our lease expense: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40" w:type="dxa"/>
            <w:vAlign w:val="bottom"/>
            <w:shd w:val="clear" w:color="auto" w:fill="004054"/>
          </w:tcPr>
          <w:p>
            <w:pPr>
              <w:spacing w:after="0"/>
              <w:rPr>
                <w:sz w:val="16"/>
                <w:szCs w:val="16"/>
                <w:color w:val="auto"/>
              </w:rPr>
            </w:pPr>
          </w:p>
        </w:tc>
        <w:tc>
          <w:tcPr>
            <w:tcW w:w="520" w:type="dxa"/>
            <w:vAlign w:val="bottom"/>
            <w:shd w:val="clear" w:color="auto" w:fill="004054"/>
          </w:tcPr>
          <w:p>
            <w:pPr>
              <w:spacing w:after="0"/>
              <w:rPr>
                <w:sz w:val="16"/>
                <w:szCs w:val="16"/>
                <w:color w:val="auto"/>
              </w:rPr>
            </w:pPr>
          </w:p>
        </w:tc>
        <w:tc>
          <w:tcPr>
            <w:tcW w:w="92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92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 ended</w:t>
            </w:r>
          </w:p>
        </w:tc>
        <w:tc>
          <w:tcPr>
            <w:tcW w:w="20" w:type="dxa"/>
            <w:vAlign w:val="bottom"/>
            <w:shd w:val="clear" w:color="auto" w:fill="004054"/>
          </w:tcPr>
          <w:p>
            <w:pPr>
              <w:spacing w:after="0"/>
              <w:rPr>
                <w:sz w:val="16"/>
                <w:szCs w:val="16"/>
                <w:color w:val="auto"/>
              </w:rPr>
            </w:pPr>
          </w:p>
        </w:tc>
      </w:tr>
      <w:tr>
        <w:trPr>
          <w:trHeight w:val="170"/>
        </w:trPr>
        <w:tc>
          <w:tcPr>
            <w:tcW w:w="6940" w:type="dxa"/>
            <w:vAlign w:val="bottom"/>
            <w:shd w:val="clear" w:color="auto" w:fill="004054"/>
          </w:tcPr>
          <w:p>
            <w:pPr>
              <w:spacing w:after="0"/>
              <w:rPr>
                <w:sz w:val="14"/>
                <w:szCs w:val="14"/>
                <w:color w:val="auto"/>
              </w:rPr>
            </w:pPr>
          </w:p>
        </w:tc>
        <w:tc>
          <w:tcPr>
            <w:tcW w:w="52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50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360" w:type="dxa"/>
            <w:vAlign w:val="bottom"/>
            <w:shd w:val="clear" w:color="auto" w:fill="004054"/>
          </w:tcPr>
          <w:p>
            <w:pPr>
              <w:spacing w:after="0"/>
              <w:rPr>
                <w:sz w:val="14"/>
                <w:szCs w:val="14"/>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4"/>
                <w:szCs w:val="14"/>
                <w:color w:val="auto"/>
              </w:rPr>
            </w:pPr>
          </w:p>
        </w:tc>
      </w:tr>
      <w:tr>
        <w:trPr>
          <w:trHeight w:val="243"/>
        </w:trPr>
        <w:tc>
          <w:tcPr>
            <w:tcW w:w="6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20" w:type="dxa"/>
            <w:vAlign w:val="bottom"/>
            <w:shd w:val="clear" w:color="auto" w:fill="004054"/>
          </w:tcPr>
          <w:p>
            <w:pPr>
              <w:spacing w:after="0"/>
              <w:rPr>
                <w:sz w:val="21"/>
                <w:szCs w:val="21"/>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500" w:type="dxa"/>
            <w:vAlign w:val="bottom"/>
            <w:shd w:val="clear" w:color="auto" w:fill="004054"/>
          </w:tcPr>
          <w:p>
            <w:pPr>
              <w:spacing w:after="0"/>
              <w:rPr>
                <w:sz w:val="21"/>
                <w:szCs w:val="21"/>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360" w:type="dxa"/>
            <w:vAlign w:val="bottom"/>
            <w:shd w:val="clear" w:color="auto" w:fill="004054"/>
          </w:tcPr>
          <w:p>
            <w:pPr>
              <w:spacing w:after="0"/>
              <w:rPr>
                <w:sz w:val="21"/>
                <w:szCs w:val="21"/>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1"/>
                <w:szCs w:val="21"/>
                <w:color w:val="auto"/>
              </w:rPr>
            </w:pPr>
          </w:p>
        </w:tc>
      </w:tr>
      <w:tr>
        <w:trPr>
          <w:trHeight w:val="74"/>
        </w:trPr>
        <w:tc>
          <w:tcPr>
            <w:tcW w:w="6940" w:type="dxa"/>
            <w:vAlign w:val="bottom"/>
            <w:shd w:val="clear" w:color="auto" w:fill="004054"/>
          </w:tcPr>
          <w:p>
            <w:pPr>
              <w:spacing w:after="0"/>
              <w:rPr>
                <w:sz w:val="6"/>
                <w:szCs w:val="6"/>
                <w:color w:val="auto"/>
              </w:rPr>
            </w:pPr>
          </w:p>
        </w:tc>
        <w:tc>
          <w:tcPr>
            <w:tcW w:w="52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324"/>
        </w:trPr>
        <w:tc>
          <w:tcPr>
            <w:tcW w:w="6940" w:type="dxa"/>
            <w:vAlign w:val="bottom"/>
            <w:shd w:val="clear" w:color="auto" w:fill="EBFBFF"/>
          </w:tcPr>
          <w:p>
            <w:pPr>
              <w:ind w:left="20"/>
              <w:spacing w:after="0"/>
              <w:rPr>
                <w:sz w:val="20"/>
                <w:szCs w:val="20"/>
                <w:color w:val="auto"/>
              </w:rPr>
            </w:pPr>
            <w:r>
              <w:rPr>
                <w:rFonts w:ascii="Calibri" w:cs="Calibri" w:eastAsia="Calibri" w:hAnsi="Calibri"/>
                <w:sz w:val="18"/>
                <w:szCs w:val="18"/>
                <w:color w:val="51555C"/>
              </w:rPr>
              <w:t>Operatng lease cost</w:t>
            </w:r>
            <w:r>
              <w:rPr>
                <w:rFonts w:ascii="Calibri" w:cs="Calibri" w:eastAsia="Calibri" w:hAnsi="Calibri"/>
                <w:sz w:val="23"/>
                <w:szCs w:val="23"/>
                <w:color w:val="51555C"/>
                <w:vertAlign w:val="superscript"/>
              </w:rPr>
              <w:t>(1)</w:t>
            </w:r>
          </w:p>
        </w:tc>
        <w:tc>
          <w:tcPr>
            <w:tcW w:w="520" w:type="dxa"/>
            <w:vAlign w:val="bottom"/>
            <w:shd w:val="clear" w:color="auto" w:fill="EBFBFF"/>
          </w:tcPr>
          <w:p>
            <w:pPr>
              <w:jc w:val="right"/>
              <w:ind w:right="310"/>
              <w:spacing w:after="0"/>
              <w:rPr>
                <w:sz w:val="20"/>
                <w:szCs w:val="20"/>
                <w:color w:val="auto"/>
              </w:rPr>
            </w:pPr>
            <w:r>
              <w:rPr>
                <w:rFonts w:ascii="Calibri" w:cs="Calibri" w:eastAsia="Calibri" w:hAnsi="Calibri"/>
                <w:sz w:val="18"/>
                <w:szCs w:val="18"/>
                <w:color w:val="51555C"/>
              </w:rPr>
              <w:t>$</w:t>
            </w:r>
          </w:p>
        </w:tc>
        <w:tc>
          <w:tcPr>
            <w:tcW w:w="920" w:type="dxa"/>
            <w:vAlign w:val="bottom"/>
            <w:shd w:val="clear" w:color="auto" w:fill="EBFBFF"/>
          </w:tcPr>
          <w:p>
            <w:pPr>
              <w:jc w:val="center"/>
              <w:ind w:left="314"/>
              <w:spacing w:after="0"/>
              <w:rPr>
                <w:sz w:val="20"/>
                <w:szCs w:val="20"/>
                <w:color w:val="auto"/>
              </w:rPr>
            </w:pPr>
            <w:r>
              <w:rPr>
                <w:rFonts w:ascii="Calibri" w:cs="Calibri" w:eastAsia="Calibri" w:hAnsi="Calibri"/>
                <w:sz w:val="18"/>
                <w:szCs w:val="18"/>
                <w:color w:val="51555C"/>
                <w:w w:val="97"/>
              </w:rPr>
              <w:t>8,812</w:t>
            </w:r>
          </w:p>
        </w:tc>
        <w:tc>
          <w:tcPr>
            <w:tcW w:w="500" w:type="dxa"/>
            <w:vAlign w:val="bottom"/>
            <w:shd w:val="clear" w:color="auto" w:fill="EBFBFF"/>
          </w:tcPr>
          <w:p>
            <w:pPr>
              <w:jc w:val="right"/>
              <w:ind w:right="310"/>
              <w:spacing w:after="0"/>
              <w:rPr>
                <w:sz w:val="20"/>
                <w:szCs w:val="20"/>
                <w:color w:val="auto"/>
              </w:rPr>
            </w:pPr>
            <w:r>
              <w:rPr>
                <w:rFonts w:ascii="Calibri" w:cs="Calibri" w:eastAsia="Calibri" w:hAnsi="Calibri"/>
                <w:sz w:val="18"/>
                <w:szCs w:val="18"/>
                <w:color w:val="51555C"/>
                <w:w w:val="87"/>
              </w:rPr>
              <w:t>$</w:t>
            </w:r>
          </w:p>
        </w:tc>
        <w:tc>
          <w:tcPr>
            <w:tcW w:w="920" w:type="dxa"/>
            <w:vAlign w:val="bottom"/>
            <w:shd w:val="clear" w:color="auto" w:fill="EBFBFF"/>
          </w:tcPr>
          <w:p>
            <w:pPr>
              <w:jc w:val="center"/>
              <w:ind w:left="314"/>
              <w:spacing w:after="0"/>
              <w:rPr>
                <w:sz w:val="20"/>
                <w:szCs w:val="20"/>
                <w:color w:val="auto"/>
              </w:rPr>
            </w:pPr>
            <w:r>
              <w:rPr>
                <w:rFonts w:ascii="Calibri" w:cs="Calibri" w:eastAsia="Calibri" w:hAnsi="Calibri"/>
                <w:sz w:val="18"/>
                <w:szCs w:val="18"/>
                <w:color w:val="51555C"/>
                <w:w w:val="97"/>
              </w:rPr>
              <w:t>9,501</w:t>
            </w:r>
          </w:p>
        </w:tc>
        <w:tc>
          <w:tcPr>
            <w:tcW w:w="360" w:type="dxa"/>
            <w:vAlign w:val="bottom"/>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1080" w:type="dxa"/>
            <w:vAlign w:val="bottom"/>
            <w:shd w:val="clear" w:color="auto" w:fill="EBFBFF"/>
          </w:tcPr>
          <w:p>
            <w:pPr>
              <w:jc w:val="right"/>
              <w:spacing w:after="0"/>
              <w:rPr>
                <w:sz w:val="20"/>
                <w:szCs w:val="20"/>
                <w:color w:val="auto"/>
              </w:rPr>
            </w:pPr>
            <w:r>
              <w:rPr>
                <w:rFonts w:ascii="Calibri" w:cs="Calibri" w:eastAsia="Calibri" w:hAnsi="Calibri"/>
                <w:sz w:val="18"/>
                <w:szCs w:val="18"/>
                <w:color w:val="51555C"/>
              </w:rPr>
              <w:t>9,636</w:t>
            </w:r>
          </w:p>
        </w:tc>
        <w:tc>
          <w:tcPr>
            <w:tcW w:w="20" w:type="dxa"/>
            <w:vAlign w:val="bottom"/>
          </w:tcPr>
          <w:p>
            <w:pPr>
              <w:spacing w:after="0"/>
              <w:rPr>
                <w:sz w:val="24"/>
                <w:szCs w:val="24"/>
                <w:color w:val="auto"/>
              </w:rPr>
            </w:pPr>
          </w:p>
        </w:tc>
      </w:tr>
      <w:tr>
        <w:trPr>
          <w:trHeight w:val="219"/>
        </w:trPr>
        <w:tc>
          <w:tcPr>
            <w:tcW w:w="6940" w:type="dxa"/>
            <w:vAlign w:val="bottom"/>
          </w:tcPr>
          <w:p>
            <w:pPr>
              <w:ind w:left="20"/>
              <w:spacing w:after="0"/>
              <w:rPr>
                <w:sz w:val="20"/>
                <w:szCs w:val="20"/>
                <w:color w:val="auto"/>
              </w:rPr>
            </w:pPr>
            <w:r>
              <w:rPr>
                <w:rFonts w:ascii="Calibri" w:cs="Calibri" w:eastAsia="Calibri" w:hAnsi="Calibri"/>
                <w:sz w:val="18"/>
                <w:szCs w:val="18"/>
                <w:color w:val="51555C"/>
              </w:rPr>
              <w:t>Variable lease cost</w:t>
            </w:r>
          </w:p>
        </w:tc>
        <w:tc>
          <w:tcPr>
            <w:tcW w:w="520" w:type="dxa"/>
            <w:vAlign w:val="bottom"/>
          </w:tcPr>
          <w:p>
            <w:pPr>
              <w:spacing w:after="0"/>
              <w:rPr>
                <w:sz w:val="19"/>
                <w:szCs w:val="19"/>
                <w:color w:val="auto"/>
              </w:rPr>
            </w:pPr>
          </w:p>
        </w:tc>
        <w:tc>
          <w:tcPr>
            <w:tcW w:w="920" w:type="dxa"/>
            <w:vAlign w:val="bottom"/>
          </w:tcPr>
          <w:p>
            <w:pPr>
              <w:jc w:val="center"/>
              <w:ind w:left="314"/>
              <w:spacing w:after="0"/>
              <w:rPr>
                <w:sz w:val="20"/>
                <w:szCs w:val="20"/>
                <w:color w:val="auto"/>
              </w:rPr>
            </w:pPr>
            <w:r>
              <w:rPr>
                <w:rFonts w:ascii="Calibri" w:cs="Calibri" w:eastAsia="Calibri" w:hAnsi="Calibri"/>
                <w:sz w:val="18"/>
                <w:szCs w:val="18"/>
                <w:color w:val="51555C"/>
                <w:w w:val="97"/>
              </w:rPr>
              <w:t>1,431</w:t>
            </w:r>
          </w:p>
        </w:tc>
        <w:tc>
          <w:tcPr>
            <w:tcW w:w="500" w:type="dxa"/>
            <w:vAlign w:val="bottom"/>
          </w:tcPr>
          <w:p>
            <w:pPr>
              <w:spacing w:after="0"/>
              <w:rPr>
                <w:sz w:val="19"/>
                <w:szCs w:val="19"/>
                <w:color w:val="auto"/>
              </w:rPr>
            </w:pPr>
          </w:p>
        </w:tc>
        <w:tc>
          <w:tcPr>
            <w:tcW w:w="920" w:type="dxa"/>
            <w:vAlign w:val="bottom"/>
          </w:tcPr>
          <w:p>
            <w:pPr>
              <w:jc w:val="center"/>
              <w:ind w:left="314"/>
              <w:spacing w:after="0"/>
              <w:rPr>
                <w:sz w:val="20"/>
                <w:szCs w:val="20"/>
                <w:color w:val="auto"/>
              </w:rPr>
            </w:pPr>
            <w:r>
              <w:rPr>
                <w:rFonts w:ascii="Calibri" w:cs="Calibri" w:eastAsia="Calibri" w:hAnsi="Calibri"/>
                <w:sz w:val="18"/>
                <w:szCs w:val="18"/>
                <w:color w:val="51555C"/>
                <w:w w:val="97"/>
              </w:rPr>
              <w:t>1,670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2,478</w:t>
            </w:r>
          </w:p>
        </w:tc>
        <w:tc>
          <w:tcPr>
            <w:tcW w:w="20" w:type="dxa"/>
            <w:vAlign w:val="bottom"/>
          </w:tcPr>
          <w:p>
            <w:pPr>
              <w:spacing w:after="0"/>
              <w:rPr>
                <w:sz w:val="19"/>
                <w:szCs w:val="19"/>
                <w:color w:val="auto"/>
              </w:rPr>
            </w:pPr>
          </w:p>
        </w:tc>
      </w:tr>
      <w:tr>
        <w:trPr>
          <w:trHeight w:val="51"/>
        </w:trPr>
        <w:tc>
          <w:tcPr>
            <w:tcW w:w="6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Sublease income</w:t>
            </w:r>
          </w:p>
        </w:tc>
        <w:tc>
          <w:tcPr>
            <w:tcW w:w="52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center"/>
              <w:ind w:left="274"/>
              <w:spacing w:after="0"/>
              <w:rPr>
                <w:sz w:val="20"/>
                <w:szCs w:val="20"/>
                <w:color w:val="auto"/>
              </w:rPr>
            </w:pPr>
            <w:r>
              <w:rPr>
                <w:rFonts w:ascii="Calibri" w:cs="Calibri" w:eastAsia="Calibri" w:hAnsi="Calibri"/>
                <w:sz w:val="18"/>
                <w:szCs w:val="18"/>
                <w:color w:val="51555C"/>
              </w:rPr>
              <w:t>(3,356)</w:t>
            </w:r>
          </w:p>
        </w:tc>
        <w:tc>
          <w:tcPr>
            <w:tcW w:w="50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center"/>
              <w:ind w:left="294"/>
              <w:spacing w:after="0"/>
              <w:rPr>
                <w:sz w:val="20"/>
                <w:szCs w:val="20"/>
                <w:color w:val="auto"/>
              </w:rPr>
            </w:pPr>
            <w:r>
              <w:rPr>
                <w:rFonts w:ascii="Calibri" w:cs="Calibri" w:eastAsia="Calibri" w:hAnsi="Calibri"/>
                <w:sz w:val="18"/>
                <w:szCs w:val="18"/>
                <w:color w:val="51555C"/>
                <w:w w:val="96"/>
              </w:rPr>
              <w:t>(2,763)</w:t>
            </w:r>
          </w:p>
        </w:tc>
        <w:tc>
          <w:tcPr>
            <w:tcW w:w="36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(1,516)</w:t>
            </w:r>
          </w:p>
        </w:tc>
        <w:tc>
          <w:tcPr>
            <w:tcW w:w="20" w:type="dxa"/>
            <w:vAlign w:val="bottom"/>
          </w:tcPr>
          <w:p>
            <w:pPr>
              <w:spacing w:after="0"/>
              <w:rPr>
                <w:sz w:val="23"/>
                <w:szCs w:val="23"/>
                <w:color w:val="auto"/>
              </w:rPr>
            </w:pPr>
          </w:p>
        </w:tc>
      </w:tr>
      <w:tr>
        <w:trPr>
          <w:trHeight w:val="213"/>
        </w:trPr>
        <w:tc>
          <w:tcPr>
            <w:tcW w:w="6940" w:type="dxa"/>
            <w:vAlign w:val="bottom"/>
          </w:tcPr>
          <w:p>
            <w:pPr>
              <w:ind w:left="140"/>
              <w:spacing w:after="0" w:line="199" w:lineRule="exact"/>
              <w:rPr>
                <w:sz w:val="20"/>
                <w:szCs w:val="20"/>
                <w:color w:val="auto"/>
              </w:rPr>
            </w:pPr>
            <w:r>
              <w:rPr>
                <w:rFonts w:ascii="Calibri" w:cs="Calibri" w:eastAsia="Calibri" w:hAnsi="Calibri"/>
                <w:sz w:val="18"/>
                <w:szCs w:val="18"/>
                <w:color w:val="51555C"/>
              </w:rPr>
              <w:t>Net lease cost</w:t>
            </w:r>
          </w:p>
        </w:tc>
        <w:tc>
          <w:tcPr>
            <w:tcW w:w="520" w:type="dxa"/>
            <w:vAlign w:val="bottom"/>
            <w:tcBorders>
              <w:top w:val="single" w:sz="8" w:color="51555C"/>
            </w:tcBorders>
          </w:tcPr>
          <w:p>
            <w:pPr>
              <w:jc w:val="right"/>
              <w:ind w:right="310"/>
              <w:spacing w:after="0" w:line="213" w:lineRule="exact"/>
              <w:rPr>
                <w:sz w:val="20"/>
                <w:szCs w:val="20"/>
                <w:color w:val="auto"/>
              </w:rPr>
            </w:pPr>
            <w:r>
              <w:rPr>
                <w:rFonts w:ascii="Calibri" w:cs="Calibri" w:eastAsia="Calibri" w:hAnsi="Calibri"/>
                <w:sz w:val="18"/>
                <w:szCs w:val="18"/>
                <w:color w:val="51555C"/>
              </w:rPr>
              <w:t>$</w:t>
            </w:r>
          </w:p>
        </w:tc>
        <w:tc>
          <w:tcPr>
            <w:tcW w:w="920" w:type="dxa"/>
            <w:vAlign w:val="bottom"/>
            <w:tcBorders>
              <w:top w:val="single" w:sz="8" w:color="51555C"/>
            </w:tcBorders>
          </w:tcPr>
          <w:p>
            <w:pPr>
              <w:jc w:val="center"/>
              <w:ind w:left="314"/>
              <w:spacing w:after="0" w:line="213" w:lineRule="exact"/>
              <w:rPr>
                <w:sz w:val="20"/>
                <w:szCs w:val="20"/>
                <w:color w:val="auto"/>
              </w:rPr>
            </w:pPr>
            <w:r>
              <w:rPr>
                <w:rFonts w:ascii="Calibri" w:cs="Calibri" w:eastAsia="Calibri" w:hAnsi="Calibri"/>
                <w:sz w:val="18"/>
                <w:szCs w:val="18"/>
                <w:color w:val="51555C"/>
                <w:w w:val="97"/>
              </w:rPr>
              <w:t>6,887</w:t>
            </w:r>
          </w:p>
        </w:tc>
        <w:tc>
          <w:tcPr>
            <w:tcW w:w="500" w:type="dxa"/>
            <w:vAlign w:val="bottom"/>
            <w:tcBorders>
              <w:top w:val="single" w:sz="8" w:color="51555C"/>
            </w:tcBorders>
          </w:tcPr>
          <w:p>
            <w:pPr>
              <w:jc w:val="right"/>
              <w:ind w:right="310"/>
              <w:spacing w:after="0" w:line="213" w:lineRule="exact"/>
              <w:rPr>
                <w:sz w:val="20"/>
                <w:szCs w:val="20"/>
                <w:color w:val="auto"/>
              </w:rPr>
            </w:pPr>
            <w:r>
              <w:rPr>
                <w:rFonts w:ascii="Calibri" w:cs="Calibri" w:eastAsia="Calibri" w:hAnsi="Calibri"/>
                <w:sz w:val="18"/>
                <w:szCs w:val="18"/>
                <w:color w:val="51555C"/>
                <w:w w:val="87"/>
              </w:rPr>
              <w:t>$</w:t>
            </w:r>
          </w:p>
        </w:tc>
        <w:tc>
          <w:tcPr>
            <w:tcW w:w="920" w:type="dxa"/>
            <w:vAlign w:val="bottom"/>
            <w:tcBorders>
              <w:top w:val="single" w:sz="8" w:color="51555C"/>
            </w:tcBorders>
          </w:tcPr>
          <w:p>
            <w:pPr>
              <w:jc w:val="center"/>
              <w:ind w:left="314"/>
              <w:spacing w:after="0" w:line="213" w:lineRule="exact"/>
              <w:rPr>
                <w:sz w:val="20"/>
                <w:szCs w:val="20"/>
                <w:color w:val="auto"/>
              </w:rPr>
            </w:pPr>
            <w:r>
              <w:rPr>
                <w:rFonts w:ascii="Calibri" w:cs="Calibri" w:eastAsia="Calibri" w:hAnsi="Calibri"/>
                <w:sz w:val="18"/>
                <w:szCs w:val="18"/>
                <w:color w:val="51555C"/>
                <w:w w:val="97"/>
              </w:rPr>
              <w:t>8,408</w:t>
            </w:r>
          </w:p>
        </w:tc>
        <w:tc>
          <w:tcPr>
            <w:tcW w:w="360" w:type="dxa"/>
            <w:vAlign w:val="bottom"/>
            <w:tcBorders>
              <w:top w:val="single" w:sz="8" w:color="51555C"/>
            </w:tcBorders>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10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10,598</w:t>
            </w:r>
          </w:p>
        </w:tc>
        <w:tc>
          <w:tcPr>
            <w:tcW w:w="20" w:type="dxa"/>
            <w:vAlign w:val="bottom"/>
          </w:tcPr>
          <w:p>
            <w:pPr>
              <w:spacing w:after="0"/>
              <w:rPr>
                <w:sz w:val="18"/>
                <w:szCs w:val="18"/>
                <w:color w:val="auto"/>
              </w:rPr>
            </w:pPr>
          </w:p>
        </w:tc>
      </w:tr>
      <w:tr>
        <w:trPr>
          <w:trHeight w:val="51"/>
        </w:trPr>
        <w:tc>
          <w:tcPr>
            <w:tcW w:w="6940" w:type="dxa"/>
            <w:vAlign w:val="bottom"/>
            <w:tcBorders>
              <w:bottom w:val="single" w:sz="8" w:color="0CD973"/>
            </w:tcBorders>
          </w:tcPr>
          <w:p>
            <w:pPr>
              <w:spacing w:after="0"/>
              <w:rPr>
                <w:sz w:val="4"/>
                <w:szCs w:val="4"/>
                <w:color w:val="auto"/>
              </w:rPr>
            </w:pPr>
          </w:p>
        </w:tc>
        <w:tc>
          <w:tcPr>
            <w:tcW w:w="520" w:type="dxa"/>
            <w:vAlign w:val="bottom"/>
            <w:tcBorders>
              <w:bottom w:val="single" w:sz="8" w:color="0CD973"/>
            </w:tcBorders>
          </w:tcPr>
          <w:p>
            <w:pPr>
              <w:spacing w:after="0"/>
              <w:rPr>
                <w:sz w:val="4"/>
                <w:szCs w:val="4"/>
                <w:color w:val="auto"/>
              </w:rPr>
            </w:pPr>
          </w:p>
        </w:tc>
        <w:tc>
          <w:tcPr>
            <w:tcW w:w="920" w:type="dxa"/>
            <w:vAlign w:val="bottom"/>
            <w:tcBorders>
              <w:bottom w:val="single" w:sz="8" w:color="0CD973"/>
            </w:tcBorders>
          </w:tcPr>
          <w:p>
            <w:pPr>
              <w:spacing w:after="0"/>
              <w:rPr>
                <w:sz w:val="4"/>
                <w:szCs w:val="4"/>
                <w:color w:val="auto"/>
              </w:rPr>
            </w:pPr>
          </w:p>
        </w:tc>
        <w:tc>
          <w:tcPr>
            <w:tcW w:w="500" w:type="dxa"/>
            <w:vAlign w:val="bottom"/>
            <w:tcBorders>
              <w:bottom w:val="single" w:sz="8" w:color="0CD973"/>
            </w:tcBorders>
          </w:tcPr>
          <w:p>
            <w:pPr>
              <w:spacing w:after="0"/>
              <w:rPr>
                <w:sz w:val="4"/>
                <w:szCs w:val="4"/>
                <w:color w:val="auto"/>
              </w:rPr>
            </w:pPr>
          </w:p>
        </w:tc>
        <w:tc>
          <w:tcPr>
            <w:tcW w:w="920" w:type="dxa"/>
            <w:vAlign w:val="bottom"/>
            <w:tcBorders>
              <w:bottom w:val="single" w:sz="8" w:color="0CD973"/>
            </w:tcBorders>
          </w:tcPr>
          <w:p>
            <w:pPr>
              <w:spacing w:after="0"/>
              <w:rPr>
                <w:sz w:val="4"/>
                <w:szCs w:val="4"/>
                <w:color w:val="auto"/>
              </w:rPr>
            </w:pPr>
          </w:p>
        </w:tc>
        <w:tc>
          <w:tcPr>
            <w:tcW w:w="360" w:type="dxa"/>
            <w:vAlign w:val="bottom"/>
            <w:tcBorders>
              <w:bottom w:val="single" w:sz="8" w:color="0CD973"/>
            </w:tcBorders>
          </w:tcPr>
          <w:p>
            <w:pPr>
              <w:spacing w:after="0"/>
              <w:rPr>
                <w:sz w:val="4"/>
                <w:szCs w:val="4"/>
                <w:color w:val="auto"/>
              </w:rPr>
            </w:pPr>
          </w:p>
        </w:tc>
        <w:tc>
          <w:tcPr>
            <w:tcW w:w="10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-899795</wp:posOffset>
            </wp:positionV>
            <wp:extent cx="273431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54"/>
        </w:numPr>
        <w:rPr>
          <w:rFonts w:ascii="Calibri" w:cs="Calibri" w:eastAsia="Calibri" w:hAnsi="Calibri"/>
          <w:sz w:val="14"/>
          <w:szCs w:val="14"/>
          <w:color w:val="51555C"/>
        </w:rPr>
      </w:pPr>
      <w:r>
        <w:rPr>
          <w:rFonts w:ascii="Calibri" w:cs="Calibri" w:eastAsia="Calibri" w:hAnsi="Calibri"/>
          <w:sz w:val="14"/>
          <w:szCs w:val="14"/>
          <w:color w:val="51555C"/>
        </w:rPr>
        <w:t>Includes short-term lease costs, which were immaterial.</w:t>
      </w:r>
    </w:p>
    <w:p>
      <w:pPr>
        <w:spacing w:after="0" w:line="16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During the year ended December 31, 2023, we recorded noncash impairment charges of $5.6 million against certain operatng lease ROU assets. These impairment charges resulted primarily from our entry into a sublease in July 2023 for a porton of our Washington, DC ofce locaton, which we previously closed in February 2023 to align with our remote-frst workforce strategy and are refected in general and administratve expense on the statements of comprehensive income.</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During the year ended December 31, 2022, we recorded noncash impairment charges of $1.0 million against certain operatng lease ROU assets resultng primarily from our decision to cease using a porton of our leased ofce space. These charges are refected in general and administratve expense on the statements of comprehensive income.</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October 2021, we made the decision to permanently close our fxed ofce locatons (with the excepton of our global headquarters facility in Charleston, South Carolina), efectve in December 2021. This change was intended to align our real estate footprint with our transiton to a remote-frst workforce. We enter into arrangements for smaller more fexible workspaces where necessary. As a result, during the twelve months ended December 31, 2021, we reduced the estmated useful lives of our operatng lease ROU assets for certain of our ofce locatons we expected to exit. We recorded $5.3 million in incremental operatng lease costs during 2021 related to this change in accountng estmate. For these same ofce locatons, we also reduced the estmated useful lives of certain facilites-related fxed assets, which resulted in incremental depreciaton expense of $1.7 million during 2021 (see Note 7 to these consolidated fnancial statements). During the twelve months ended December 31, 2021, we also recorded $3.6 million in impairments of operatng lease ROU assets associated with certain leased ofce spaces we have ceased using as a result of our adjusted workforce strategy. These impairment charges are refected in general and administratve expense.</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color w:val="51555C"/>
        </w:rPr>
        <w:t>Maturites of our operatng lease liabilites as of December 31, 2023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Years ending December 31,</w:t>
            </w:r>
          </w:p>
        </w:tc>
        <w:tc>
          <w:tcPr>
            <w:tcW w:w="280" w:type="dxa"/>
            <w:vAlign w:val="bottom"/>
            <w:shd w:val="clear" w:color="auto" w:fill="004054"/>
          </w:tcPr>
          <w:p>
            <w:pPr>
              <w:spacing w:after="0"/>
              <w:rPr>
                <w:sz w:val="16"/>
                <w:szCs w:val="16"/>
                <w:color w:val="auto"/>
              </w:rPr>
            </w:pPr>
          </w:p>
        </w:tc>
        <w:tc>
          <w:tcPr>
            <w:tcW w:w="116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170"/>
        </w:trPr>
        <w:tc>
          <w:tcPr>
            <w:tcW w:w="98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80" w:type="dxa"/>
            <w:vAlign w:val="bottom"/>
            <w:shd w:val="clear" w:color="auto" w:fill="004054"/>
          </w:tcPr>
          <w:p>
            <w:pPr>
              <w:spacing w:after="0"/>
              <w:rPr>
                <w:sz w:val="14"/>
                <w:szCs w:val="14"/>
                <w:color w:val="auto"/>
              </w:rPr>
            </w:pPr>
          </w:p>
        </w:tc>
        <w:tc>
          <w:tcPr>
            <w:tcW w:w="11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Operatng leases</w:t>
            </w:r>
          </w:p>
        </w:tc>
        <w:tc>
          <w:tcPr>
            <w:tcW w:w="20" w:type="dxa"/>
            <w:vAlign w:val="bottom"/>
            <w:shd w:val="clear" w:color="auto" w:fill="004054"/>
          </w:tcPr>
          <w:p>
            <w:pPr>
              <w:spacing w:after="0"/>
              <w:rPr>
                <w:sz w:val="14"/>
                <w:szCs w:val="14"/>
                <w:color w:val="auto"/>
              </w:rPr>
            </w:pPr>
          </w:p>
        </w:tc>
      </w:tr>
      <w:tr>
        <w:trPr>
          <w:trHeight w:val="74"/>
        </w:trPr>
        <w:tc>
          <w:tcPr>
            <w:tcW w:w="980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1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9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2024</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rPr>
              <w:t>$</w:t>
            </w: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8,662</w:t>
            </w:r>
          </w:p>
        </w:tc>
        <w:tc>
          <w:tcPr>
            <w:tcW w:w="20" w:type="dxa"/>
            <w:vAlign w:val="bottom"/>
          </w:tcPr>
          <w:p>
            <w:pPr>
              <w:spacing w:after="0"/>
              <w:rPr>
                <w:sz w:val="21"/>
                <w:szCs w:val="21"/>
                <w:color w:val="auto"/>
              </w:rPr>
            </w:pPr>
          </w:p>
        </w:tc>
      </w:tr>
      <w:tr>
        <w:trPr>
          <w:trHeight w:val="220"/>
        </w:trPr>
        <w:tc>
          <w:tcPr>
            <w:tcW w:w="9800" w:type="dxa"/>
            <w:vAlign w:val="bottom"/>
          </w:tcPr>
          <w:p>
            <w:pPr>
              <w:ind w:left="20"/>
              <w:spacing w:after="0"/>
              <w:rPr>
                <w:sz w:val="20"/>
                <w:szCs w:val="20"/>
                <w:color w:val="auto"/>
              </w:rPr>
            </w:pPr>
            <w:r>
              <w:rPr>
                <w:rFonts w:ascii="Calibri" w:cs="Calibri" w:eastAsia="Calibri" w:hAnsi="Calibri"/>
                <w:sz w:val="18"/>
                <w:szCs w:val="18"/>
                <w:color w:val="51555C"/>
              </w:rPr>
              <w:t>2025</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7,703</w:t>
            </w:r>
          </w:p>
        </w:tc>
        <w:tc>
          <w:tcPr>
            <w:tcW w:w="20" w:type="dxa"/>
            <w:vAlign w:val="bottom"/>
          </w:tcPr>
          <w:p>
            <w:pPr>
              <w:spacing w:after="0"/>
              <w:rPr>
                <w:sz w:val="19"/>
                <w:szCs w:val="19"/>
                <w:color w:val="auto"/>
              </w:rPr>
            </w:pPr>
          </w:p>
        </w:tc>
      </w:tr>
      <w:tr>
        <w:trPr>
          <w:trHeight w:val="50"/>
        </w:trPr>
        <w:tc>
          <w:tcPr>
            <w:tcW w:w="9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2026</w:t>
            </w:r>
          </w:p>
        </w:tc>
        <w:tc>
          <w:tcPr>
            <w:tcW w:w="2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6,107</w:t>
            </w:r>
          </w:p>
        </w:tc>
        <w:tc>
          <w:tcPr>
            <w:tcW w:w="20" w:type="dxa"/>
            <w:vAlign w:val="bottom"/>
          </w:tcPr>
          <w:p>
            <w:pPr>
              <w:spacing w:after="0"/>
              <w:rPr>
                <w:sz w:val="21"/>
                <w:szCs w:val="21"/>
                <w:color w:val="auto"/>
              </w:rPr>
            </w:pPr>
          </w:p>
        </w:tc>
      </w:tr>
      <w:tr>
        <w:trPr>
          <w:trHeight w:val="220"/>
        </w:trPr>
        <w:tc>
          <w:tcPr>
            <w:tcW w:w="9800" w:type="dxa"/>
            <w:vAlign w:val="bottom"/>
          </w:tcPr>
          <w:p>
            <w:pPr>
              <w:ind w:left="20"/>
              <w:spacing w:after="0"/>
              <w:rPr>
                <w:sz w:val="20"/>
                <w:szCs w:val="20"/>
                <w:color w:val="auto"/>
              </w:rPr>
            </w:pPr>
            <w:r>
              <w:rPr>
                <w:rFonts w:ascii="Calibri" w:cs="Calibri" w:eastAsia="Calibri" w:hAnsi="Calibri"/>
                <w:sz w:val="18"/>
                <w:szCs w:val="18"/>
                <w:color w:val="51555C"/>
              </w:rPr>
              <w:t>2027</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6,207</w:t>
            </w:r>
          </w:p>
        </w:tc>
        <w:tc>
          <w:tcPr>
            <w:tcW w:w="20" w:type="dxa"/>
            <w:vAlign w:val="bottom"/>
          </w:tcPr>
          <w:p>
            <w:pPr>
              <w:spacing w:after="0"/>
              <w:rPr>
                <w:sz w:val="19"/>
                <w:szCs w:val="19"/>
                <w:color w:val="auto"/>
              </w:rPr>
            </w:pPr>
          </w:p>
        </w:tc>
      </w:tr>
      <w:tr>
        <w:trPr>
          <w:trHeight w:val="50"/>
        </w:trPr>
        <w:tc>
          <w:tcPr>
            <w:tcW w:w="9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2028</w:t>
            </w:r>
          </w:p>
        </w:tc>
        <w:tc>
          <w:tcPr>
            <w:tcW w:w="2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6,101</w:t>
            </w:r>
          </w:p>
        </w:tc>
        <w:tc>
          <w:tcPr>
            <w:tcW w:w="20" w:type="dxa"/>
            <w:vAlign w:val="bottom"/>
          </w:tcPr>
          <w:p>
            <w:pPr>
              <w:spacing w:after="0"/>
              <w:rPr>
                <w:sz w:val="21"/>
                <w:szCs w:val="21"/>
                <w:color w:val="auto"/>
              </w:rPr>
            </w:pPr>
          </w:p>
        </w:tc>
      </w:tr>
      <w:tr>
        <w:trPr>
          <w:trHeight w:val="220"/>
        </w:trPr>
        <w:tc>
          <w:tcPr>
            <w:tcW w:w="9800" w:type="dxa"/>
            <w:vAlign w:val="bottom"/>
          </w:tcPr>
          <w:p>
            <w:pPr>
              <w:ind w:left="20"/>
              <w:spacing w:after="0"/>
              <w:rPr>
                <w:sz w:val="20"/>
                <w:szCs w:val="20"/>
                <w:color w:val="auto"/>
              </w:rPr>
            </w:pPr>
            <w:r>
              <w:rPr>
                <w:rFonts w:ascii="Calibri" w:cs="Calibri" w:eastAsia="Calibri" w:hAnsi="Calibri"/>
                <w:sz w:val="18"/>
                <w:szCs w:val="18"/>
                <w:color w:val="51555C"/>
              </w:rPr>
              <w:t>Thereafer</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20,689</w:t>
            </w:r>
          </w:p>
        </w:tc>
        <w:tc>
          <w:tcPr>
            <w:tcW w:w="20" w:type="dxa"/>
            <w:vAlign w:val="bottom"/>
          </w:tcPr>
          <w:p>
            <w:pPr>
              <w:spacing w:after="0"/>
              <w:rPr>
                <w:sz w:val="19"/>
                <w:szCs w:val="19"/>
                <w:color w:val="auto"/>
              </w:rPr>
            </w:pPr>
          </w:p>
        </w:tc>
      </w:tr>
      <w:tr>
        <w:trPr>
          <w:trHeight w:val="50"/>
        </w:trPr>
        <w:tc>
          <w:tcPr>
            <w:tcW w:w="9800" w:type="dxa"/>
            <w:vAlign w:val="bottom"/>
            <w:tcBorders>
              <w:bottom w:val="single" w:sz="8" w:color="EBFBFF"/>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1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9800" w:type="dxa"/>
            <w:vAlign w:val="bottom"/>
            <w:tcBorders>
              <w:bottom w:val="single" w:sz="8" w:color="EBFBFF"/>
            </w:tcBorders>
            <w:shd w:val="clear" w:color="auto" w:fill="EBFBFF"/>
          </w:tcPr>
          <w:p>
            <w:pPr>
              <w:ind w:left="140"/>
              <w:spacing w:after="0" w:line="213" w:lineRule="exact"/>
              <w:rPr>
                <w:sz w:val="20"/>
                <w:szCs w:val="20"/>
                <w:color w:val="auto"/>
              </w:rPr>
            </w:pPr>
            <w:r>
              <w:rPr>
                <w:rFonts w:ascii="Calibri" w:cs="Calibri" w:eastAsia="Calibri" w:hAnsi="Calibri"/>
                <w:sz w:val="18"/>
                <w:szCs w:val="18"/>
                <w:color w:val="51555C"/>
              </w:rPr>
              <w:t>Total lease payments</w:t>
            </w:r>
          </w:p>
        </w:tc>
        <w:tc>
          <w:tcPr>
            <w:tcW w:w="2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55,469</w:t>
            </w:r>
          </w:p>
        </w:tc>
        <w:tc>
          <w:tcPr>
            <w:tcW w:w="20" w:type="dxa"/>
            <w:vAlign w:val="bottom"/>
          </w:tcPr>
          <w:p>
            <w:pPr>
              <w:spacing w:after="0"/>
              <w:rPr>
                <w:sz w:val="21"/>
                <w:szCs w:val="21"/>
                <w:color w:val="auto"/>
              </w:rPr>
            </w:pPr>
          </w:p>
        </w:tc>
      </w:tr>
      <w:tr>
        <w:trPr>
          <w:trHeight w:val="220"/>
        </w:trPr>
        <w:tc>
          <w:tcPr>
            <w:tcW w:w="9800" w:type="dxa"/>
            <w:vAlign w:val="bottom"/>
          </w:tcPr>
          <w:p>
            <w:pPr>
              <w:ind w:left="20"/>
              <w:spacing w:after="0"/>
              <w:rPr>
                <w:sz w:val="20"/>
                <w:szCs w:val="20"/>
                <w:color w:val="auto"/>
              </w:rPr>
            </w:pPr>
            <w:r>
              <w:rPr>
                <w:rFonts w:ascii="Calibri" w:cs="Calibri" w:eastAsia="Calibri" w:hAnsi="Calibri"/>
                <w:sz w:val="18"/>
                <w:szCs w:val="18"/>
                <w:color w:val="51555C"/>
              </w:rPr>
              <w:t>Less: Amount representng interest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Calibri" w:cs="Calibri" w:eastAsia="Calibri" w:hAnsi="Calibri"/>
                <w:sz w:val="18"/>
                <w:szCs w:val="18"/>
                <w:color w:val="51555C"/>
              </w:rPr>
              <w:t>8,683</w:t>
            </w:r>
          </w:p>
        </w:tc>
        <w:tc>
          <w:tcPr>
            <w:tcW w:w="20" w:type="dxa"/>
            <w:vAlign w:val="bottom"/>
          </w:tcPr>
          <w:p>
            <w:pPr>
              <w:spacing w:after="0"/>
              <w:rPr>
                <w:sz w:val="19"/>
                <w:szCs w:val="19"/>
                <w:color w:val="auto"/>
              </w:rPr>
            </w:pPr>
          </w:p>
        </w:tc>
      </w:tr>
      <w:tr>
        <w:trPr>
          <w:trHeight w:val="50"/>
        </w:trPr>
        <w:tc>
          <w:tcPr>
            <w:tcW w:w="9800" w:type="dxa"/>
            <w:vAlign w:val="bottom"/>
            <w:tcBorders>
              <w:bottom w:val="single" w:sz="8" w:color="EBFBFF"/>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11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980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color w:val="51555C"/>
              </w:rPr>
              <w:t>Present value of future payments</w:t>
            </w:r>
          </w:p>
        </w:tc>
        <w:tc>
          <w:tcPr>
            <w:tcW w:w="280" w:type="dxa"/>
            <w:vAlign w:val="bottom"/>
            <w:tcBorders>
              <w:bottom w:val="single" w:sz="8" w:color="EBFBFF"/>
            </w:tcBorders>
            <w:shd w:val="clear" w:color="auto" w:fill="EBFBFF"/>
          </w:tcPr>
          <w:p>
            <w:pPr>
              <w:jc w:val="right"/>
              <w:ind w:right="70"/>
              <w:spacing w:after="0" w:line="213" w:lineRule="exact"/>
              <w:rPr>
                <w:sz w:val="20"/>
                <w:szCs w:val="20"/>
                <w:color w:val="auto"/>
              </w:rPr>
            </w:pPr>
            <w:r>
              <w:rPr>
                <w:rFonts w:ascii="Calibri" w:cs="Calibri" w:eastAsia="Calibri" w:hAnsi="Calibri"/>
                <w:sz w:val="18"/>
                <w:szCs w:val="18"/>
                <w:color w:val="51555C"/>
              </w:rPr>
              <w:t>$</w:t>
            </w:r>
          </w:p>
        </w:tc>
        <w:tc>
          <w:tcPr>
            <w:tcW w:w="11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46,786</w:t>
            </w:r>
          </w:p>
        </w:tc>
        <w:tc>
          <w:tcPr>
            <w:tcW w:w="20" w:type="dxa"/>
            <w:vAlign w:val="bottom"/>
          </w:tcPr>
          <w:p>
            <w:pPr>
              <w:spacing w:after="0"/>
              <w:rPr>
                <w:sz w:val="22"/>
                <w:szCs w:val="22"/>
                <w:color w:val="auto"/>
              </w:rPr>
            </w:pPr>
          </w:p>
        </w:tc>
      </w:tr>
      <w:tr>
        <w:trPr>
          <w:trHeight w:val="662"/>
        </w:trPr>
        <w:tc>
          <w:tcPr>
            <w:tcW w:w="9800" w:type="dxa"/>
            <w:vAlign w:val="bottom"/>
            <w:tcBorders>
              <w:top w:val="single" w:sz="8" w:color="0CD973"/>
            </w:tcBorders>
          </w:tcPr>
          <w:p>
            <w:pPr>
              <w:ind w:left="8540"/>
              <w:spacing w:after="0"/>
              <w:rPr>
                <w:sz w:val="20"/>
                <w:szCs w:val="20"/>
                <w:color w:val="auto"/>
              </w:rPr>
            </w:pPr>
            <w:r>
              <w:rPr>
                <w:rFonts w:ascii="Calibri" w:cs="Calibri" w:eastAsia="Calibri" w:hAnsi="Calibri"/>
                <w:sz w:val="14"/>
                <w:szCs w:val="14"/>
                <w:color w:val="51555C"/>
              </w:rPr>
              <w:t>2023 Form 10-K</w:t>
            </w:r>
          </w:p>
        </w:tc>
        <w:tc>
          <w:tcPr>
            <w:tcW w:w="280" w:type="dxa"/>
            <w:vAlign w:val="bottom"/>
            <w:tcBorders>
              <w:top w:val="single" w:sz="8" w:color="0CD973"/>
            </w:tcBorders>
          </w:tcPr>
          <w:p>
            <w:pPr>
              <w:spacing w:after="0"/>
              <w:rPr>
                <w:sz w:val="24"/>
                <w:szCs w:val="24"/>
                <w:color w:val="auto"/>
              </w:rPr>
            </w:pPr>
          </w:p>
        </w:tc>
        <w:tc>
          <w:tcPr>
            <w:tcW w:w="1160" w:type="dxa"/>
            <w:vAlign w:val="bottom"/>
            <w:tcBorders>
              <w:top w:val="single" w:sz="8" w:color="0CD973"/>
            </w:tcBorders>
          </w:tcPr>
          <w:p>
            <w:pPr>
              <w:jc w:val="right"/>
              <w:spacing w:after="0"/>
              <w:rPr>
                <w:sz w:val="20"/>
                <w:szCs w:val="20"/>
                <w:color w:val="auto"/>
              </w:rPr>
            </w:pPr>
            <w:r>
              <w:rPr>
                <w:rFonts w:ascii="Calibri" w:cs="Calibri" w:eastAsia="Calibri" w:hAnsi="Calibri"/>
                <w:sz w:val="14"/>
                <w:szCs w:val="14"/>
                <w:color w:val="51555C"/>
              </w:rPr>
              <w:t>95</w:t>
            </w:r>
          </w:p>
        </w:tc>
        <w:tc>
          <w:tcPr>
            <w:tcW w:w="20" w:type="dxa"/>
            <w:vAlign w:val="bottom"/>
          </w:tcPr>
          <w:p>
            <w:pPr>
              <w:spacing w:after="0"/>
              <w:rPr>
                <w:sz w:val="24"/>
                <w:szCs w:val="24"/>
                <w:color w:val="auto"/>
              </w:rPr>
            </w:pPr>
          </w:p>
        </w:tc>
      </w:tr>
      <w:tr>
        <w:trPr>
          <w:trHeight w:val="351"/>
        </w:trPr>
        <w:tc>
          <w:tcPr>
            <w:tcW w:w="9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Our ROU assets and lease liabilites are included in the following line items in our consolidated balance sheet: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shd w:val="clear" w:color="auto" w:fill="004054"/>
          </w:tcPr>
          <w:p>
            <w:pPr>
              <w:spacing w:after="0"/>
              <w:rPr>
                <w:sz w:val="16"/>
                <w:szCs w:val="16"/>
                <w:color w:val="auto"/>
              </w:rPr>
            </w:pPr>
          </w:p>
        </w:tc>
        <w:tc>
          <w:tcPr>
            <w:tcW w:w="540" w:type="dxa"/>
            <w:vAlign w:val="bottom"/>
            <w:shd w:val="clear" w:color="auto" w:fill="004054"/>
          </w:tcPr>
          <w:p>
            <w:pPr>
              <w:spacing w:after="0"/>
              <w:rPr>
                <w:sz w:val="16"/>
                <w:szCs w:val="16"/>
                <w:color w:val="auto"/>
              </w:rPr>
            </w:pPr>
          </w:p>
        </w:tc>
        <w:tc>
          <w:tcPr>
            <w:tcW w:w="118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360" w:type="dxa"/>
            <w:vAlign w:val="bottom"/>
            <w:shd w:val="clear" w:color="auto" w:fill="004054"/>
          </w:tcPr>
          <w:p>
            <w:pPr>
              <w:spacing w:after="0"/>
              <w:rPr>
                <w:sz w:val="16"/>
                <w:szCs w:val="16"/>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66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40" w:type="dxa"/>
            <w:vAlign w:val="bottom"/>
            <w:shd w:val="clear" w:color="auto" w:fill="004054"/>
          </w:tcPr>
          <w:p>
            <w:pPr>
              <w:spacing w:after="0"/>
              <w:rPr>
                <w:sz w:val="14"/>
                <w:szCs w:val="14"/>
                <w:color w:val="auto"/>
              </w:rPr>
            </w:pPr>
          </w:p>
        </w:tc>
        <w:tc>
          <w:tcPr>
            <w:tcW w:w="1180" w:type="dxa"/>
            <w:vAlign w:val="bottom"/>
            <w:shd w:val="clear" w:color="auto" w:fill="004054"/>
          </w:tcPr>
          <w:p>
            <w:pPr>
              <w:spacing w:after="0"/>
              <w:rPr>
                <w:sz w:val="14"/>
                <w:szCs w:val="14"/>
                <w:color w:val="auto"/>
              </w:rPr>
            </w:pPr>
          </w:p>
        </w:tc>
        <w:tc>
          <w:tcPr>
            <w:tcW w:w="30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60" w:type="dxa"/>
            <w:vAlign w:val="bottom"/>
            <w:shd w:val="clear" w:color="auto" w:fill="004054"/>
          </w:tcPr>
          <w:p>
            <w:pPr>
              <w:spacing w:after="0"/>
              <w:rPr>
                <w:sz w:val="14"/>
                <w:szCs w:val="14"/>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14"/>
                <w:szCs w:val="14"/>
                <w:color w:val="auto"/>
              </w:rPr>
            </w:pPr>
          </w:p>
        </w:tc>
      </w:tr>
      <w:tr>
        <w:trPr>
          <w:trHeight w:val="74"/>
        </w:trPr>
        <w:tc>
          <w:tcPr>
            <w:tcW w:w="6660" w:type="dxa"/>
            <w:vAlign w:val="bottom"/>
            <w:shd w:val="clear" w:color="auto" w:fill="004054"/>
          </w:tcPr>
          <w:p>
            <w:pPr>
              <w:spacing w:after="0"/>
              <w:rPr>
                <w:sz w:val="6"/>
                <w:szCs w:val="6"/>
                <w:color w:val="auto"/>
              </w:rPr>
            </w:pPr>
          </w:p>
        </w:tc>
        <w:tc>
          <w:tcPr>
            <w:tcW w:w="54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Operatng leases</w:t>
            </w:r>
          </w:p>
        </w:tc>
        <w:tc>
          <w:tcPr>
            <w:tcW w:w="5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74"/>
        </w:trPr>
        <w:tc>
          <w:tcPr>
            <w:tcW w:w="6660" w:type="dxa"/>
            <w:vAlign w:val="bottom"/>
          </w:tcPr>
          <w:p>
            <w:pPr>
              <w:ind w:left="140"/>
              <w:spacing w:after="0"/>
              <w:rPr>
                <w:sz w:val="20"/>
                <w:szCs w:val="20"/>
                <w:color w:val="auto"/>
              </w:rPr>
            </w:pPr>
            <w:r>
              <w:rPr>
                <w:rFonts w:ascii="Calibri" w:cs="Calibri" w:eastAsia="Calibri" w:hAnsi="Calibri"/>
                <w:sz w:val="18"/>
                <w:szCs w:val="18"/>
                <w:color w:val="51555C"/>
              </w:rPr>
              <w:t>Operatng lease ROU assets</w:t>
            </w:r>
          </w:p>
        </w:tc>
        <w:tc>
          <w:tcPr>
            <w:tcW w:w="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51555C"/>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36,927</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45,899</w:t>
            </w:r>
          </w:p>
        </w:tc>
        <w:tc>
          <w:tcPr>
            <w:tcW w:w="20" w:type="dxa"/>
            <w:vAlign w:val="bottom"/>
          </w:tcPr>
          <w:p>
            <w:pPr>
              <w:spacing w:after="0"/>
              <w:rPr>
                <w:sz w:val="23"/>
                <w:szCs w:val="23"/>
                <w:color w:val="auto"/>
              </w:rPr>
            </w:pPr>
          </w:p>
        </w:tc>
      </w:tr>
      <w:tr>
        <w:trPr>
          <w:trHeight w:val="50"/>
        </w:trPr>
        <w:tc>
          <w:tcPr>
            <w:tcW w:w="6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660" w:type="dxa"/>
            <w:vAlign w:val="bottom"/>
            <w:shd w:val="clear" w:color="auto" w:fill="EBFBFF"/>
          </w:tcPr>
          <w:p>
            <w:pPr>
              <w:spacing w:after="0"/>
              <w:rPr>
                <w:sz w:val="23"/>
                <w:szCs w:val="23"/>
                <w:color w:val="auto"/>
              </w:rPr>
            </w:pPr>
          </w:p>
        </w:tc>
        <w:tc>
          <w:tcPr>
            <w:tcW w:w="540" w:type="dxa"/>
            <w:vAlign w:val="bottom"/>
            <w:shd w:val="clear" w:color="auto" w:fill="EBFBFF"/>
          </w:tcPr>
          <w:p>
            <w:pPr>
              <w:spacing w:after="0"/>
              <w:rPr>
                <w:sz w:val="23"/>
                <w:szCs w:val="23"/>
                <w:color w:val="auto"/>
              </w:rPr>
            </w:pPr>
          </w:p>
        </w:tc>
        <w:tc>
          <w:tcPr>
            <w:tcW w:w="1180" w:type="dxa"/>
            <w:vAlign w:val="bottom"/>
            <w:shd w:val="clear" w:color="auto" w:fill="EBFBFF"/>
          </w:tcPr>
          <w:p>
            <w:pPr>
              <w:spacing w:after="0"/>
              <w:rPr>
                <w:sz w:val="23"/>
                <w:szCs w:val="23"/>
                <w:color w:val="auto"/>
              </w:rPr>
            </w:pPr>
          </w:p>
        </w:tc>
        <w:tc>
          <w:tcPr>
            <w:tcW w:w="300" w:type="dxa"/>
            <w:vAlign w:val="bottom"/>
            <w:shd w:val="clear" w:color="auto" w:fill="EBFBFF"/>
          </w:tcPr>
          <w:p>
            <w:pPr>
              <w:spacing w:after="0"/>
              <w:rPr>
                <w:sz w:val="23"/>
                <w:szCs w:val="23"/>
                <w:color w:val="auto"/>
              </w:rPr>
            </w:pPr>
          </w:p>
        </w:tc>
        <w:tc>
          <w:tcPr>
            <w:tcW w:w="1120" w:type="dxa"/>
            <w:vAlign w:val="bottom"/>
            <w:shd w:val="clear" w:color="auto" w:fill="EBFBFF"/>
          </w:tcPr>
          <w:p>
            <w:pPr>
              <w:spacing w:after="0"/>
              <w:rPr>
                <w:sz w:val="23"/>
                <w:szCs w:val="23"/>
                <w:color w:val="auto"/>
              </w:rPr>
            </w:pPr>
          </w:p>
        </w:tc>
        <w:tc>
          <w:tcPr>
            <w:tcW w:w="36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20"/>
        </w:trPr>
        <w:tc>
          <w:tcPr>
            <w:tcW w:w="6660" w:type="dxa"/>
            <w:vAlign w:val="bottom"/>
          </w:tcPr>
          <w:p>
            <w:pPr>
              <w:ind w:left="140"/>
              <w:spacing w:after="0"/>
              <w:rPr>
                <w:sz w:val="20"/>
                <w:szCs w:val="20"/>
                <w:color w:val="auto"/>
              </w:rPr>
            </w:pPr>
            <w:r>
              <w:rPr>
                <w:rFonts w:ascii="Calibri" w:cs="Calibri" w:eastAsia="Calibri" w:hAnsi="Calibri"/>
                <w:sz w:val="18"/>
                <w:szCs w:val="18"/>
                <w:color w:val="51555C"/>
              </w:rPr>
              <w:t>Accrued expenses and other current liabilites</w:t>
            </w: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51555C"/>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6,701</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7,723</w:t>
            </w:r>
          </w:p>
        </w:tc>
        <w:tc>
          <w:tcPr>
            <w:tcW w:w="20" w:type="dxa"/>
            <w:vAlign w:val="bottom"/>
          </w:tcPr>
          <w:p>
            <w:pPr>
              <w:spacing w:after="0"/>
              <w:rPr>
                <w:sz w:val="19"/>
                <w:szCs w:val="19"/>
                <w:color w:val="auto"/>
              </w:rPr>
            </w:pPr>
          </w:p>
        </w:tc>
      </w:tr>
      <w:tr>
        <w:trPr>
          <w:trHeight w:val="50"/>
        </w:trPr>
        <w:tc>
          <w:tcPr>
            <w:tcW w:w="6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Operatng lease liabilites, net of current porton</w:t>
            </w:r>
          </w:p>
        </w:tc>
        <w:tc>
          <w:tcPr>
            <w:tcW w:w="5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spacing w:after="0"/>
              <w:rPr>
                <w:sz w:val="23"/>
                <w:szCs w:val="23"/>
                <w:color w:val="auto"/>
              </w:rPr>
            </w:pPr>
          </w:p>
        </w:tc>
        <w:tc>
          <w:tcPr>
            <w:tcW w:w="300" w:type="dxa"/>
            <w:vAlign w:val="bottom"/>
            <w:tcBorders>
              <w:bottom w:val="single" w:sz="8" w:color="EBFBFF"/>
            </w:tcBorders>
            <w:shd w:val="clear" w:color="auto" w:fill="EBFBFF"/>
          </w:tcPr>
          <w:p>
            <w:pPr>
              <w:spacing w:after="0"/>
              <w:rPr>
                <w:sz w:val="23"/>
                <w:szCs w:val="2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40,085</w:t>
            </w:r>
          </w:p>
        </w:tc>
        <w:tc>
          <w:tcPr>
            <w:tcW w:w="36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44,918</w:t>
            </w:r>
          </w:p>
        </w:tc>
        <w:tc>
          <w:tcPr>
            <w:tcW w:w="20" w:type="dxa"/>
            <w:vAlign w:val="bottom"/>
          </w:tcPr>
          <w:p>
            <w:pPr>
              <w:spacing w:after="0"/>
              <w:rPr>
                <w:sz w:val="23"/>
                <w:szCs w:val="23"/>
                <w:color w:val="auto"/>
              </w:rPr>
            </w:pPr>
          </w:p>
        </w:tc>
      </w:tr>
      <w:tr>
        <w:trPr>
          <w:trHeight w:val="213"/>
        </w:trPr>
        <w:tc>
          <w:tcPr>
            <w:tcW w:w="6660" w:type="dxa"/>
            <w:vAlign w:val="bottom"/>
          </w:tcPr>
          <w:p>
            <w:pPr>
              <w:ind w:left="240"/>
              <w:spacing w:after="0" w:line="213" w:lineRule="exact"/>
              <w:rPr>
                <w:sz w:val="20"/>
                <w:szCs w:val="20"/>
                <w:color w:val="auto"/>
              </w:rPr>
            </w:pPr>
            <w:r>
              <w:rPr>
                <w:rFonts w:ascii="Calibri" w:cs="Calibri" w:eastAsia="Calibri" w:hAnsi="Calibri"/>
                <w:sz w:val="18"/>
                <w:szCs w:val="18"/>
                <w:color w:val="51555C"/>
              </w:rPr>
              <w:t>Total operatng lease liabilites</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Borders>
              <w:top w:val="single" w:sz="8" w:color="51555C"/>
            </w:tcBorders>
          </w:tcPr>
          <w:p>
            <w:pPr>
              <w:jc w:val="right"/>
              <w:ind w:right="110"/>
              <w:spacing w:after="0" w:line="213" w:lineRule="exact"/>
              <w:rPr>
                <w:sz w:val="20"/>
                <w:szCs w:val="20"/>
                <w:color w:val="auto"/>
              </w:rPr>
            </w:pPr>
            <w:r>
              <w:rPr>
                <w:rFonts w:ascii="Calibri" w:cs="Calibri" w:eastAsia="Calibri" w:hAnsi="Calibri"/>
                <w:sz w:val="18"/>
                <w:szCs w:val="18"/>
                <w:color w:val="51555C"/>
                <w:w w:val="87"/>
              </w:rPr>
              <w:t>$</w:t>
            </w:r>
          </w:p>
        </w:tc>
        <w:tc>
          <w:tcPr>
            <w:tcW w:w="11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46,786</w:t>
            </w:r>
          </w:p>
        </w:tc>
        <w:tc>
          <w:tcPr>
            <w:tcW w:w="360" w:type="dxa"/>
            <w:vAlign w:val="bottom"/>
            <w:tcBorders>
              <w:top w:val="single" w:sz="8" w:color="51555C"/>
            </w:tcBorders>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10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52,641</w:t>
            </w:r>
          </w:p>
        </w:tc>
        <w:tc>
          <w:tcPr>
            <w:tcW w:w="20" w:type="dxa"/>
            <w:vAlign w:val="bottom"/>
          </w:tcPr>
          <w:p>
            <w:pPr>
              <w:spacing w:after="0"/>
              <w:rPr>
                <w:sz w:val="18"/>
                <w:szCs w:val="18"/>
                <w:color w:val="auto"/>
              </w:rPr>
            </w:pPr>
          </w:p>
        </w:tc>
      </w:tr>
      <w:tr>
        <w:trPr>
          <w:trHeight w:val="50"/>
        </w:trPr>
        <w:tc>
          <w:tcPr>
            <w:tcW w:w="6660" w:type="dxa"/>
            <w:vAlign w:val="bottom"/>
            <w:tcBorders>
              <w:bottom w:val="single" w:sz="8" w:color="0CD973"/>
            </w:tcBorders>
          </w:tcPr>
          <w:p>
            <w:pPr>
              <w:spacing w:after="0"/>
              <w:rPr>
                <w:sz w:val="4"/>
                <w:szCs w:val="4"/>
                <w:color w:val="auto"/>
              </w:rPr>
            </w:pPr>
          </w:p>
        </w:tc>
        <w:tc>
          <w:tcPr>
            <w:tcW w:w="540" w:type="dxa"/>
            <w:vAlign w:val="bottom"/>
            <w:tcBorders>
              <w:bottom w:val="single" w:sz="8" w:color="0CD973"/>
            </w:tcBorders>
          </w:tcPr>
          <w:p>
            <w:pPr>
              <w:spacing w:after="0"/>
              <w:rPr>
                <w:sz w:val="4"/>
                <w:szCs w:val="4"/>
                <w:color w:val="auto"/>
              </w:rPr>
            </w:pPr>
          </w:p>
        </w:tc>
        <w:tc>
          <w:tcPr>
            <w:tcW w:w="1180" w:type="dxa"/>
            <w:vAlign w:val="bottom"/>
            <w:tcBorders>
              <w:bottom w:val="single" w:sz="8" w:color="0CD973"/>
            </w:tcBorders>
          </w:tcPr>
          <w:p>
            <w:pPr>
              <w:spacing w:after="0"/>
              <w:rPr>
                <w:sz w:val="4"/>
                <w:szCs w:val="4"/>
                <w:color w:val="auto"/>
              </w:rPr>
            </w:pPr>
          </w:p>
        </w:tc>
        <w:tc>
          <w:tcPr>
            <w:tcW w:w="300" w:type="dxa"/>
            <w:vAlign w:val="bottom"/>
            <w:tcBorders>
              <w:bottom w:val="single" w:sz="8" w:color="0CD973"/>
            </w:tcBorders>
          </w:tcPr>
          <w:p>
            <w:pPr>
              <w:spacing w:after="0"/>
              <w:rPr>
                <w:sz w:val="4"/>
                <w:szCs w:val="4"/>
                <w:color w:val="auto"/>
              </w:rPr>
            </w:pPr>
          </w:p>
        </w:tc>
        <w:tc>
          <w:tcPr>
            <w:tcW w:w="1120" w:type="dxa"/>
            <w:vAlign w:val="bottom"/>
            <w:tcBorders>
              <w:bottom w:val="single" w:sz="8" w:color="0CD973"/>
            </w:tcBorders>
          </w:tcPr>
          <w:p>
            <w:pPr>
              <w:spacing w:after="0"/>
              <w:rPr>
                <w:sz w:val="4"/>
                <w:szCs w:val="4"/>
                <w:color w:val="auto"/>
              </w:rPr>
            </w:pPr>
          </w:p>
        </w:tc>
        <w:tc>
          <w:tcPr>
            <w:tcW w:w="360" w:type="dxa"/>
            <w:vAlign w:val="bottom"/>
            <w:tcBorders>
              <w:bottom w:val="single" w:sz="8" w:color="0CD973"/>
            </w:tcBorders>
          </w:tcPr>
          <w:p>
            <w:pPr>
              <w:spacing w:after="0"/>
              <w:rPr>
                <w:sz w:val="4"/>
                <w:szCs w:val="4"/>
                <w:color w:val="auto"/>
              </w:rPr>
            </w:pPr>
          </w:p>
        </w:tc>
        <w:tc>
          <w:tcPr>
            <w:tcW w:w="10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r>
        <w:trPr>
          <w:trHeight w:val="443"/>
        </w:trPr>
        <w:tc>
          <w:tcPr>
            <w:tcW w:w="6660" w:type="dxa"/>
            <w:vAlign w:val="bottom"/>
          </w:tcPr>
          <w:p>
            <w:pPr>
              <w:spacing w:after="0"/>
              <w:rPr>
                <w:sz w:val="20"/>
                <w:szCs w:val="20"/>
                <w:color w:val="auto"/>
              </w:rPr>
            </w:pPr>
            <w:r>
              <w:rPr>
                <w:rFonts w:ascii="Calibri" w:cs="Calibri" w:eastAsia="Calibri" w:hAnsi="Calibri"/>
                <w:sz w:val="18"/>
                <w:szCs w:val="18"/>
                <w:color w:val="51555C"/>
              </w:rPr>
              <w:t>The weighted average remaining lease terms and discount rates were as follows:</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6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5"/>
        </w:trPr>
        <w:tc>
          <w:tcPr>
            <w:tcW w:w="6660" w:type="dxa"/>
            <w:vAlign w:val="bottom"/>
            <w:shd w:val="clear" w:color="auto" w:fill="004054"/>
          </w:tcPr>
          <w:p>
            <w:pPr>
              <w:spacing w:after="0"/>
              <w:rPr>
                <w:sz w:val="15"/>
                <w:szCs w:val="15"/>
                <w:color w:val="auto"/>
              </w:rPr>
            </w:pPr>
          </w:p>
        </w:tc>
        <w:tc>
          <w:tcPr>
            <w:tcW w:w="540" w:type="dxa"/>
            <w:vAlign w:val="bottom"/>
            <w:shd w:val="clear" w:color="auto" w:fill="004054"/>
          </w:tcPr>
          <w:p>
            <w:pPr>
              <w:spacing w:after="0"/>
              <w:rPr>
                <w:sz w:val="15"/>
                <w:szCs w:val="15"/>
                <w:color w:val="auto"/>
              </w:rPr>
            </w:pPr>
          </w:p>
        </w:tc>
        <w:tc>
          <w:tcPr>
            <w:tcW w:w="1180" w:type="dxa"/>
            <w:vAlign w:val="bottom"/>
            <w:shd w:val="clear" w:color="auto" w:fill="004054"/>
          </w:tcPr>
          <w:p>
            <w:pPr>
              <w:jc w:val="right"/>
              <w:ind w:right="118"/>
              <w:spacing w:after="0"/>
              <w:rPr>
                <w:sz w:val="20"/>
                <w:szCs w:val="20"/>
                <w:color w:val="auto"/>
              </w:rPr>
            </w:pPr>
            <w:r>
              <w:rPr>
                <w:rFonts w:ascii="Calibri" w:cs="Calibri" w:eastAsia="Calibri" w:hAnsi="Calibri"/>
                <w:sz w:val="14"/>
                <w:szCs w:val="14"/>
                <w:b w:val="1"/>
                <w:bCs w:val="1"/>
                <w:color w:val="FFFFFF"/>
              </w:rPr>
              <w:t>December 31,</w:t>
            </w:r>
          </w:p>
        </w:tc>
        <w:tc>
          <w:tcPr>
            <w:tcW w:w="300" w:type="dxa"/>
            <w:vAlign w:val="bottom"/>
            <w:shd w:val="clear" w:color="auto" w:fill="004054"/>
          </w:tcPr>
          <w:p>
            <w:pPr>
              <w:spacing w:after="0"/>
              <w:rPr>
                <w:sz w:val="15"/>
                <w:szCs w:val="15"/>
                <w:color w:val="auto"/>
              </w:rPr>
            </w:pPr>
          </w:p>
        </w:tc>
        <w:tc>
          <w:tcPr>
            <w:tcW w:w="1120" w:type="dxa"/>
            <w:vAlign w:val="bottom"/>
            <w:shd w:val="clear" w:color="auto" w:fill="004054"/>
          </w:tcPr>
          <w:p>
            <w:pPr>
              <w:jc w:val="right"/>
              <w:ind w:right="17"/>
              <w:spacing w:after="0"/>
              <w:rPr>
                <w:sz w:val="20"/>
                <w:szCs w:val="20"/>
                <w:color w:val="auto"/>
              </w:rPr>
            </w:pPr>
            <w:r>
              <w:rPr>
                <w:rFonts w:ascii="Calibri" w:cs="Calibri" w:eastAsia="Calibri" w:hAnsi="Calibri"/>
                <w:sz w:val="14"/>
                <w:szCs w:val="14"/>
                <w:b w:val="1"/>
                <w:bCs w:val="1"/>
                <w:color w:val="FFFFFF"/>
              </w:rPr>
              <w:t>December 31,</w:t>
            </w:r>
          </w:p>
        </w:tc>
        <w:tc>
          <w:tcPr>
            <w:tcW w:w="36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5"/>
                <w:szCs w:val="15"/>
                <w:color w:val="auto"/>
              </w:rPr>
            </w:pPr>
          </w:p>
        </w:tc>
      </w:tr>
      <w:tr>
        <w:trPr>
          <w:trHeight w:val="183"/>
        </w:trPr>
        <w:tc>
          <w:tcPr>
            <w:tcW w:w="66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40" w:type="dxa"/>
            <w:vAlign w:val="bottom"/>
            <w:shd w:val="clear" w:color="auto" w:fill="004054"/>
          </w:tcPr>
          <w:p>
            <w:pPr>
              <w:spacing w:after="0"/>
              <w:rPr>
                <w:sz w:val="15"/>
                <w:szCs w:val="15"/>
                <w:color w:val="auto"/>
              </w:rPr>
            </w:pPr>
          </w:p>
        </w:tc>
        <w:tc>
          <w:tcPr>
            <w:tcW w:w="1180" w:type="dxa"/>
            <w:vAlign w:val="bottom"/>
            <w:shd w:val="clear" w:color="auto" w:fill="004054"/>
          </w:tcPr>
          <w:p>
            <w:pPr>
              <w:jc w:val="right"/>
              <w:ind w:right="118"/>
              <w:spacing w:after="0"/>
              <w:rPr>
                <w:sz w:val="20"/>
                <w:szCs w:val="20"/>
                <w:color w:val="auto"/>
              </w:rPr>
            </w:pPr>
            <w:r>
              <w:rPr>
                <w:rFonts w:ascii="Calibri" w:cs="Calibri" w:eastAsia="Calibri" w:hAnsi="Calibri"/>
                <w:sz w:val="14"/>
                <w:szCs w:val="14"/>
                <w:b w:val="1"/>
                <w:bCs w:val="1"/>
                <w:color w:val="FFFFFF"/>
              </w:rPr>
              <w:t>2023</w:t>
            </w:r>
          </w:p>
        </w:tc>
        <w:tc>
          <w:tcPr>
            <w:tcW w:w="300" w:type="dxa"/>
            <w:vAlign w:val="bottom"/>
            <w:shd w:val="clear" w:color="auto" w:fill="004054"/>
          </w:tcPr>
          <w:p>
            <w:pPr>
              <w:spacing w:after="0"/>
              <w:rPr>
                <w:sz w:val="15"/>
                <w:szCs w:val="15"/>
                <w:color w:val="auto"/>
              </w:rPr>
            </w:pPr>
          </w:p>
        </w:tc>
        <w:tc>
          <w:tcPr>
            <w:tcW w:w="1120" w:type="dxa"/>
            <w:vAlign w:val="bottom"/>
            <w:shd w:val="clear" w:color="auto" w:fill="004054"/>
          </w:tcPr>
          <w:p>
            <w:pPr>
              <w:jc w:val="right"/>
              <w:ind w:right="17"/>
              <w:spacing w:after="0"/>
              <w:rPr>
                <w:sz w:val="20"/>
                <w:szCs w:val="20"/>
                <w:color w:val="auto"/>
              </w:rPr>
            </w:pPr>
            <w:r>
              <w:rPr>
                <w:rFonts w:ascii="Calibri" w:cs="Calibri" w:eastAsia="Calibri" w:hAnsi="Calibri"/>
                <w:sz w:val="14"/>
                <w:szCs w:val="14"/>
                <w:b w:val="1"/>
                <w:bCs w:val="1"/>
                <w:color w:val="FFFFFF"/>
              </w:rPr>
              <w:t>2022</w:t>
            </w:r>
          </w:p>
        </w:tc>
        <w:tc>
          <w:tcPr>
            <w:tcW w:w="36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15"/>
                <w:szCs w:val="15"/>
                <w:color w:val="auto"/>
              </w:rPr>
            </w:pPr>
          </w:p>
        </w:tc>
      </w:tr>
      <w:tr>
        <w:trPr>
          <w:trHeight w:val="74"/>
        </w:trPr>
        <w:tc>
          <w:tcPr>
            <w:tcW w:w="6660" w:type="dxa"/>
            <w:vAlign w:val="bottom"/>
            <w:shd w:val="clear" w:color="auto" w:fill="004054"/>
          </w:tcPr>
          <w:p>
            <w:pPr>
              <w:spacing w:after="0"/>
              <w:rPr>
                <w:sz w:val="6"/>
                <w:szCs w:val="6"/>
                <w:color w:val="auto"/>
              </w:rPr>
            </w:pPr>
          </w:p>
        </w:tc>
        <w:tc>
          <w:tcPr>
            <w:tcW w:w="54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Operatng leases</w:t>
            </w:r>
          </w:p>
        </w:tc>
        <w:tc>
          <w:tcPr>
            <w:tcW w:w="5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19"/>
        </w:trPr>
        <w:tc>
          <w:tcPr>
            <w:tcW w:w="6660" w:type="dxa"/>
            <w:vAlign w:val="bottom"/>
          </w:tcPr>
          <w:p>
            <w:pPr>
              <w:ind w:left="140"/>
              <w:spacing w:after="0"/>
              <w:rPr>
                <w:sz w:val="20"/>
                <w:szCs w:val="20"/>
                <w:color w:val="auto"/>
              </w:rPr>
            </w:pPr>
            <w:r>
              <w:rPr>
                <w:rFonts w:ascii="Calibri" w:cs="Calibri" w:eastAsia="Calibri" w:hAnsi="Calibri"/>
                <w:sz w:val="18"/>
                <w:szCs w:val="18"/>
                <w:color w:val="51555C"/>
              </w:rPr>
              <w:t>Weighted average remaining lease term (years)</w:t>
            </w:r>
          </w:p>
        </w:tc>
        <w:tc>
          <w:tcPr>
            <w:tcW w:w="540" w:type="dxa"/>
            <w:vAlign w:val="bottom"/>
          </w:tcPr>
          <w:p>
            <w:pPr>
              <w:spacing w:after="0"/>
              <w:rPr>
                <w:sz w:val="19"/>
                <w:szCs w:val="19"/>
                <w:color w:val="auto"/>
              </w:rPr>
            </w:pPr>
          </w:p>
        </w:tc>
        <w:tc>
          <w:tcPr>
            <w:tcW w:w="1180" w:type="dxa"/>
            <w:vAlign w:val="bottom"/>
          </w:tcPr>
          <w:p>
            <w:pPr>
              <w:jc w:val="right"/>
              <w:ind w:right="118"/>
              <w:spacing w:after="0"/>
              <w:rPr>
                <w:sz w:val="20"/>
                <w:szCs w:val="20"/>
                <w:color w:val="auto"/>
              </w:rPr>
            </w:pPr>
            <w:r>
              <w:rPr>
                <w:rFonts w:ascii="Calibri" w:cs="Calibri" w:eastAsia="Calibri" w:hAnsi="Calibri"/>
                <w:sz w:val="18"/>
                <w:szCs w:val="18"/>
                <w:color w:val="51555C"/>
              </w:rPr>
              <w:t>7.7</w:t>
            </w:r>
          </w:p>
        </w:tc>
        <w:tc>
          <w:tcPr>
            <w:tcW w:w="30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Calibri" w:cs="Calibri" w:eastAsia="Calibri" w:hAnsi="Calibri"/>
                <w:sz w:val="18"/>
                <w:szCs w:val="18"/>
                <w:color w:val="51555C"/>
              </w:rPr>
              <w:t>8.5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8.9</w:t>
            </w:r>
          </w:p>
        </w:tc>
        <w:tc>
          <w:tcPr>
            <w:tcW w:w="20" w:type="dxa"/>
            <w:vAlign w:val="bottom"/>
          </w:tcPr>
          <w:p>
            <w:pPr>
              <w:spacing w:after="0"/>
              <w:rPr>
                <w:sz w:val="19"/>
                <w:szCs w:val="19"/>
                <w:color w:val="auto"/>
              </w:rPr>
            </w:pPr>
          </w:p>
        </w:tc>
      </w:tr>
      <w:tr>
        <w:trPr>
          <w:trHeight w:val="51"/>
        </w:trPr>
        <w:tc>
          <w:tcPr>
            <w:tcW w:w="6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5"/>
        </w:trPr>
        <w:tc>
          <w:tcPr>
            <w:tcW w:w="66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Weighted average discount rate</w:t>
            </w:r>
          </w:p>
        </w:tc>
        <w:tc>
          <w:tcPr>
            <w:tcW w:w="5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ind w:right="118"/>
              <w:spacing w:after="0"/>
              <w:rPr>
                <w:sz w:val="20"/>
                <w:szCs w:val="20"/>
                <w:color w:val="auto"/>
              </w:rPr>
            </w:pPr>
            <w:r>
              <w:rPr>
                <w:rFonts w:ascii="Calibri" w:cs="Calibri" w:eastAsia="Calibri" w:hAnsi="Calibri"/>
                <w:sz w:val="18"/>
                <w:szCs w:val="18"/>
                <w:color w:val="51555C"/>
              </w:rPr>
              <w:t>4.70 %</w:t>
            </w:r>
          </w:p>
        </w:tc>
        <w:tc>
          <w:tcPr>
            <w:tcW w:w="300" w:type="dxa"/>
            <w:vAlign w:val="bottom"/>
            <w:tcBorders>
              <w:bottom w:val="single" w:sz="8" w:color="EBFBFF"/>
            </w:tcBorders>
            <w:shd w:val="clear" w:color="auto" w:fill="EBFBFF"/>
          </w:tcPr>
          <w:p>
            <w:pPr>
              <w:spacing w:after="0"/>
              <w:rPr>
                <w:sz w:val="23"/>
                <w:szCs w:val="23"/>
                <w:color w:val="auto"/>
              </w:rPr>
            </w:pPr>
          </w:p>
        </w:tc>
        <w:tc>
          <w:tcPr>
            <w:tcW w:w="1120" w:type="dxa"/>
            <w:vAlign w:val="bottom"/>
            <w:tcBorders>
              <w:bottom w:val="single" w:sz="8" w:color="EBFBFF"/>
            </w:tcBorders>
            <w:shd w:val="clear" w:color="auto" w:fill="EBFBFF"/>
          </w:tcPr>
          <w:p>
            <w:pPr>
              <w:jc w:val="right"/>
              <w:ind w:right="17"/>
              <w:spacing w:after="0"/>
              <w:rPr>
                <w:sz w:val="20"/>
                <w:szCs w:val="20"/>
                <w:color w:val="auto"/>
              </w:rPr>
            </w:pPr>
            <w:r>
              <w:rPr>
                <w:rFonts w:ascii="Calibri" w:cs="Calibri" w:eastAsia="Calibri" w:hAnsi="Calibri"/>
                <w:sz w:val="18"/>
                <w:szCs w:val="18"/>
                <w:color w:val="51555C"/>
              </w:rPr>
              <w:t>4.63 %</w:t>
            </w:r>
          </w:p>
        </w:tc>
        <w:tc>
          <w:tcPr>
            <w:tcW w:w="36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4.68 %</w:t>
            </w:r>
          </w:p>
        </w:tc>
        <w:tc>
          <w:tcPr>
            <w:tcW w:w="20" w:type="dxa"/>
            <w:vAlign w:val="bottom"/>
          </w:tcPr>
          <w:p>
            <w:pPr>
              <w:spacing w:after="0"/>
              <w:rPr>
                <w:sz w:val="23"/>
                <w:szCs w:val="23"/>
                <w:color w:val="auto"/>
              </w:rPr>
            </w:pPr>
          </w:p>
        </w:tc>
      </w:tr>
      <w:tr>
        <w:trPr>
          <w:trHeight w:val="429"/>
        </w:trPr>
        <w:tc>
          <w:tcPr>
            <w:tcW w:w="6660" w:type="dxa"/>
            <w:vAlign w:val="bottom"/>
            <w:tcBorders>
              <w:top w:val="single" w:sz="8" w:color="0CD973"/>
            </w:tcBorders>
          </w:tcPr>
          <w:p>
            <w:pPr>
              <w:spacing w:after="0"/>
              <w:rPr>
                <w:sz w:val="20"/>
                <w:szCs w:val="20"/>
                <w:color w:val="auto"/>
              </w:rPr>
            </w:pPr>
            <w:r>
              <w:rPr>
                <w:rFonts w:ascii="Calibri" w:cs="Calibri" w:eastAsia="Calibri" w:hAnsi="Calibri"/>
                <w:sz w:val="18"/>
                <w:szCs w:val="18"/>
                <w:color w:val="51555C"/>
              </w:rPr>
              <w:t>Supplemental cash fow informaton related to leases was as follows:</w:t>
            </w:r>
          </w:p>
        </w:tc>
        <w:tc>
          <w:tcPr>
            <w:tcW w:w="540" w:type="dxa"/>
            <w:vAlign w:val="bottom"/>
            <w:tcBorders>
              <w:top w:val="single" w:sz="8" w:color="0CD973"/>
            </w:tcBorders>
          </w:tcPr>
          <w:p>
            <w:pPr>
              <w:spacing w:after="0"/>
              <w:rPr>
                <w:sz w:val="24"/>
                <w:szCs w:val="24"/>
                <w:color w:val="auto"/>
              </w:rPr>
            </w:pPr>
          </w:p>
        </w:tc>
        <w:tc>
          <w:tcPr>
            <w:tcW w:w="1180" w:type="dxa"/>
            <w:vAlign w:val="bottom"/>
            <w:tcBorders>
              <w:top w:val="single" w:sz="8" w:color="0CD973"/>
            </w:tcBorders>
          </w:tcPr>
          <w:p>
            <w:pPr>
              <w:spacing w:after="0"/>
              <w:rPr>
                <w:sz w:val="24"/>
                <w:szCs w:val="24"/>
                <w:color w:val="auto"/>
              </w:rPr>
            </w:pPr>
          </w:p>
        </w:tc>
        <w:tc>
          <w:tcPr>
            <w:tcW w:w="300" w:type="dxa"/>
            <w:vAlign w:val="bottom"/>
            <w:tcBorders>
              <w:top w:val="single" w:sz="8" w:color="0CD973"/>
            </w:tcBorders>
          </w:tcPr>
          <w:p>
            <w:pPr>
              <w:spacing w:after="0"/>
              <w:rPr>
                <w:sz w:val="24"/>
                <w:szCs w:val="24"/>
                <w:color w:val="auto"/>
              </w:rPr>
            </w:pPr>
          </w:p>
        </w:tc>
        <w:tc>
          <w:tcPr>
            <w:tcW w:w="1120" w:type="dxa"/>
            <w:vAlign w:val="bottom"/>
            <w:tcBorders>
              <w:top w:val="single" w:sz="8" w:color="0CD973"/>
            </w:tcBorders>
          </w:tcPr>
          <w:p>
            <w:pPr>
              <w:spacing w:after="0"/>
              <w:rPr>
                <w:sz w:val="24"/>
                <w:szCs w:val="24"/>
                <w:color w:val="auto"/>
              </w:rPr>
            </w:pPr>
          </w:p>
        </w:tc>
        <w:tc>
          <w:tcPr>
            <w:tcW w:w="360" w:type="dxa"/>
            <w:vAlign w:val="bottom"/>
            <w:tcBorders>
              <w:top w:val="single" w:sz="8" w:color="0CD973"/>
            </w:tcBorders>
          </w:tcPr>
          <w:p>
            <w:pPr>
              <w:spacing w:after="0"/>
              <w:rPr>
                <w:sz w:val="24"/>
                <w:szCs w:val="24"/>
                <w:color w:val="auto"/>
              </w:rPr>
            </w:pPr>
          </w:p>
        </w:tc>
        <w:tc>
          <w:tcPr>
            <w:tcW w:w="10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6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83"/>
        </w:trPr>
        <w:tc>
          <w:tcPr>
            <w:tcW w:w="6660" w:type="dxa"/>
            <w:vAlign w:val="bottom"/>
            <w:shd w:val="clear" w:color="auto" w:fill="004054"/>
          </w:tcPr>
          <w:p>
            <w:pPr>
              <w:spacing w:after="0"/>
              <w:rPr>
                <w:sz w:val="15"/>
                <w:szCs w:val="15"/>
                <w:color w:val="auto"/>
              </w:rPr>
            </w:pPr>
          </w:p>
        </w:tc>
        <w:tc>
          <w:tcPr>
            <w:tcW w:w="540" w:type="dxa"/>
            <w:vAlign w:val="bottom"/>
            <w:shd w:val="clear" w:color="auto" w:fill="004054"/>
          </w:tcPr>
          <w:p>
            <w:pPr>
              <w:spacing w:after="0"/>
              <w:rPr>
                <w:sz w:val="15"/>
                <w:szCs w:val="15"/>
                <w:color w:val="auto"/>
              </w:rPr>
            </w:pPr>
          </w:p>
        </w:tc>
        <w:tc>
          <w:tcPr>
            <w:tcW w:w="118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120" w:type="dxa"/>
            <w:vAlign w:val="bottom"/>
            <w:shd w:val="clear" w:color="auto" w:fill="004054"/>
          </w:tcPr>
          <w:p>
            <w:pPr>
              <w:spacing w:after="0"/>
              <w:rPr>
                <w:sz w:val="15"/>
                <w:szCs w:val="15"/>
                <w:color w:val="auto"/>
              </w:rPr>
            </w:pPr>
          </w:p>
        </w:tc>
        <w:tc>
          <w:tcPr>
            <w:tcW w:w="36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 ended</w:t>
            </w:r>
          </w:p>
        </w:tc>
        <w:tc>
          <w:tcPr>
            <w:tcW w:w="20" w:type="dxa"/>
            <w:vAlign w:val="bottom"/>
            <w:shd w:val="clear" w:color="auto" w:fill="004054"/>
          </w:tcPr>
          <w:p>
            <w:pPr>
              <w:spacing w:after="0"/>
              <w:rPr>
                <w:sz w:val="15"/>
                <w:szCs w:val="15"/>
                <w:color w:val="auto"/>
              </w:rPr>
            </w:pPr>
          </w:p>
        </w:tc>
      </w:tr>
      <w:tr>
        <w:trPr>
          <w:trHeight w:val="175"/>
        </w:trPr>
        <w:tc>
          <w:tcPr>
            <w:tcW w:w="6660" w:type="dxa"/>
            <w:vAlign w:val="bottom"/>
            <w:shd w:val="clear" w:color="auto" w:fill="004054"/>
          </w:tcPr>
          <w:p>
            <w:pPr>
              <w:spacing w:after="0"/>
              <w:rPr>
                <w:sz w:val="15"/>
                <w:szCs w:val="15"/>
                <w:color w:val="auto"/>
              </w:rPr>
            </w:pPr>
          </w:p>
        </w:tc>
        <w:tc>
          <w:tcPr>
            <w:tcW w:w="540" w:type="dxa"/>
            <w:vAlign w:val="bottom"/>
            <w:shd w:val="clear" w:color="auto" w:fill="004054"/>
          </w:tcPr>
          <w:p>
            <w:pPr>
              <w:spacing w:after="0"/>
              <w:rPr>
                <w:sz w:val="15"/>
                <w:szCs w:val="15"/>
                <w:color w:val="auto"/>
              </w:rPr>
            </w:pPr>
          </w:p>
        </w:tc>
        <w:tc>
          <w:tcPr>
            <w:tcW w:w="118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120" w:type="dxa"/>
            <w:vAlign w:val="bottom"/>
            <w:shd w:val="clear" w:color="auto" w:fill="004054"/>
          </w:tcPr>
          <w:p>
            <w:pPr>
              <w:spacing w:after="0"/>
              <w:rPr>
                <w:sz w:val="15"/>
                <w:szCs w:val="15"/>
                <w:color w:val="auto"/>
              </w:rPr>
            </w:pPr>
          </w:p>
        </w:tc>
        <w:tc>
          <w:tcPr>
            <w:tcW w:w="36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5"/>
                <w:szCs w:val="15"/>
                <w:color w:val="auto"/>
              </w:rPr>
            </w:pPr>
          </w:p>
        </w:tc>
      </w:tr>
      <w:tr>
        <w:trPr>
          <w:trHeight w:val="243"/>
        </w:trPr>
        <w:tc>
          <w:tcPr>
            <w:tcW w:w="66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40" w:type="dxa"/>
            <w:vAlign w:val="bottom"/>
            <w:shd w:val="clear" w:color="auto" w:fill="004054"/>
          </w:tcPr>
          <w:p>
            <w:pPr>
              <w:spacing w:after="0"/>
              <w:rPr>
                <w:sz w:val="21"/>
                <w:szCs w:val="21"/>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00" w:type="dxa"/>
            <w:vAlign w:val="bottom"/>
            <w:shd w:val="clear" w:color="auto" w:fill="004054"/>
          </w:tcPr>
          <w:p>
            <w:pPr>
              <w:spacing w:after="0"/>
              <w:rPr>
                <w:sz w:val="21"/>
                <w:szCs w:val="21"/>
                <w:color w:val="auto"/>
              </w:rPr>
            </w:pPr>
          </w:p>
        </w:tc>
        <w:tc>
          <w:tcPr>
            <w:tcW w:w="11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360" w:type="dxa"/>
            <w:vAlign w:val="bottom"/>
            <w:shd w:val="clear" w:color="auto" w:fill="004054"/>
          </w:tcPr>
          <w:p>
            <w:pPr>
              <w:spacing w:after="0"/>
              <w:rPr>
                <w:sz w:val="21"/>
                <w:szCs w:val="21"/>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1"/>
                <w:szCs w:val="21"/>
                <w:color w:val="auto"/>
              </w:rPr>
            </w:pPr>
          </w:p>
        </w:tc>
      </w:tr>
      <w:tr>
        <w:trPr>
          <w:trHeight w:val="74"/>
        </w:trPr>
        <w:tc>
          <w:tcPr>
            <w:tcW w:w="6660" w:type="dxa"/>
            <w:vAlign w:val="bottom"/>
            <w:shd w:val="clear" w:color="auto" w:fill="004054"/>
          </w:tcPr>
          <w:p>
            <w:pPr>
              <w:spacing w:after="0"/>
              <w:rPr>
                <w:sz w:val="6"/>
                <w:szCs w:val="6"/>
                <w:color w:val="auto"/>
              </w:rPr>
            </w:pPr>
          </w:p>
        </w:tc>
        <w:tc>
          <w:tcPr>
            <w:tcW w:w="54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12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Cash paid for amounts included in the measurement of lease liabilites:</w:t>
            </w:r>
          </w:p>
        </w:tc>
        <w:tc>
          <w:tcPr>
            <w:tcW w:w="5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324"/>
        </w:trPr>
        <w:tc>
          <w:tcPr>
            <w:tcW w:w="6660" w:type="dxa"/>
            <w:vAlign w:val="bottom"/>
          </w:tcPr>
          <w:p>
            <w:pPr>
              <w:ind w:left="140"/>
              <w:spacing w:after="0"/>
              <w:rPr>
                <w:sz w:val="20"/>
                <w:szCs w:val="20"/>
                <w:color w:val="auto"/>
              </w:rPr>
            </w:pPr>
            <w:r>
              <w:rPr>
                <w:rFonts w:ascii="Calibri" w:cs="Calibri" w:eastAsia="Calibri" w:hAnsi="Calibri"/>
                <w:sz w:val="18"/>
                <w:szCs w:val="18"/>
                <w:color w:val="51555C"/>
              </w:rPr>
              <w:t>Operatng cash fows from operatng leases</w:t>
            </w:r>
            <w:r>
              <w:rPr>
                <w:rFonts w:ascii="Calibri" w:cs="Calibri" w:eastAsia="Calibri" w:hAnsi="Calibri"/>
                <w:sz w:val="23"/>
                <w:szCs w:val="23"/>
                <w:color w:val="51555C"/>
                <w:vertAlign w:val="superscript"/>
              </w:rPr>
              <w:t>(1)</w:t>
            </w:r>
          </w:p>
        </w:tc>
        <w:tc>
          <w:tcPr>
            <w:tcW w:w="540" w:type="dxa"/>
            <w:vAlign w:val="bottom"/>
          </w:tcPr>
          <w:p>
            <w:pPr>
              <w:jc w:val="right"/>
              <w:ind w:right="50"/>
              <w:spacing w:after="0"/>
              <w:rPr>
                <w:sz w:val="20"/>
                <w:szCs w:val="20"/>
                <w:color w:val="auto"/>
              </w:rPr>
            </w:pPr>
            <w:r>
              <w:rPr>
                <w:rFonts w:ascii="Calibri" w:cs="Calibri" w:eastAsia="Calibri" w:hAnsi="Calibri"/>
                <w:sz w:val="18"/>
                <w:szCs w:val="18"/>
                <w:color w:val="51555C"/>
              </w:rPr>
              <w:t>$</w:t>
            </w: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10,983</w:t>
            </w:r>
          </w:p>
        </w:tc>
        <w:tc>
          <w:tcPr>
            <w:tcW w:w="300" w:type="dxa"/>
            <w:vAlign w:val="bottom"/>
          </w:tcPr>
          <w:p>
            <w:pPr>
              <w:jc w:val="right"/>
              <w:ind w:right="110"/>
              <w:spacing w:after="0"/>
              <w:rPr>
                <w:sz w:val="20"/>
                <w:szCs w:val="20"/>
                <w:color w:val="auto"/>
              </w:rPr>
            </w:pPr>
            <w:r>
              <w:rPr>
                <w:rFonts w:ascii="Calibri" w:cs="Calibri" w:eastAsia="Calibri" w:hAnsi="Calibri"/>
                <w:sz w:val="18"/>
                <w:szCs w:val="18"/>
                <w:color w:val="51555C"/>
                <w:w w:val="87"/>
              </w:rPr>
              <w:t>$</w:t>
            </w: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11,439</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11,338</w:t>
            </w:r>
          </w:p>
        </w:tc>
        <w:tc>
          <w:tcPr>
            <w:tcW w:w="20" w:type="dxa"/>
            <w:vAlign w:val="bottom"/>
          </w:tcPr>
          <w:p>
            <w:pPr>
              <w:spacing w:after="0"/>
              <w:rPr>
                <w:sz w:val="24"/>
                <w:szCs w:val="24"/>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Right-of-use assets obtained in exchange for lease obligatons (non-cash):</w:t>
            </w:r>
          </w:p>
        </w:tc>
        <w:tc>
          <w:tcPr>
            <w:tcW w:w="5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112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6660" w:type="dxa"/>
            <w:vAlign w:val="bottom"/>
          </w:tcPr>
          <w:p>
            <w:pPr>
              <w:ind w:left="140"/>
              <w:spacing w:after="0"/>
              <w:rPr>
                <w:sz w:val="20"/>
                <w:szCs w:val="20"/>
                <w:color w:val="auto"/>
              </w:rPr>
            </w:pPr>
            <w:r>
              <w:rPr>
                <w:rFonts w:ascii="Calibri" w:cs="Calibri" w:eastAsia="Calibri" w:hAnsi="Calibri"/>
                <w:sz w:val="18"/>
                <w:szCs w:val="18"/>
                <w:color w:val="51555C"/>
              </w:rPr>
              <w:t>Operatng leases</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color w:val="51555C"/>
              </w:rPr>
              <w:t>2,765</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5,358</w:t>
            </w:r>
          </w:p>
        </w:tc>
        <w:tc>
          <w:tcPr>
            <w:tcW w:w="20" w:type="dxa"/>
            <w:vAlign w:val="bottom"/>
          </w:tcPr>
          <w:p>
            <w:pPr>
              <w:spacing w:after="0"/>
              <w:rPr>
                <w:sz w:val="19"/>
                <w:szCs w:val="19"/>
                <w:color w:val="auto"/>
              </w:rPr>
            </w:pPr>
          </w:p>
        </w:tc>
      </w:tr>
      <w:tr>
        <w:trPr>
          <w:trHeight w:val="50"/>
        </w:trPr>
        <w:tc>
          <w:tcPr>
            <w:tcW w:w="6660" w:type="dxa"/>
            <w:vAlign w:val="bottom"/>
            <w:tcBorders>
              <w:bottom w:val="single" w:sz="8" w:color="0CD973"/>
            </w:tcBorders>
          </w:tcPr>
          <w:p>
            <w:pPr>
              <w:spacing w:after="0"/>
              <w:rPr>
                <w:sz w:val="4"/>
                <w:szCs w:val="4"/>
                <w:color w:val="auto"/>
              </w:rPr>
            </w:pPr>
          </w:p>
        </w:tc>
        <w:tc>
          <w:tcPr>
            <w:tcW w:w="540" w:type="dxa"/>
            <w:vAlign w:val="bottom"/>
            <w:tcBorders>
              <w:bottom w:val="single" w:sz="8" w:color="0CD973"/>
            </w:tcBorders>
          </w:tcPr>
          <w:p>
            <w:pPr>
              <w:spacing w:after="0"/>
              <w:rPr>
                <w:sz w:val="4"/>
                <w:szCs w:val="4"/>
                <w:color w:val="auto"/>
              </w:rPr>
            </w:pPr>
          </w:p>
        </w:tc>
        <w:tc>
          <w:tcPr>
            <w:tcW w:w="1180" w:type="dxa"/>
            <w:vAlign w:val="bottom"/>
            <w:tcBorders>
              <w:bottom w:val="single" w:sz="8" w:color="0CD973"/>
            </w:tcBorders>
          </w:tcPr>
          <w:p>
            <w:pPr>
              <w:spacing w:after="0"/>
              <w:rPr>
                <w:sz w:val="4"/>
                <w:szCs w:val="4"/>
                <w:color w:val="auto"/>
              </w:rPr>
            </w:pPr>
          </w:p>
        </w:tc>
        <w:tc>
          <w:tcPr>
            <w:tcW w:w="300" w:type="dxa"/>
            <w:vAlign w:val="bottom"/>
            <w:tcBorders>
              <w:bottom w:val="single" w:sz="8" w:color="0CD973"/>
            </w:tcBorders>
          </w:tcPr>
          <w:p>
            <w:pPr>
              <w:spacing w:after="0"/>
              <w:rPr>
                <w:sz w:val="4"/>
                <w:szCs w:val="4"/>
                <w:color w:val="auto"/>
              </w:rPr>
            </w:pPr>
          </w:p>
        </w:tc>
        <w:tc>
          <w:tcPr>
            <w:tcW w:w="1120" w:type="dxa"/>
            <w:vAlign w:val="bottom"/>
            <w:tcBorders>
              <w:bottom w:val="single" w:sz="8" w:color="0CD973"/>
            </w:tcBorders>
          </w:tcPr>
          <w:p>
            <w:pPr>
              <w:spacing w:after="0"/>
              <w:rPr>
                <w:sz w:val="4"/>
                <w:szCs w:val="4"/>
                <w:color w:val="auto"/>
              </w:rPr>
            </w:pPr>
          </w:p>
        </w:tc>
        <w:tc>
          <w:tcPr>
            <w:tcW w:w="360" w:type="dxa"/>
            <w:vAlign w:val="bottom"/>
            <w:tcBorders>
              <w:bottom w:val="single" w:sz="8" w:color="0CD973"/>
            </w:tcBorders>
          </w:tcPr>
          <w:p>
            <w:pPr>
              <w:spacing w:after="0"/>
              <w:rPr>
                <w:sz w:val="4"/>
                <w:szCs w:val="4"/>
                <w:color w:val="auto"/>
              </w:rPr>
            </w:pPr>
          </w:p>
        </w:tc>
        <w:tc>
          <w:tcPr>
            <w:tcW w:w="108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-890905</wp:posOffset>
            </wp:positionV>
            <wp:extent cx="273431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 commitments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contractual obligatons for third-party technology used in our solutons and for other services we purchase as part of our normal operatons. In certain cases, these arrangements require a minimum annual purchase commitment by us. As of December 31, 2023, the remaining aggregate minimum purchase commitment under these arrangements was approximately $257.6 million through 2027.</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Soluton and service indemnifcatons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the ordinary course of business, we provide certain indemnifcatons of varying scope to customers against claims of intellectual property infringement made by third partes arising from the use of our solutons or services. We have not identfed any losses that might be covered by these indemnifcatons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Legal proceedings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are subject to legal proceedings and claims that arise in the ordinary course of business, as well as certain other non-ordinary course proceedings, claims and investgatons, as described below. We record an accrual for a loss contngency when it is both probable that a material liability has been incurred and the amount of the loss can be reasonably estmated. If only a range of estmated losses can be determined, we accrue an amount within the range that, in our judgment, refects the most likely outcome; if none of the estmates within that range is a beter estmate than any other amount, we accrue the low end of the range. For proceedings in which an unfavorable outcome is reasonably possible but not probable and an estmate of</w:t>
      </w:r>
    </w:p>
    <w:p>
      <w:pPr>
        <w:spacing w:after="0" w:line="31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96</w:t>
      </w:r>
      <w:r>
        <w:rPr>
          <w:sz w:val="20"/>
          <w:szCs w:val="20"/>
          <w:color w:val="auto"/>
        </w:rPr>
        <w:tab/>
      </w:r>
      <w:r>
        <w:rPr>
          <w:sz w:val="1"/>
          <w:szCs w:val="1"/>
          <w:color w:val="auto"/>
        </w:rPr>
        <w:drawing>
          <wp:inline distT="0" distB="0" distL="0" distR="0">
            <wp:extent cx="728345" cy="188595"/>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loss or range of losses arising from the proceeding can be made, we disclose such an estmate, if material. If such a loss or range of losses is not reasonably estmable, we disclose that fact. We review any such loss contngency accruals at least quarterly and adjust them to refect the impacts of negotatons, setlements, rulings, advice of legal counsel and other informaton and events pertaining to a partcular case. We recognize insurance recoveries, if any, when they are probable of receipt. All associated costs due to third-party service providers and consultants, including legal fees, are expensed as incurred.</w:t>
      </w:r>
    </w:p>
    <w:p>
      <w:pPr>
        <w:spacing w:after="0" w:line="16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Legal proceedings are inherently unpredictable. However, we believe that we have valid defenses with respect to the legal maters pending or threatened against us and intend to defend ourselves vigorously against all claims asserted. It is possible that our consolidated fnancial positon, results of operatons or cash fows could be materially negatvely afected in any partcular period by an unfavorable resoluton of one or more of such legal proceedings.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51555C"/>
        </w:rPr>
        <w:t>Security incident</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previously disclosed, we are subject to risks and uncertaintes as a result of a ransomware atack against us in May 2020 in which a cybercriminal removed a copy of a subset of data from our self-hosted environment (the "Security Incident"). Based on the nature of the Security Incident, our research and third party (including law enforcement) investgaton, we do not believe that any data went beyond the cybercriminal, has been misused, or has been disseminated or otherwise made available publicly. Our investgaton into the Security Incident remains ongoing.</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a result of the Security Incident, we are currently subject to certain legal proceedings, claims and investgatons, as discussed below, and could be the subject of additonal legal proceedings, claims, inquiries and investgatons in the future that might result in adverse judgments, setlements, fnes, penaltes or other resoluton. To limit our exposure to losses related to claims against us, including data breaches such as the Security Incident, we maintain $50 million of insurance above a $250 thousand deductble payable by us. As noted below, this coverage reduced our fnancial exposure related to the Security Incident in prior years.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We recorded expenses and ofsetng probable insurance recoveries related to the Security Incident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94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236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6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00" w:type="dxa"/>
            <w:vAlign w:val="bottom"/>
            <w:shd w:val="clear" w:color="auto" w:fill="004054"/>
          </w:tcPr>
          <w:p>
            <w:pPr>
              <w:spacing w:after="0"/>
              <w:rPr>
                <w:sz w:val="20"/>
                <w:szCs w:val="20"/>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500" w:type="dxa"/>
            <w:vAlign w:val="bottom"/>
            <w:shd w:val="clear" w:color="auto" w:fill="004054"/>
          </w:tcPr>
          <w:p>
            <w:pPr>
              <w:spacing w:after="0"/>
              <w:rPr>
                <w:sz w:val="20"/>
                <w:szCs w:val="20"/>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460" w:type="dxa"/>
            <w:vAlign w:val="bottom"/>
            <w:shd w:val="clear" w:color="auto" w:fill="004054"/>
          </w:tcPr>
          <w:p>
            <w:pPr>
              <w:spacing w:after="0"/>
              <w:rPr>
                <w:sz w:val="20"/>
                <w:szCs w:val="20"/>
                <w:color w:val="auto"/>
              </w:rPr>
            </w:pPr>
          </w:p>
        </w:tc>
        <w:tc>
          <w:tcPr>
            <w:tcW w:w="9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0"/>
                <w:szCs w:val="20"/>
                <w:color w:val="auto"/>
              </w:rPr>
            </w:pPr>
          </w:p>
        </w:tc>
      </w:tr>
      <w:tr>
        <w:trPr>
          <w:trHeight w:val="74"/>
        </w:trPr>
        <w:tc>
          <w:tcPr>
            <w:tcW w:w="694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94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Gross expense</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53,426</w:t>
            </w:r>
          </w:p>
        </w:tc>
        <w:tc>
          <w:tcPr>
            <w:tcW w:w="500" w:type="dxa"/>
            <w:vAlign w:val="bottom"/>
            <w:tcBorders>
              <w:bottom w:val="single" w:sz="8" w:color="EBFBFF"/>
            </w:tcBorders>
            <w:shd w:val="clear" w:color="auto" w:fill="EBFBFF"/>
          </w:tcPr>
          <w:p>
            <w:pPr>
              <w:jc w:val="right"/>
              <w:ind w:right="310"/>
              <w:spacing w:after="0"/>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57,614</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40,561</w:t>
            </w:r>
          </w:p>
        </w:tc>
        <w:tc>
          <w:tcPr>
            <w:tcW w:w="20" w:type="dxa"/>
            <w:vAlign w:val="bottom"/>
          </w:tcPr>
          <w:p>
            <w:pPr>
              <w:spacing w:after="0"/>
              <w:rPr>
                <w:sz w:val="21"/>
                <w:szCs w:val="21"/>
                <w:color w:val="auto"/>
              </w:rPr>
            </w:pPr>
          </w:p>
        </w:tc>
      </w:tr>
      <w:tr>
        <w:trPr>
          <w:trHeight w:val="220"/>
        </w:trPr>
        <w:tc>
          <w:tcPr>
            <w:tcW w:w="6940" w:type="dxa"/>
            <w:vAlign w:val="bottom"/>
          </w:tcPr>
          <w:p>
            <w:pPr>
              <w:ind w:left="20"/>
              <w:spacing w:after="0"/>
              <w:rPr>
                <w:sz w:val="20"/>
                <w:szCs w:val="20"/>
                <w:color w:val="auto"/>
              </w:rPr>
            </w:pPr>
            <w:r>
              <w:rPr>
                <w:rFonts w:ascii="Calibri" w:cs="Calibri" w:eastAsia="Calibri" w:hAnsi="Calibri"/>
                <w:sz w:val="18"/>
                <w:szCs w:val="18"/>
                <w:color w:val="51555C"/>
              </w:rPr>
              <w:t>Ofsetng probable insurance recoveries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(1,891)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(38,745)</w:t>
            </w:r>
          </w:p>
        </w:tc>
        <w:tc>
          <w:tcPr>
            <w:tcW w:w="20" w:type="dxa"/>
            <w:vAlign w:val="bottom"/>
          </w:tcPr>
          <w:p>
            <w:pPr>
              <w:spacing w:after="0"/>
              <w:rPr>
                <w:sz w:val="19"/>
                <w:szCs w:val="19"/>
                <w:color w:val="auto"/>
              </w:rPr>
            </w:pPr>
          </w:p>
        </w:tc>
      </w:tr>
      <w:tr>
        <w:trPr>
          <w:trHeight w:val="50"/>
        </w:trPr>
        <w:tc>
          <w:tcPr>
            <w:tcW w:w="694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94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98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94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Net expense</w:t>
            </w:r>
          </w:p>
        </w:tc>
        <w:tc>
          <w:tcPr>
            <w:tcW w:w="50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53,426</w:t>
            </w:r>
          </w:p>
        </w:tc>
        <w:tc>
          <w:tcPr>
            <w:tcW w:w="50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55,723</w:t>
            </w:r>
          </w:p>
        </w:tc>
        <w:tc>
          <w:tcPr>
            <w:tcW w:w="460" w:type="dxa"/>
            <w:vAlign w:val="bottom"/>
            <w:tcBorders>
              <w:bottom w:val="single" w:sz="8" w:color="EBFBFF"/>
            </w:tcBorders>
            <w:shd w:val="clear" w:color="auto" w:fill="EBFBFF"/>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9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1,816</w:t>
            </w:r>
          </w:p>
        </w:tc>
        <w:tc>
          <w:tcPr>
            <w:tcW w:w="20" w:type="dxa"/>
            <w:vAlign w:val="bottom"/>
          </w:tcPr>
          <w:p>
            <w:pPr>
              <w:spacing w:after="0"/>
              <w:rPr>
                <w:sz w:val="21"/>
                <w:szCs w:val="21"/>
                <w:color w:val="auto"/>
              </w:rPr>
            </w:pPr>
          </w:p>
        </w:tc>
      </w:tr>
      <w:tr>
        <w:trPr>
          <w:trHeight w:val="20"/>
        </w:trPr>
        <w:tc>
          <w:tcPr>
            <w:tcW w:w="694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-694055</wp:posOffset>
            </wp:positionV>
            <wp:extent cx="273431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summarizes our cumulatve expenses, insurance recoveries recognized and insurance recoveries paid as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40" w:type="dxa"/>
            <w:vAlign w:val="bottom"/>
            <w:shd w:val="clear" w:color="auto" w:fill="004054"/>
          </w:tcPr>
          <w:p>
            <w:pPr>
              <w:spacing w:after="0"/>
              <w:rPr>
                <w:sz w:val="15"/>
                <w:szCs w:val="15"/>
                <w:color w:val="auto"/>
              </w:rPr>
            </w:pPr>
          </w:p>
        </w:tc>
        <w:tc>
          <w:tcPr>
            <w:tcW w:w="36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34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0" w:type="dxa"/>
            <w:vAlign w:val="bottom"/>
            <w:shd w:val="clear" w:color="auto" w:fill="004054"/>
          </w:tcPr>
          <w:p>
            <w:pPr>
              <w:spacing w:after="0"/>
              <w:rPr>
                <w:sz w:val="15"/>
                <w:szCs w:val="15"/>
                <w:color w:val="auto"/>
              </w:rPr>
            </w:pPr>
          </w:p>
        </w:tc>
        <w:tc>
          <w:tcPr>
            <w:tcW w:w="124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83"/>
        </w:trPr>
        <w:tc>
          <w:tcPr>
            <w:tcW w:w="694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6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4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0" w:type="dxa"/>
            <w:vAlign w:val="bottom"/>
            <w:shd w:val="clear" w:color="auto" w:fill="004054"/>
          </w:tcPr>
          <w:p>
            <w:pPr>
              <w:spacing w:after="0"/>
              <w:rPr>
                <w:sz w:val="15"/>
                <w:szCs w:val="15"/>
                <w:color w:val="auto"/>
              </w:rPr>
            </w:pPr>
          </w:p>
        </w:tc>
        <w:tc>
          <w:tcPr>
            <w:tcW w:w="12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 2021</w:t>
            </w:r>
          </w:p>
        </w:tc>
        <w:tc>
          <w:tcPr>
            <w:tcW w:w="20" w:type="dxa"/>
            <w:vAlign w:val="bottom"/>
            <w:shd w:val="clear" w:color="auto" w:fill="004054"/>
          </w:tcPr>
          <w:p>
            <w:pPr>
              <w:spacing w:after="0"/>
              <w:rPr>
                <w:sz w:val="15"/>
                <w:szCs w:val="15"/>
                <w:color w:val="auto"/>
              </w:rPr>
            </w:pPr>
          </w:p>
        </w:tc>
      </w:tr>
      <w:tr>
        <w:trPr>
          <w:trHeight w:val="74"/>
        </w:trPr>
        <w:tc>
          <w:tcPr>
            <w:tcW w:w="694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340" w:type="dxa"/>
            <w:vAlign w:val="bottom"/>
            <w:shd w:val="clear" w:color="auto" w:fill="004054"/>
          </w:tcPr>
          <w:p>
            <w:pPr>
              <w:spacing w:after="0"/>
              <w:rPr>
                <w:sz w:val="6"/>
                <w:szCs w:val="6"/>
                <w:color w:val="auto"/>
              </w:rPr>
            </w:pPr>
          </w:p>
        </w:tc>
        <w:tc>
          <w:tcPr>
            <w:tcW w:w="1080" w:type="dxa"/>
            <w:vAlign w:val="bottom"/>
            <w:shd w:val="clear" w:color="auto" w:fill="004054"/>
          </w:tcPr>
          <w:p>
            <w:pPr>
              <w:spacing w:after="0"/>
              <w:rPr>
                <w:sz w:val="6"/>
                <w:szCs w:val="6"/>
                <w:color w:val="auto"/>
              </w:rPr>
            </w:pPr>
          </w:p>
        </w:tc>
        <w:tc>
          <w:tcPr>
            <w:tcW w:w="200" w:type="dxa"/>
            <w:vAlign w:val="bottom"/>
            <w:shd w:val="clear" w:color="auto" w:fill="004054"/>
          </w:tcPr>
          <w:p>
            <w:pPr>
              <w:spacing w:after="0"/>
              <w:rPr>
                <w:sz w:val="6"/>
                <w:szCs w:val="6"/>
                <w:color w:val="auto"/>
              </w:rPr>
            </w:pPr>
          </w:p>
        </w:tc>
        <w:tc>
          <w:tcPr>
            <w:tcW w:w="12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Cumulatve gross expense</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1080" w:type="dxa"/>
            <w:vAlign w:val="bottom"/>
            <w:tcBorders>
              <w:bottom w:val="single" w:sz="8" w:color="EBFBFF"/>
            </w:tcBorders>
            <w:shd w:val="clear" w:color="auto" w:fill="EBFBFF"/>
          </w:tcPr>
          <w:p>
            <w:pPr>
              <w:ind w:left="440"/>
              <w:spacing w:after="0"/>
              <w:rPr>
                <w:sz w:val="20"/>
                <w:szCs w:val="20"/>
                <w:color w:val="auto"/>
              </w:rPr>
            </w:pPr>
            <w:r>
              <w:rPr>
                <w:rFonts w:ascii="Calibri" w:cs="Calibri" w:eastAsia="Calibri" w:hAnsi="Calibri"/>
                <w:sz w:val="18"/>
                <w:szCs w:val="18"/>
                <w:color w:val="51555C"/>
              </w:rPr>
              <w:t>161,431</w:t>
            </w:r>
          </w:p>
        </w:tc>
        <w:tc>
          <w:tcPr>
            <w:tcW w:w="34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w w:val="87"/>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108,005</w:t>
            </w:r>
          </w:p>
        </w:tc>
        <w:tc>
          <w:tcPr>
            <w:tcW w:w="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50,391</w:t>
            </w:r>
          </w:p>
        </w:tc>
        <w:tc>
          <w:tcPr>
            <w:tcW w:w="20" w:type="dxa"/>
            <w:vAlign w:val="bottom"/>
          </w:tcPr>
          <w:p>
            <w:pPr>
              <w:spacing w:after="0"/>
              <w:rPr>
                <w:sz w:val="21"/>
                <w:szCs w:val="21"/>
                <w:color w:val="auto"/>
              </w:rPr>
            </w:pPr>
          </w:p>
        </w:tc>
      </w:tr>
      <w:tr>
        <w:trPr>
          <w:trHeight w:val="220"/>
        </w:trPr>
        <w:tc>
          <w:tcPr>
            <w:tcW w:w="6940" w:type="dxa"/>
            <w:vAlign w:val="bottom"/>
          </w:tcPr>
          <w:p>
            <w:pPr>
              <w:ind w:left="20"/>
              <w:spacing w:after="0"/>
              <w:rPr>
                <w:sz w:val="20"/>
                <w:szCs w:val="20"/>
                <w:color w:val="auto"/>
              </w:rPr>
            </w:pPr>
            <w:r>
              <w:rPr>
                <w:rFonts w:ascii="Calibri" w:cs="Calibri" w:eastAsia="Calibri" w:hAnsi="Calibri"/>
                <w:sz w:val="18"/>
                <w:szCs w:val="18"/>
                <w:color w:val="51555C"/>
              </w:rPr>
              <w:t>Cumulatve ofsetng insurance recoveries recognized</w:t>
            </w:r>
          </w:p>
        </w:tc>
        <w:tc>
          <w:tcPr>
            <w:tcW w:w="360" w:type="dxa"/>
            <w:vAlign w:val="bottom"/>
          </w:tcPr>
          <w:p>
            <w:pPr>
              <w:spacing w:after="0"/>
              <w:rPr>
                <w:sz w:val="19"/>
                <w:szCs w:val="19"/>
                <w:color w:val="auto"/>
              </w:rPr>
            </w:pPr>
          </w:p>
        </w:tc>
        <w:tc>
          <w:tcPr>
            <w:tcW w:w="1080" w:type="dxa"/>
            <w:vAlign w:val="bottom"/>
          </w:tcPr>
          <w:p>
            <w:pPr>
              <w:ind w:left="460"/>
              <w:spacing w:after="0"/>
              <w:rPr>
                <w:sz w:val="20"/>
                <w:szCs w:val="20"/>
                <w:color w:val="auto"/>
              </w:rPr>
            </w:pPr>
            <w:r>
              <w:rPr>
                <w:rFonts w:ascii="Calibri" w:cs="Calibri" w:eastAsia="Calibri" w:hAnsi="Calibri"/>
                <w:sz w:val="18"/>
                <w:szCs w:val="18"/>
                <w:color w:val="51555C"/>
                <w:w w:val="98"/>
              </w:rPr>
              <w:t>(50,000)</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Calibri" w:cs="Calibri" w:eastAsia="Calibri" w:hAnsi="Calibri"/>
                <w:sz w:val="18"/>
                <w:szCs w:val="18"/>
                <w:color w:val="51555C"/>
              </w:rPr>
              <w:t>(50,000)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Calibri" w:cs="Calibri" w:eastAsia="Calibri" w:hAnsi="Calibri"/>
                <w:sz w:val="18"/>
                <w:szCs w:val="18"/>
                <w:color w:val="51555C"/>
              </w:rPr>
              <w:t>(48,109)</w:t>
            </w:r>
          </w:p>
        </w:tc>
        <w:tc>
          <w:tcPr>
            <w:tcW w:w="20" w:type="dxa"/>
            <w:vAlign w:val="bottom"/>
          </w:tcPr>
          <w:p>
            <w:pPr>
              <w:spacing w:after="0"/>
              <w:rPr>
                <w:sz w:val="19"/>
                <w:szCs w:val="19"/>
                <w:color w:val="auto"/>
              </w:rPr>
            </w:pPr>
          </w:p>
        </w:tc>
      </w:tr>
      <w:tr>
        <w:trPr>
          <w:trHeight w:val="50"/>
        </w:trPr>
        <w:tc>
          <w:tcPr>
            <w:tcW w:w="694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1080" w:type="dxa"/>
            <w:vAlign w:val="bottom"/>
            <w:tcBorders>
              <w:bottom w:val="single" w:sz="8" w:color="51555C"/>
            </w:tcBorders>
          </w:tcPr>
          <w:p>
            <w:pPr>
              <w:spacing w:after="0"/>
              <w:rPr>
                <w:sz w:val="4"/>
                <w:szCs w:val="4"/>
                <w:color w:val="auto"/>
              </w:rPr>
            </w:pPr>
          </w:p>
        </w:tc>
        <w:tc>
          <w:tcPr>
            <w:tcW w:w="340" w:type="dxa"/>
            <w:vAlign w:val="bottom"/>
            <w:tcBorders>
              <w:bottom w:val="single" w:sz="8" w:color="51555C"/>
            </w:tcBorders>
          </w:tcPr>
          <w:p>
            <w:pPr>
              <w:spacing w:after="0"/>
              <w:rPr>
                <w:sz w:val="4"/>
                <w:szCs w:val="4"/>
                <w:color w:val="auto"/>
              </w:rPr>
            </w:pPr>
          </w:p>
        </w:tc>
        <w:tc>
          <w:tcPr>
            <w:tcW w:w="1080" w:type="dxa"/>
            <w:vAlign w:val="bottom"/>
            <w:tcBorders>
              <w:bottom w:val="single" w:sz="8" w:color="51555C"/>
            </w:tcBorders>
          </w:tcPr>
          <w:p>
            <w:pPr>
              <w:spacing w:after="0"/>
              <w:rPr>
                <w:sz w:val="4"/>
                <w:szCs w:val="4"/>
                <w:color w:val="auto"/>
              </w:rPr>
            </w:pPr>
          </w:p>
        </w:tc>
        <w:tc>
          <w:tcPr>
            <w:tcW w:w="200" w:type="dxa"/>
            <w:vAlign w:val="bottom"/>
            <w:tcBorders>
              <w:bottom w:val="single" w:sz="8" w:color="51555C"/>
            </w:tcBorders>
          </w:tcPr>
          <w:p>
            <w:pPr>
              <w:spacing w:after="0"/>
              <w:rPr>
                <w:sz w:val="4"/>
                <w:szCs w:val="4"/>
                <w:color w:val="auto"/>
              </w:rPr>
            </w:pPr>
          </w:p>
        </w:tc>
        <w:tc>
          <w:tcPr>
            <w:tcW w:w="124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694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Cumulatve net expense</w:t>
            </w:r>
          </w:p>
        </w:tc>
        <w:tc>
          <w:tcPr>
            <w:tcW w:w="360" w:type="dxa"/>
            <w:vAlign w:val="bottom"/>
            <w:tcBorders>
              <w:bottom w:val="single" w:sz="8" w:color="EBFBFF"/>
            </w:tcBorders>
            <w:shd w:val="clear" w:color="auto" w:fill="EBFBFF"/>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1080" w:type="dxa"/>
            <w:vAlign w:val="bottom"/>
            <w:tcBorders>
              <w:bottom w:val="single" w:sz="8" w:color="EBFBFF"/>
            </w:tcBorders>
            <w:shd w:val="clear" w:color="auto" w:fill="EBFBFF"/>
          </w:tcPr>
          <w:p>
            <w:pPr>
              <w:ind w:left="440"/>
              <w:spacing w:after="0" w:line="213" w:lineRule="exact"/>
              <w:rPr>
                <w:sz w:val="20"/>
                <w:szCs w:val="20"/>
                <w:color w:val="auto"/>
              </w:rPr>
            </w:pPr>
            <w:r>
              <w:rPr>
                <w:rFonts w:ascii="Calibri" w:cs="Calibri" w:eastAsia="Calibri" w:hAnsi="Calibri"/>
                <w:sz w:val="18"/>
                <w:szCs w:val="18"/>
                <w:color w:val="51555C"/>
              </w:rPr>
              <w:t>111,431</w:t>
            </w:r>
          </w:p>
        </w:tc>
        <w:tc>
          <w:tcPr>
            <w:tcW w:w="340" w:type="dxa"/>
            <w:vAlign w:val="bottom"/>
            <w:tcBorders>
              <w:bottom w:val="single" w:sz="8" w:color="EBFBFF"/>
            </w:tcBorders>
            <w:shd w:val="clear" w:color="auto" w:fill="EBFBFF"/>
          </w:tcPr>
          <w:p>
            <w:pPr>
              <w:jc w:val="right"/>
              <w:ind w:right="150"/>
              <w:spacing w:after="0" w:line="213" w:lineRule="exact"/>
              <w:rPr>
                <w:sz w:val="20"/>
                <w:szCs w:val="20"/>
                <w:color w:val="auto"/>
              </w:rPr>
            </w:pPr>
            <w:r>
              <w:rPr>
                <w:rFonts w:ascii="Calibri" w:cs="Calibri" w:eastAsia="Calibri" w:hAnsi="Calibri"/>
                <w:sz w:val="18"/>
                <w:szCs w:val="18"/>
                <w:color w:val="51555C"/>
                <w:w w:val="87"/>
              </w:rPr>
              <w:t>$</w:t>
            </w:r>
          </w:p>
        </w:tc>
        <w:tc>
          <w:tcPr>
            <w:tcW w:w="108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58,005</w:t>
            </w:r>
          </w:p>
        </w:tc>
        <w:tc>
          <w:tcPr>
            <w:tcW w:w="2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w:t>
            </w:r>
          </w:p>
        </w:tc>
        <w:tc>
          <w:tcPr>
            <w:tcW w:w="12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2,282</w:t>
            </w:r>
          </w:p>
        </w:tc>
        <w:tc>
          <w:tcPr>
            <w:tcW w:w="20" w:type="dxa"/>
            <w:vAlign w:val="bottom"/>
          </w:tcPr>
          <w:p>
            <w:pPr>
              <w:spacing w:after="0"/>
              <w:rPr>
                <w:sz w:val="22"/>
                <w:szCs w:val="22"/>
                <w:color w:val="auto"/>
              </w:rPr>
            </w:pPr>
          </w:p>
        </w:tc>
      </w:tr>
      <w:tr>
        <w:trPr>
          <w:trHeight w:val="250"/>
        </w:trPr>
        <w:tc>
          <w:tcPr>
            <w:tcW w:w="6940" w:type="dxa"/>
            <w:vAlign w:val="bottom"/>
          </w:tcPr>
          <w:p>
            <w:pPr>
              <w:spacing w:after="0"/>
              <w:rPr>
                <w:sz w:val="21"/>
                <w:szCs w:val="21"/>
                <w:color w:val="auto"/>
              </w:rPr>
            </w:pPr>
          </w:p>
        </w:tc>
        <w:tc>
          <w:tcPr>
            <w:tcW w:w="360" w:type="dxa"/>
            <w:vAlign w:val="bottom"/>
            <w:tcBorders>
              <w:top w:val="single" w:sz="8" w:color="51555C"/>
            </w:tcBorders>
          </w:tcPr>
          <w:p>
            <w:pPr>
              <w:spacing w:after="0"/>
              <w:rPr>
                <w:sz w:val="21"/>
                <w:szCs w:val="21"/>
                <w:color w:val="auto"/>
              </w:rPr>
            </w:pPr>
          </w:p>
        </w:tc>
        <w:tc>
          <w:tcPr>
            <w:tcW w:w="1080" w:type="dxa"/>
            <w:vAlign w:val="bottom"/>
            <w:tcBorders>
              <w:top w:val="single" w:sz="8" w:color="51555C"/>
            </w:tcBorders>
          </w:tcPr>
          <w:p>
            <w:pPr>
              <w:spacing w:after="0"/>
              <w:rPr>
                <w:sz w:val="21"/>
                <w:szCs w:val="21"/>
                <w:color w:val="auto"/>
              </w:rPr>
            </w:pPr>
          </w:p>
        </w:tc>
        <w:tc>
          <w:tcPr>
            <w:tcW w:w="340" w:type="dxa"/>
            <w:vAlign w:val="bottom"/>
            <w:tcBorders>
              <w:top w:val="single" w:sz="8" w:color="51555C"/>
            </w:tcBorders>
          </w:tcPr>
          <w:p>
            <w:pPr>
              <w:spacing w:after="0"/>
              <w:rPr>
                <w:sz w:val="21"/>
                <w:szCs w:val="21"/>
                <w:color w:val="auto"/>
              </w:rPr>
            </w:pPr>
          </w:p>
        </w:tc>
        <w:tc>
          <w:tcPr>
            <w:tcW w:w="1080" w:type="dxa"/>
            <w:vAlign w:val="bottom"/>
            <w:tcBorders>
              <w:top w:val="single" w:sz="8" w:color="51555C"/>
            </w:tcBorders>
          </w:tcPr>
          <w:p>
            <w:pPr>
              <w:spacing w:after="0"/>
              <w:rPr>
                <w:sz w:val="21"/>
                <w:szCs w:val="21"/>
                <w:color w:val="auto"/>
              </w:rPr>
            </w:pPr>
          </w:p>
        </w:tc>
        <w:tc>
          <w:tcPr>
            <w:tcW w:w="200" w:type="dxa"/>
            <w:vAlign w:val="bottom"/>
            <w:tcBorders>
              <w:top w:val="single" w:sz="8" w:color="51555C"/>
            </w:tcBorders>
          </w:tcPr>
          <w:p>
            <w:pPr>
              <w:spacing w:after="0"/>
              <w:rPr>
                <w:sz w:val="21"/>
                <w:szCs w:val="21"/>
                <w:color w:val="auto"/>
              </w:rPr>
            </w:pPr>
          </w:p>
        </w:tc>
        <w:tc>
          <w:tcPr>
            <w:tcW w:w="1240" w:type="dxa"/>
            <w:vAlign w:val="bottom"/>
            <w:tcBorders>
              <w:top w:val="single" w:sz="8" w:color="51555C"/>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94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Cumulatve ofsetng insurance recoveries paid</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108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w w:val="98"/>
              </w:rPr>
              <w:t>(50,000)</w:t>
            </w:r>
          </w:p>
        </w:tc>
        <w:tc>
          <w:tcPr>
            <w:tcW w:w="34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w w:val="87"/>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(50,000)</w:t>
            </w:r>
          </w:p>
        </w:tc>
        <w:tc>
          <w:tcPr>
            <w:tcW w:w="2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(29,968)</w:t>
            </w:r>
          </w:p>
        </w:tc>
        <w:tc>
          <w:tcPr>
            <w:tcW w:w="20" w:type="dxa"/>
            <w:vAlign w:val="bottom"/>
          </w:tcPr>
          <w:p>
            <w:pPr>
              <w:spacing w:after="0"/>
              <w:rPr>
                <w:sz w:val="21"/>
                <w:szCs w:val="21"/>
                <w:color w:val="auto"/>
              </w:rPr>
            </w:pPr>
          </w:p>
        </w:tc>
      </w:tr>
      <w:tr>
        <w:trPr>
          <w:trHeight w:val="20"/>
        </w:trPr>
        <w:tc>
          <w:tcPr>
            <w:tcW w:w="694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Recorded expenses have consisted primarily of payments to third-party service providers and consultants, including legal fees, setlement of the previously disclosed SEC and mult-state Atorneys General investgatons (discussed below), setlements of customer claims and accruals for certain loss contngencies. Not included in the expenses discussed above were costs associated with enhancements to our cybersecurity program. We present expenses and insurance recoveries related to the Security Incident in general and administratve expense on our consolidated statements of comprehensive (loss) income and as operatng actvites on our consolidated statements of cash fows. Total costs related to the Security Incident exceeded the limit of our insurance coverage during the frst quarter of 2022. We expect to contnue to experience signifcant expenses related to our response to the Security Incident, resoluton of legal proceedings, claims and investgatons, including those discussed below, and our eforts to further enhance our cybersecurity measures. For full year 2023, we incurred net pre-tax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233045</wp:posOffset>
            </wp:positionV>
            <wp:extent cx="728980"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97</w:t>
            </w:r>
          </w:p>
        </w:tc>
      </w:tr>
      <w:tr>
        <w:trPr>
          <w:trHeight w:val="338"/>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expense of $53.4 million related to the Security Incident, which included $22.4 million for ongoing legal fees. It also includes setlements and additonal accruals for loss contngencies of $31.0 million. Also, for full year 2023, we had net cash outlays of $78.0 million related to the Security Incident, which included ongoing legal fees, the $3.0 million civil penalty paid during the frst quarter of 2023 related to the SEC setlement and the $49.5 million civil penalty paid during the fourth quarter of 2023 related to the mult-state Atorneys General setlement (discussed below). In line with our policy, legal fees are expensed as incurred. For full year 2024, we currently expect net pre-tax expense of approximately $5.0 million to $10.0 million and net cash outlays of approximately $8.0 million to $13.0 million for ongoing legal fees related to the Security Incident.</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of December 31, 2023, we have recorded approximately $1.5 million in aggregate liabilites for loss contngencies based primarily on recent negotatons with certain customers related to the Security Incident that we believe we can reasonably estmate in accordance with our loss contngency procedures described above. Our liabilites for loss contngencies are recorded in accrued expenses and other current liabilites on our consolidated balance sheets. It is reasonably possible that our estmated or actual losses may change in the near term for those maters and be materially in excess of the amounts accrued, but we are unable at this tme to reasonably estmate the possible additonal loss.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There are other Security Incident-related maters, including customer claims, customer consttuent class actons and governmental investgatons, for which we have not recorded a liability for a loss contngency as of December 31, 2023 because we are unable at this tme to reasonably estmate the possible loss or range of loss. Each of these maters could, separately or in the aggregate, result in an adverse judgement, setlement, fne, penalty or other resoluton, the amount, scope and tming of which we are currently unable to predict, but could have a material adverse impact on our results of operatons, cash fows or fnancial conditon.</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 xml:space="preserve">Customer claims. </w:t>
      </w:r>
      <w:r>
        <w:rPr>
          <w:rFonts w:ascii="Calibri" w:cs="Calibri" w:eastAsia="Calibri" w:hAnsi="Calibri"/>
          <w:sz w:val="18"/>
          <w:szCs w:val="18"/>
          <w:color w:val="51555C"/>
        </w:rPr>
        <w:t>To date, we have received approximately 260 specifc requests for reimbursement of expenses, approximately 214 (or 82%) of which have</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been fully resolved and closed and approximately 39 (or 15%) are inactve and are considered by us to have been abandoned by the customers. We have also received approximately 400 reservatons of the right to seek expense recovery in the future from customers or their atorneys in the U.S., U.K. and Canada related to the Security Incident, none of which resulted in claims submited to us and are considered by us to have been abandoned by the customers. We have also received notces of proposed claims on behalf of a number of U.K. data subjects, which we are reviewing. In additon, insurance companies representng various customers’ interests through subrogaton claims have contacted us, and certain insurance companies have fled subrogaton claims in court, of which 3 cases remain actve and unresolved. Customer and insurer subrogaton claims generally seek reimbursement of their costs and expenses associated with notfying their own customers of the Security Incident and taking steps to assure that personal informaton has not been compromised as a result of the Security Incident. Our review of customer and subrogaton claims includes analyzing individual customer contracts into which we have entered, the specifc claims made and applicable law.</w:t>
      </w:r>
    </w:p>
    <w:p>
      <w:pPr>
        <w:spacing w:after="0" w:line="1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Customer consttuent class actons</w:t>
      </w:r>
      <w:r>
        <w:rPr>
          <w:rFonts w:ascii="Calibri" w:cs="Calibri" w:eastAsia="Calibri" w:hAnsi="Calibri"/>
          <w:sz w:val="18"/>
          <w:szCs w:val="18"/>
          <w:b w:val="1"/>
          <w:bCs w:val="1"/>
          <w:color w:val="51555C"/>
        </w:rPr>
        <w:t>.</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Presently, we are a defendant in putatve consumer class acton cases in U.S. federal courts (most of which have been</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consolidated under mult district litgaton to a single federal court) and in Canadian courts alleging harm from the Security Incident. The plaintfs in these cases, who purport to represent various classes of individual consttuents of our customers, generally claim to have been harmed by alleged actons and/or omissions by us in connecton with the Security Incident and assert a variety of common law and statutory claims seeking monetary damages, injunctve relief, costs and atorneys’ fees and other related relief.</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Lawsuits that are putatve class actons require a plaintf to satsfy a number of procedural requirements before proceeding to trial. These requirements include, among others, demonstraton to a court that the law proscribes in some manner our actvites, the making of factual allegatons sufcient to suggest that our actvites exceeded the limits of the law and a determinaton by the court—known as class certfcaton—that the law permits a group of individuals to pursue the case together as a class. If these procedural requirements are not met, the lawsuit cannot proceed as a class acton and the plaintf may lose the fnancial incentve to proceed with the case. We are currently engaged in court proceedings to determine whether this will proceed as a class acton. Frequently, a court’s determinaton as to these procedural requirements is subject to appeal to a higher court. As a result of these uncertaintes, we may be unable to determine the probability of loss untl, or afer, a court has fnally determined that a plaintf has satsfed the applicable class acton procedural requirements.</w:t>
      </w:r>
    </w:p>
    <w:p>
      <w:pPr>
        <w:spacing w:after="0" w:line="316"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98</w:t>
      </w:r>
      <w:r>
        <w:rPr>
          <w:sz w:val="20"/>
          <w:szCs w:val="20"/>
          <w:color w:val="auto"/>
        </w:rPr>
        <w:tab/>
      </w:r>
      <w:r>
        <w:rPr>
          <w:sz w:val="1"/>
          <w:szCs w:val="1"/>
          <w:color w:val="auto"/>
        </w:rPr>
        <w:drawing>
          <wp:inline distT="0" distB="0" distL="0" distR="0">
            <wp:extent cx="728345" cy="18859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Furthermore, for putatve class actons, it is ofen not possible to reasonably estmate the possible loss or a range of loss amounts, even where we have determined that a loss is reasonably possible. Generally, class actons involve a large number of people and raise complex legal and factual issues that result in uncertainty as to their outcome and, ultmately, making it difcult for us to estmate the amount of damages that a plaintf might successfully prove. This analysis is further complicated by the fact that the plaintfs lack contractual privity with us.</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51555C"/>
        </w:rPr>
        <w:t xml:space="preserve">Governmental investgatons. </w:t>
      </w:r>
      <w:r>
        <w:rPr>
          <w:rFonts w:ascii="Calibri" w:cs="Calibri" w:eastAsia="Calibri" w:hAnsi="Calibri"/>
          <w:sz w:val="18"/>
          <w:szCs w:val="18"/>
          <w:color w:val="51555C"/>
        </w:rPr>
        <w:t>We have received a Civil Investgatve Demand from the ofce of the California Atorney General relatng to the Security</w:t>
      </w:r>
      <w:r>
        <w:rPr>
          <w:rFonts w:ascii="Calibri" w:cs="Calibri" w:eastAsia="Calibri" w:hAnsi="Calibri"/>
          <w:sz w:val="18"/>
          <w:szCs w:val="18"/>
          <w:b w:val="1"/>
          <w:bCs w:val="1"/>
          <w:i w:val="1"/>
          <w:iCs w:val="1"/>
          <w:color w:val="51555C"/>
        </w:rPr>
        <w:t xml:space="preserve"> </w:t>
      </w:r>
      <w:r>
        <w:rPr>
          <w:rFonts w:ascii="Calibri" w:cs="Calibri" w:eastAsia="Calibri" w:hAnsi="Calibri"/>
          <w:sz w:val="18"/>
          <w:szCs w:val="18"/>
          <w:color w:val="51555C"/>
        </w:rPr>
        <w:t>Incident and are in discussions with the Atorney General about potental resoluton of issues arising from this investgaton. Although we are hopeful that we can resolve this mater on acceptable terms, there is no assurance that we will be able to do so on terms acceptable to us and the State of California.</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We also are subject to the following pending governmental actons:</w:t>
      </w:r>
    </w:p>
    <w:p>
      <w:pPr>
        <w:spacing w:after="0" w:line="50" w:lineRule="exact"/>
        <w:rPr>
          <w:sz w:val="20"/>
          <w:szCs w:val="20"/>
          <w:color w:val="auto"/>
        </w:rPr>
      </w:pPr>
    </w:p>
    <w:p>
      <w:pPr>
        <w:ind w:left="640" w:hanging="308"/>
        <w:spacing w:after="0"/>
        <w:tabs>
          <w:tab w:leader="none" w:pos="640" w:val="left"/>
        </w:tabs>
        <w:numPr>
          <w:ilvl w:val="0"/>
          <w:numId w:val="55"/>
        </w:numPr>
        <w:rPr>
          <w:rFonts w:ascii="Calibri" w:cs="Calibri" w:eastAsia="Calibri" w:hAnsi="Calibri"/>
          <w:sz w:val="18"/>
          <w:szCs w:val="18"/>
          <w:color w:val="51555C"/>
        </w:rPr>
      </w:pPr>
      <w:r>
        <w:rPr>
          <w:rFonts w:ascii="Calibri" w:cs="Calibri" w:eastAsia="Calibri" w:hAnsi="Calibri"/>
          <w:sz w:val="18"/>
          <w:szCs w:val="18"/>
          <w:color w:val="51555C"/>
        </w:rPr>
        <w:t>an investgaton by the U.S. Federal Trade Commission (the "FTC"), as further described below; and</w:t>
      </w:r>
    </w:p>
    <w:p>
      <w:pPr>
        <w:spacing w:after="0" w:line="50" w:lineRule="exact"/>
        <w:rPr>
          <w:rFonts w:ascii="Calibri" w:cs="Calibri" w:eastAsia="Calibri" w:hAnsi="Calibri"/>
          <w:sz w:val="18"/>
          <w:szCs w:val="18"/>
          <w:color w:val="51555C"/>
        </w:rPr>
      </w:pPr>
    </w:p>
    <w:p>
      <w:pPr>
        <w:ind w:left="640" w:hanging="308"/>
        <w:spacing w:after="0"/>
        <w:tabs>
          <w:tab w:leader="none" w:pos="640" w:val="left"/>
        </w:tabs>
        <w:numPr>
          <w:ilvl w:val="0"/>
          <w:numId w:val="55"/>
        </w:numPr>
        <w:rPr>
          <w:rFonts w:ascii="Calibri" w:cs="Calibri" w:eastAsia="Calibri" w:hAnsi="Calibri"/>
          <w:sz w:val="18"/>
          <w:szCs w:val="18"/>
          <w:color w:val="51555C"/>
        </w:rPr>
      </w:pPr>
      <w:r>
        <w:rPr>
          <w:rFonts w:ascii="Calibri" w:cs="Calibri" w:eastAsia="Calibri" w:hAnsi="Calibri"/>
          <w:sz w:val="18"/>
          <w:szCs w:val="18"/>
          <w:color w:val="51555C"/>
        </w:rPr>
        <w:t>an investgaton by the U.S. Department of Health and Human Services.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also responded to inquiries from the Ofce of the Australian Informaton Commissioner in September 2020 and the Ofce of the Privacy Commissioner of Canada in October 2020.</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previously disclosed, on February 1, 2024, the FTC announced its approval of an Agreement Containing Consent Order (the “Proposed Order”) evidencing its setlement with the Company in connecton with the Security Incident. Pursuant to its rules, the FTC placed the Proposed Order and related draf complaint on the public record for a period of 30 days for the receipt of public comments afer which the FTC will consider any comments received from interested persons prior to determining whether and in what form to fnalize the Proposed Order. The 30-day comment period is scheduled to expire on March 14, 2024. As part of the FTC’s proposed order, the Company has not been fned and is not otherwise required to make any payment. Furthermore, the Company has agreed to the FTC’s proposed order without admitng or denying any of the FTC’s allegatons, except as expressly stated otherwise in the Proposed Order. If fnalized, the setlement described in the Proposed Order will fully resolve the FTC investgaton. Although we believe the Proposed Order will be fnalized in substantally its current form, there can be no assurances as to whether that will occur or its tming.</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terms of the Proposed Order, we have agreed (i) to not misrepresent (a) the extent to which we maintain, use, delete or disclose certain customer informaton, (b) the extent to which we protect the privacy, security, availability, confdentality or integrity of such informaton or (c) the extent of any security incident or unauthorized disclosure, misuse, loss, thef, alteraton, destructon or other compromise of such informaton, and (ii) to delete certain data, adopt and make public certain record retenton limits, establish, implement and maintain a specifed informaton security program, obtain regular independent assessments of the mandated informaton security program, provide to the FTC specifed certfcatons regarding our compliance with the Proposed Order, provide to the FTC reports of any future security incidents and create and maintain specifed recordkeeping.</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For more informaton, see the form of Proposed Order that was furnished as Exhibit 99.2 to the Company’s Current Report on Form 8-K fled with the SEC on February 2, 2024.</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previously disclosed, on October 5, 2023, we entered into separate, substantally similar Administratve Orders with each of 49 state Atorneys General and the District of Columbia relatng to the previously announced 2020 Security Incident in which a cyber-criminal removed a copy of a subset of data from our self-housed environment. This setlement fully resolves the previously disclosed mult-state Civil Investgatve Demand and the separate Civil Investgatve Demand from the Ofce of the Indiana Atorney General relatng to the Security Incident (the “Mult-state Investgaton”), which is further described in the substantally similar Administratve Orders fled in each of the 49 states and the District of Columbia.</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terms of the Administratve Orders, we have agreed: (i) to comply with state consumer protecton laws, data breach notfcaton laws, and the Health Insurance Portability and Accountability Act of 1996 (“HIPAA”); (ii) not to make misleading misrepresentatons to our customers or the individuals whose data is stored by us concerning (a) the extent to which we protect the privacy, security, confdentality, or integrity of certain data, (b) the likelihood that data impacted by a security incident may be subject to unauthorized access, disclosure, or other misuse, or (c) the data breach notfcaton requirements; and (iii) to implement and improve certain cybersecurity programs and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222885</wp:posOffset>
            </wp:positionV>
            <wp:extent cx="728980" cy="1885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960" w:type="dxa"/>
            <w:vAlign w:val="bottom"/>
          </w:tcPr>
          <w:p>
            <w:pPr>
              <w:jc w:val="right"/>
              <w:spacing w:after="0"/>
              <w:rPr>
                <w:sz w:val="20"/>
                <w:szCs w:val="20"/>
                <w:color w:val="auto"/>
              </w:rPr>
            </w:pPr>
            <w:r>
              <w:rPr>
                <w:rFonts w:ascii="Calibri" w:cs="Calibri" w:eastAsia="Calibri" w:hAnsi="Calibri"/>
                <w:sz w:val="14"/>
                <w:szCs w:val="14"/>
                <w:color w:val="51555C"/>
              </w:rPr>
              <w:t>99</w:t>
            </w:r>
          </w:p>
        </w:tc>
      </w:tr>
      <w:tr>
        <w:trPr>
          <w:trHeight w:val="351"/>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part of the Administratve Orders, we also agreed to pay, and have paid, a total of $49.5 million to the 49 states and District of Columbia. We entered into the Administratve Orders without admitng fault or liability in connecton with the maters subject to the Mult-state Investgaton. The form of Administratve Order was furnished as Exhibit 99.2 to our Current Report on Form 8-K fled with the SEC on October 5, 2023.</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As previously disclosed, on March 9, 2023, we reached a setlement with the SEC in connecton with the Security Incident. This setlement fully resolves the previously disclosed SEC investgaton of the Security Incident and is further described in an SEC cease-and-desist order (the “SEC Order”). Under the terms of the SEC Order, we have agreed to cease-and-desist from commitng or causing any violatons or any future violatons of Sectons 17(a)(2) and (3) of the Securites Act of 1933, as amended (the “Securites Act”), and Secton 13(a) of the Securites Exchange Act of 1934, as amended (the “Exchange Act”), and Rules 12b-20, 13a-13 and 13a-15(a) thereunder. No other violatons of the securites laws are alleged in the SEC Order. As part of the SEC Order, we also agreed to pay, and have paid, a civil penalty in the amount of $3.0 million. We consented to the entry of the SEC Order without admitng or denying the fndings of the SEC Order, other than with respect to the SEC’s jurisdicton over the Company and the subject mater of the SEC Order. The SEC Order describing the setlement was furnished as Exhibit 99.1 and the SEC’s press release announcing this resoluton was furnished as Exhibit 99.2 to our Current Report on Form 8-K fled with the SEC on March 9, 2023.</w:t>
      </w:r>
    </w:p>
    <w:p>
      <w:pPr>
        <w:spacing w:after="0" w:line="17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September 28, 2021, the Informaton Commissioner’s Ofce in the United Kingdom under the U.K. Data Protecton Act 2018 (the "ICO") notfed us that it has closed its investgaton of the Security Incident. Based on its investgaton and having considered our actons before, during and afer the Security Incident, the ICO issued our European subsidiary a reprimand in accordance with Artcle 58(2)(b) of the U.K. General Data Protecton Regulaton ("U.K. GDPR") due to our non-compliance, in the ICO's view, with the requirements set out in Artcle 32 of the U.K. GDPR regarding the processing of personal data. The ICO did not impose a penalty related to the Security Incident, nor did it impose any requirements for further acton by us.</w:t>
      </w:r>
    </w:p>
    <w:p>
      <w:pPr>
        <w:spacing w:after="0" w:line="16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September 24, 2021, we received notce from the Spanish Data Protecton Authority that it has concluded its investgaton of the Security Incident, pursuant to which our European subsidiary paid a penalty of €60,000 in relaton to the alleged late notfcaton of two Spanish data controllers regarding the Security Incident.</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January 15, 2021, we were notfed by the Data Protecton Commission of Ireland that it has concluded its investgaton of the Security Incident without taking any acton against us.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contnue to cooperate with all ongoing investgatons, which include various requests for documents, policies, narratves and communicatons, as well as requests to interview or depose various Company-related personnel. As noted above, each of these separate governmental investgatons could result in adverse judgments, setlements, fnes, penaltes or other resoluton, the amount, scope and tming of which we are currently unable to predict, but could have a material adverse impact on our results of operatons, cash fows or fnancial conditon.</w:t>
      </w:r>
    </w:p>
    <w:p>
      <w:pPr>
        <w:spacing w:after="0" w:line="312"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100</w:t>
      </w:r>
      <w:r>
        <w:rPr>
          <w:sz w:val="20"/>
          <w:szCs w:val="20"/>
          <w:color w:val="auto"/>
        </w:rPr>
        <w:tab/>
      </w:r>
      <w:r>
        <w:rPr>
          <w:sz w:val="1"/>
          <w:szCs w:val="1"/>
          <w:color w:val="auto"/>
        </w:rPr>
        <w:drawing>
          <wp:inline distT="0" distB="0" distL="0" distR="0">
            <wp:extent cx="728345" cy="188595"/>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fle income tax returns in the U.S. for federal and various state jurisdictons as well as in foreign jurisdictons including Canada, the U.K., Australia, Ireland and Costa Rica. We are generally subject to U.S. federal income tax examinaton for calendar tax years 2020 through 2023 as well as state and foreign income tax examinatons for various years depending on statutes of limitatons of those jurisdictons.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summarizes the components of income tax expense (beneft):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252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67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0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500" w:type="dxa"/>
            <w:vAlign w:val="bottom"/>
            <w:shd w:val="clear" w:color="auto" w:fill="004054"/>
          </w:tcPr>
          <w:p>
            <w:pPr>
              <w:spacing w:after="0"/>
              <w:rPr>
                <w:sz w:val="20"/>
                <w:szCs w:val="20"/>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560" w:type="dxa"/>
            <w:vAlign w:val="bottom"/>
            <w:shd w:val="clear" w:color="auto" w:fill="004054"/>
          </w:tcPr>
          <w:p>
            <w:pPr>
              <w:spacing w:after="0"/>
              <w:rPr>
                <w:sz w:val="20"/>
                <w:szCs w:val="20"/>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0"/>
                <w:szCs w:val="20"/>
                <w:color w:val="auto"/>
              </w:rPr>
            </w:pPr>
          </w:p>
        </w:tc>
      </w:tr>
      <w:tr>
        <w:trPr>
          <w:trHeight w:val="74"/>
        </w:trPr>
        <w:tc>
          <w:tcPr>
            <w:tcW w:w="670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c>
          <w:tcPr>
            <w:tcW w:w="50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56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7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Current taxes:</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56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6700" w:type="dxa"/>
            <w:vAlign w:val="bottom"/>
          </w:tcPr>
          <w:p>
            <w:pPr>
              <w:ind w:left="140"/>
              <w:spacing w:after="0"/>
              <w:rPr>
                <w:sz w:val="20"/>
                <w:szCs w:val="20"/>
                <w:color w:val="auto"/>
              </w:rPr>
            </w:pPr>
            <w:r>
              <w:rPr>
                <w:rFonts w:ascii="Calibri" w:cs="Calibri" w:eastAsia="Calibri" w:hAnsi="Calibri"/>
                <w:sz w:val="18"/>
                <w:szCs w:val="18"/>
                <w:color w:val="51555C"/>
              </w:rPr>
              <w:t>U.S. Federal</w:t>
            </w:r>
          </w:p>
        </w:tc>
        <w:tc>
          <w:tcPr>
            <w:tcW w:w="500" w:type="dxa"/>
            <w:vAlign w:val="bottom"/>
          </w:tcPr>
          <w:p>
            <w:pPr>
              <w:jc w:val="right"/>
              <w:ind w:right="29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18,879</w:t>
            </w:r>
          </w:p>
        </w:tc>
        <w:tc>
          <w:tcPr>
            <w:tcW w:w="500" w:type="dxa"/>
            <w:vAlign w:val="bottom"/>
          </w:tcPr>
          <w:p>
            <w:pPr>
              <w:jc w:val="right"/>
              <w:ind w:right="310"/>
              <w:spacing w:after="0"/>
              <w:rPr>
                <w:sz w:val="20"/>
                <w:szCs w:val="20"/>
                <w:color w:val="auto"/>
              </w:rPr>
            </w:pPr>
            <w:r>
              <w:rPr>
                <w:rFonts w:ascii="Calibri" w:cs="Calibri" w:eastAsia="Calibri" w:hAnsi="Calibri"/>
                <w:sz w:val="18"/>
                <w:szCs w:val="18"/>
                <w:color w:val="51555C"/>
                <w:w w:val="87"/>
              </w:rPr>
              <w:t>$</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3,485</w:t>
            </w:r>
          </w:p>
        </w:tc>
        <w:tc>
          <w:tcPr>
            <w:tcW w:w="560" w:type="dxa"/>
            <w:vAlign w:val="bottom"/>
          </w:tcPr>
          <w:p>
            <w:pPr>
              <w:jc w:val="right"/>
              <w:ind w:right="350"/>
              <w:spacing w:after="0"/>
              <w:rPr>
                <w:sz w:val="20"/>
                <w:szCs w:val="20"/>
                <w:color w:val="auto"/>
              </w:rPr>
            </w:pPr>
            <w:r>
              <w:rPr>
                <w:rFonts w:ascii="Calibri" w:cs="Calibri" w:eastAsia="Calibri" w:hAnsi="Calibri"/>
                <w:sz w:val="18"/>
                <w:szCs w:val="18"/>
                <w:color w:val="51555C"/>
              </w:rPr>
              <w:t>$</w:t>
            </w:r>
          </w:p>
        </w:tc>
        <w:tc>
          <w:tcPr>
            <w:tcW w:w="960" w:type="dxa"/>
            <w:vAlign w:val="bottom"/>
          </w:tcPr>
          <w:p>
            <w:pPr>
              <w:jc w:val="right"/>
              <w:spacing w:after="0"/>
              <w:rPr>
                <w:sz w:val="20"/>
                <w:szCs w:val="20"/>
                <w:color w:val="auto"/>
              </w:rPr>
            </w:pPr>
            <w:r>
              <w:rPr>
                <w:rFonts w:ascii="Calibri" w:cs="Calibri" w:eastAsia="Calibri" w:hAnsi="Calibri"/>
                <w:sz w:val="18"/>
                <w:szCs w:val="18"/>
                <w:color w:val="51555C"/>
              </w:rPr>
              <w:t>(2,499)</w:t>
            </w:r>
          </w:p>
        </w:tc>
        <w:tc>
          <w:tcPr>
            <w:tcW w:w="20" w:type="dxa"/>
            <w:vAlign w:val="bottom"/>
          </w:tcPr>
          <w:p>
            <w:pPr>
              <w:spacing w:after="0"/>
              <w:rPr>
                <w:sz w:val="19"/>
                <w:szCs w:val="19"/>
                <w:color w:val="auto"/>
              </w:rPr>
            </w:pPr>
          </w:p>
        </w:tc>
      </w:tr>
      <w:tr>
        <w:trPr>
          <w:trHeight w:val="50"/>
        </w:trPr>
        <w:tc>
          <w:tcPr>
            <w:tcW w:w="6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U.S. State and local</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12,331</w:t>
            </w: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5,708</w:t>
            </w:r>
          </w:p>
        </w:tc>
        <w:tc>
          <w:tcPr>
            <w:tcW w:w="56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(257)</w:t>
            </w:r>
          </w:p>
        </w:tc>
        <w:tc>
          <w:tcPr>
            <w:tcW w:w="20" w:type="dxa"/>
            <w:vAlign w:val="bottom"/>
          </w:tcPr>
          <w:p>
            <w:pPr>
              <w:spacing w:after="0"/>
              <w:rPr>
                <w:sz w:val="21"/>
                <w:szCs w:val="21"/>
                <w:color w:val="auto"/>
              </w:rPr>
            </w:pPr>
          </w:p>
        </w:tc>
      </w:tr>
      <w:tr>
        <w:trPr>
          <w:trHeight w:val="220"/>
        </w:trPr>
        <w:tc>
          <w:tcPr>
            <w:tcW w:w="6700" w:type="dxa"/>
            <w:vAlign w:val="bottom"/>
          </w:tcPr>
          <w:p>
            <w:pPr>
              <w:ind w:left="140"/>
              <w:spacing w:after="0"/>
              <w:rPr>
                <w:sz w:val="20"/>
                <w:szCs w:val="20"/>
                <w:color w:val="auto"/>
              </w:rPr>
            </w:pPr>
            <w:r>
              <w:rPr>
                <w:rFonts w:ascii="Calibri" w:cs="Calibri" w:eastAsia="Calibri" w:hAnsi="Calibri"/>
                <w:sz w:val="18"/>
                <w:szCs w:val="18"/>
                <w:color w:val="51555C"/>
              </w:rPr>
              <w:t>Internatonal</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8,982</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7,283</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6,570</w:t>
            </w:r>
          </w:p>
        </w:tc>
        <w:tc>
          <w:tcPr>
            <w:tcW w:w="20" w:type="dxa"/>
            <w:vAlign w:val="bottom"/>
          </w:tcPr>
          <w:p>
            <w:pPr>
              <w:spacing w:after="0"/>
              <w:rPr>
                <w:sz w:val="19"/>
                <w:szCs w:val="19"/>
                <w:color w:val="auto"/>
              </w:rPr>
            </w:pPr>
          </w:p>
        </w:tc>
      </w:tr>
      <w:tr>
        <w:trPr>
          <w:trHeight w:val="50"/>
        </w:trPr>
        <w:tc>
          <w:tcPr>
            <w:tcW w:w="670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560" w:type="dxa"/>
            <w:vAlign w:val="bottom"/>
            <w:tcBorders>
              <w:bottom w:val="single" w:sz="8" w:color="51555C"/>
            </w:tcBorders>
          </w:tcPr>
          <w:p>
            <w:pPr>
              <w:spacing w:after="0"/>
              <w:rPr>
                <w:sz w:val="4"/>
                <w:szCs w:val="4"/>
                <w:color w:val="auto"/>
              </w:rPr>
            </w:pPr>
          </w:p>
        </w:tc>
        <w:tc>
          <w:tcPr>
            <w:tcW w:w="9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700" w:type="dxa"/>
            <w:vAlign w:val="bottom"/>
            <w:tcBorders>
              <w:bottom w:val="single" w:sz="8" w:color="EBFBFF"/>
            </w:tcBorders>
            <w:shd w:val="clear" w:color="auto" w:fill="EBFBFF"/>
          </w:tcPr>
          <w:p>
            <w:pPr>
              <w:ind w:left="240"/>
              <w:spacing w:after="0" w:line="199" w:lineRule="exact"/>
              <w:rPr>
                <w:sz w:val="20"/>
                <w:szCs w:val="20"/>
                <w:color w:val="auto"/>
              </w:rPr>
            </w:pPr>
            <w:r>
              <w:rPr>
                <w:rFonts w:ascii="Calibri" w:cs="Calibri" w:eastAsia="Calibri" w:hAnsi="Calibri"/>
                <w:sz w:val="18"/>
                <w:szCs w:val="18"/>
                <w:b w:val="1"/>
                <w:bCs w:val="1"/>
                <w:color w:val="51555C"/>
              </w:rPr>
              <w:t>Total current taxes</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40,192</w:t>
            </w: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16,476</w:t>
            </w:r>
          </w:p>
        </w:tc>
        <w:tc>
          <w:tcPr>
            <w:tcW w:w="56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3,814</w:t>
            </w:r>
          </w:p>
        </w:tc>
        <w:tc>
          <w:tcPr>
            <w:tcW w:w="20" w:type="dxa"/>
            <w:vAlign w:val="bottom"/>
          </w:tcPr>
          <w:p>
            <w:pPr>
              <w:spacing w:after="0"/>
              <w:rPr>
                <w:sz w:val="21"/>
                <w:szCs w:val="21"/>
                <w:color w:val="auto"/>
              </w:rPr>
            </w:pPr>
          </w:p>
        </w:tc>
      </w:tr>
      <w:tr>
        <w:trPr>
          <w:trHeight w:val="220"/>
        </w:trPr>
        <w:tc>
          <w:tcPr>
            <w:tcW w:w="6700" w:type="dxa"/>
            <w:vAlign w:val="bottom"/>
          </w:tcPr>
          <w:p>
            <w:pPr>
              <w:ind w:left="20"/>
              <w:spacing w:after="0"/>
              <w:rPr>
                <w:sz w:val="20"/>
                <w:szCs w:val="20"/>
                <w:color w:val="auto"/>
              </w:rPr>
            </w:pPr>
            <w:r>
              <w:rPr>
                <w:rFonts w:ascii="Calibri" w:cs="Calibri" w:eastAsia="Calibri" w:hAnsi="Calibri"/>
                <w:sz w:val="18"/>
                <w:szCs w:val="18"/>
                <w:b w:val="1"/>
                <w:bCs w:val="1"/>
                <w:color w:val="51555C"/>
              </w:rPr>
              <w:t>Deferred taxes:</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6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U.S. Federal</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(18,303)</w:t>
            </w: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(16,880)</w:t>
            </w:r>
          </w:p>
        </w:tc>
        <w:tc>
          <w:tcPr>
            <w:tcW w:w="56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(4,615)</w:t>
            </w:r>
          </w:p>
        </w:tc>
        <w:tc>
          <w:tcPr>
            <w:tcW w:w="20" w:type="dxa"/>
            <w:vAlign w:val="bottom"/>
          </w:tcPr>
          <w:p>
            <w:pPr>
              <w:spacing w:after="0"/>
              <w:rPr>
                <w:sz w:val="21"/>
                <w:szCs w:val="21"/>
                <w:color w:val="auto"/>
              </w:rPr>
            </w:pPr>
          </w:p>
        </w:tc>
      </w:tr>
      <w:tr>
        <w:trPr>
          <w:trHeight w:val="220"/>
        </w:trPr>
        <w:tc>
          <w:tcPr>
            <w:tcW w:w="6700" w:type="dxa"/>
            <w:vAlign w:val="bottom"/>
          </w:tcPr>
          <w:p>
            <w:pPr>
              <w:ind w:left="140"/>
              <w:spacing w:after="0"/>
              <w:rPr>
                <w:sz w:val="20"/>
                <w:szCs w:val="20"/>
                <w:color w:val="auto"/>
              </w:rPr>
            </w:pPr>
            <w:r>
              <w:rPr>
                <w:rFonts w:ascii="Calibri" w:cs="Calibri" w:eastAsia="Calibri" w:hAnsi="Calibri"/>
                <w:sz w:val="18"/>
                <w:szCs w:val="18"/>
                <w:color w:val="51555C"/>
              </w:rPr>
              <w:t>U.S. State and local</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(5,895)</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(9,319)</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222</w:t>
            </w:r>
          </w:p>
        </w:tc>
        <w:tc>
          <w:tcPr>
            <w:tcW w:w="20" w:type="dxa"/>
            <w:vAlign w:val="bottom"/>
          </w:tcPr>
          <w:p>
            <w:pPr>
              <w:spacing w:after="0"/>
              <w:rPr>
                <w:sz w:val="19"/>
                <w:szCs w:val="19"/>
                <w:color w:val="auto"/>
              </w:rPr>
            </w:pPr>
          </w:p>
        </w:tc>
      </w:tr>
      <w:tr>
        <w:trPr>
          <w:trHeight w:val="50"/>
        </w:trPr>
        <w:tc>
          <w:tcPr>
            <w:tcW w:w="6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Internatonal</w:t>
            </w:r>
          </w:p>
        </w:tc>
        <w:tc>
          <w:tcPr>
            <w:tcW w:w="50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(170)</w:t>
            </w:r>
          </w:p>
        </w:tc>
        <w:tc>
          <w:tcPr>
            <w:tcW w:w="50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(445)</w:t>
            </w:r>
          </w:p>
        </w:tc>
        <w:tc>
          <w:tcPr>
            <w:tcW w:w="56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1,964</w:t>
            </w:r>
          </w:p>
        </w:tc>
        <w:tc>
          <w:tcPr>
            <w:tcW w:w="20" w:type="dxa"/>
            <w:vAlign w:val="bottom"/>
          </w:tcPr>
          <w:p>
            <w:pPr>
              <w:spacing w:after="0"/>
              <w:rPr>
                <w:sz w:val="23"/>
                <w:szCs w:val="23"/>
                <w:color w:val="auto"/>
              </w:rPr>
            </w:pPr>
          </w:p>
        </w:tc>
      </w:tr>
      <w:tr>
        <w:trPr>
          <w:trHeight w:val="213"/>
        </w:trPr>
        <w:tc>
          <w:tcPr>
            <w:tcW w:w="6700" w:type="dxa"/>
            <w:vAlign w:val="bottom"/>
          </w:tcPr>
          <w:p>
            <w:pPr>
              <w:ind w:left="240"/>
              <w:spacing w:after="0" w:line="199" w:lineRule="exact"/>
              <w:rPr>
                <w:sz w:val="20"/>
                <w:szCs w:val="20"/>
                <w:color w:val="auto"/>
              </w:rPr>
            </w:pPr>
            <w:r>
              <w:rPr>
                <w:rFonts w:ascii="Calibri" w:cs="Calibri" w:eastAsia="Calibri" w:hAnsi="Calibri"/>
                <w:sz w:val="18"/>
                <w:szCs w:val="18"/>
                <w:b w:val="1"/>
                <w:bCs w:val="1"/>
                <w:color w:val="51555C"/>
              </w:rPr>
              <w:t>Total deferred taxes</w:t>
            </w:r>
          </w:p>
        </w:tc>
        <w:tc>
          <w:tcPr>
            <w:tcW w:w="500" w:type="dxa"/>
            <w:vAlign w:val="bottom"/>
            <w:tcBorders>
              <w:top w:val="single" w:sz="8" w:color="51555C"/>
            </w:tcBorders>
          </w:tcPr>
          <w:p>
            <w:pPr>
              <w:spacing w:after="0"/>
              <w:rPr>
                <w:sz w:val="18"/>
                <w:szCs w:val="18"/>
                <w:color w:val="auto"/>
              </w:rPr>
            </w:pPr>
          </w:p>
        </w:tc>
        <w:tc>
          <w:tcPr>
            <w:tcW w:w="10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(24,368)</w:t>
            </w:r>
          </w:p>
        </w:tc>
        <w:tc>
          <w:tcPr>
            <w:tcW w:w="500" w:type="dxa"/>
            <w:vAlign w:val="bottom"/>
            <w:tcBorders>
              <w:top w:val="single" w:sz="8" w:color="51555C"/>
            </w:tcBorders>
          </w:tcPr>
          <w:p>
            <w:pPr>
              <w:spacing w:after="0"/>
              <w:rPr>
                <w:sz w:val="18"/>
                <w:szCs w:val="18"/>
                <w:color w:val="auto"/>
              </w:rPr>
            </w:pP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(26,644)</w:t>
            </w:r>
          </w:p>
        </w:tc>
        <w:tc>
          <w:tcPr>
            <w:tcW w:w="560" w:type="dxa"/>
            <w:vAlign w:val="bottom"/>
            <w:tcBorders>
              <w:top w:val="single" w:sz="8" w:color="51555C"/>
            </w:tcBorders>
          </w:tcPr>
          <w:p>
            <w:pPr>
              <w:spacing w:after="0"/>
              <w:rPr>
                <w:sz w:val="18"/>
                <w:szCs w:val="18"/>
                <w:color w:val="auto"/>
              </w:rPr>
            </w:pPr>
          </w:p>
        </w:tc>
        <w:tc>
          <w:tcPr>
            <w:tcW w:w="9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(2,429)</w:t>
            </w:r>
          </w:p>
        </w:tc>
        <w:tc>
          <w:tcPr>
            <w:tcW w:w="20" w:type="dxa"/>
            <w:vAlign w:val="bottom"/>
          </w:tcPr>
          <w:p>
            <w:pPr>
              <w:spacing w:after="0"/>
              <w:rPr>
                <w:sz w:val="18"/>
                <w:szCs w:val="18"/>
                <w:color w:val="auto"/>
              </w:rPr>
            </w:pPr>
          </w:p>
        </w:tc>
      </w:tr>
      <w:tr>
        <w:trPr>
          <w:trHeight w:val="50"/>
        </w:trPr>
        <w:tc>
          <w:tcPr>
            <w:tcW w:w="670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560" w:type="dxa"/>
            <w:vAlign w:val="bottom"/>
            <w:tcBorders>
              <w:bottom w:val="single" w:sz="8" w:color="51555C"/>
            </w:tcBorders>
          </w:tcPr>
          <w:p>
            <w:pPr>
              <w:spacing w:after="0"/>
              <w:rPr>
                <w:sz w:val="4"/>
                <w:szCs w:val="4"/>
                <w:color w:val="auto"/>
              </w:rPr>
            </w:pPr>
          </w:p>
        </w:tc>
        <w:tc>
          <w:tcPr>
            <w:tcW w:w="9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6700" w:type="dxa"/>
            <w:vAlign w:val="bottom"/>
            <w:tcBorders>
              <w:bottom w:val="single" w:sz="8" w:color="EBFBFF"/>
            </w:tcBorders>
            <w:shd w:val="clear" w:color="auto" w:fill="EBFBFF"/>
          </w:tcPr>
          <w:p>
            <w:pPr>
              <w:ind w:left="360"/>
              <w:spacing w:after="0" w:line="199" w:lineRule="exact"/>
              <w:rPr>
                <w:sz w:val="20"/>
                <w:szCs w:val="20"/>
                <w:color w:val="auto"/>
              </w:rPr>
            </w:pPr>
            <w:r>
              <w:rPr>
                <w:rFonts w:ascii="Calibri" w:cs="Calibri" w:eastAsia="Calibri" w:hAnsi="Calibri"/>
                <w:sz w:val="18"/>
                <w:szCs w:val="18"/>
                <w:b w:val="1"/>
                <w:bCs w:val="1"/>
                <w:color w:val="51555C"/>
              </w:rPr>
              <w:t>Total income tax provision (beneft)</w:t>
            </w:r>
          </w:p>
        </w:tc>
        <w:tc>
          <w:tcPr>
            <w:tcW w:w="50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15,824</w:t>
            </w:r>
          </w:p>
        </w:tc>
        <w:tc>
          <w:tcPr>
            <w:tcW w:w="500" w:type="dxa"/>
            <w:vAlign w:val="bottom"/>
            <w:tcBorders>
              <w:bottom w:val="single" w:sz="8" w:color="EBFBFF"/>
            </w:tcBorders>
            <w:shd w:val="clear" w:color="auto" w:fill="EBFBFF"/>
          </w:tcPr>
          <w:p>
            <w:pPr>
              <w:jc w:val="right"/>
              <w:ind w:right="310"/>
              <w:spacing w:after="0" w:line="213" w:lineRule="exact"/>
              <w:rPr>
                <w:sz w:val="20"/>
                <w:szCs w:val="20"/>
                <w:color w:val="auto"/>
              </w:rPr>
            </w:pPr>
            <w:r>
              <w:rPr>
                <w:rFonts w:ascii="Calibri" w:cs="Calibri" w:eastAsia="Calibri" w:hAnsi="Calibri"/>
                <w:sz w:val="18"/>
                <w:szCs w:val="18"/>
                <w:color w:val="51555C"/>
                <w:w w:val="87"/>
              </w:rPr>
              <w:t>$</w:t>
            </w:r>
          </w:p>
        </w:tc>
        <w:tc>
          <w:tcPr>
            <w:tcW w:w="10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(10,168)</w:t>
            </w:r>
          </w:p>
        </w:tc>
        <w:tc>
          <w:tcPr>
            <w:tcW w:w="560" w:type="dxa"/>
            <w:vAlign w:val="bottom"/>
            <w:tcBorders>
              <w:bottom w:val="single" w:sz="8" w:color="EBFBFF"/>
            </w:tcBorders>
            <w:shd w:val="clear" w:color="auto" w:fill="EBFBFF"/>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9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1,385</w:t>
            </w:r>
          </w:p>
        </w:tc>
        <w:tc>
          <w:tcPr>
            <w:tcW w:w="20" w:type="dxa"/>
            <w:vAlign w:val="bottom"/>
          </w:tcPr>
          <w:p>
            <w:pPr>
              <w:spacing w:after="0"/>
              <w:rPr>
                <w:sz w:val="21"/>
                <w:szCs w:val="21"/>
                <w:color w:val="auto"/>
              </w:rPr>
            </w:pPr>
          </w:p>
        </w:tc>
      </w:tr>
      <w:tr>
        <w:trPr>
          <w:trHeight w:val="20"/>
        </w:trPr>
        <w:tc>
          <w:tcPr>
            <w:tcW w:w="670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-2082165</wp:posOffset>
            </wp:positionV>
            <wp:extent cx="288861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summarizes the components of income (loss) before provision for income taxes: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10" w:type="dxa"/>
            <w:vAlign w:val="bottom"/>
            <w:shd w:val="clear" w:color="auto" w:fill="004054"/>
          </w:tcPr>
          <w:p>
            <w:pPr>
              <w:spacing w:after="0"/>
              <w:rPr>
                <w:sz w:val="16"/>
                <w:szCs w:val="16"/>
                <w:color w:val="auto"/>
              </w:rPr>
            </w:pPr>
          </w:p>
        </w:tc>
        <w:tc>
          <w:tcPr>
            <w:tcW w:w="1500" w:type="dxa"/>
            <w:vAlign w:val="bottom"/>
            <w:shd w:val="clear" w:color="auto" w:fill="004054"/>
          </w:tcPr>
          <w:p>
            <w:pPr>
              <w:spacing w:after="0"/>
              <w:rPr>
                <w:sz w:val="16"/>
                <w:szCs w:val="16"/>
                <w:color w:val="auto"/>
              </w:rPr>
            </w:pPr>
          </w:p>
        </w:tc>
        <w:tc>
          <w:tcPr>
            <w:tcW w:w="3050" w:type="dxa"/>
            <w:vAlign w:val="bottom"/>
            <w:gridSpan w:val="2"/>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r>
      <w:tr>
        <w:trPr>
          <w:trHeight w:val="236"/>
        </w:trPr>
        <w:tc>
          <w:tcPr>
            <w:tcW w:w="671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5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1530" w:type="dxa"/>
            <w:vAlign w:val="bottom"/>
            <w:shd w:val="clear" w:color="auto" w:fill="004054"/>
          </w:tcPr>
          <w:p>
            <w:pPr>
              <w:jc w:val="right"/>
              <w:ind w:right="8"/>
              <w:spacing w:after="0"/>
              <w:rPr>
                <w:sz w:val="20"/>
                <w:szCs w:val="20"/>
                <w:color w:val="auto"/>
              </w:rPr>
            </w:pPr>
            <w:r>
              <w:rPr>
                <w:rFonts w:ascii="Calibri" w:cs="Calibri" w:eastAsia="Calibri" w:hAnsi="Calibri"/>
                <w:sz w:val="14"/>
                <w:szCs w:val="14"/>
                <w:b w:val="1"/>
                <w:bCs w:val="1"/>
                <w:color w:val="FFFFFF"/>
              </w:rPr>
              <w:t>2021</w:t>
            </w:r>
          </w:p>
        </w:tc>
      </w:tr>
      <w:tr>
        <w:trPr>
          <w:trHeight w:val="74"/>
        </w:trPr>
        <w:tc>
          <w:tcPr>
            <w:tcW w:w="6710" w:type="dxa"/>
            <w:vAlign w:val="bottom"/>
            <w:shd w:val="clear" w:color="auto" w:fill="004054"/>
          </w:tcPr>
          <w:p>
            <w:pPr>
              <w:spacing w:after="0"/>
              <w:rPr>
                <w:sz w:val="6"/>
                <w:szCs w:val="6"/>
                <w:color w:val="auto"/>
              </w:rPr>
            </w:pPr>
          </w:p>
        </w:tc>
        <w:tc>
          <w:tcPr>
            <w:tcW w:w="1500" w:type="dxa"/>
            <w:vAlign w:val="bottom"/>
            <w:shd w:val="clear" w:color="auto" w:fill="004054"/>
          </w:tcPr>
          <w:p>
            <w:pPr>
              <w:spacing w:after="0"/>
              <w:rPr>
                <w:sz w:val="6"/>
                <w:szCs w:val="6"/>
                <w:color w:val="auto"/>
              </w:rPr>
            </w:pPr>
          </w:p>
        </w:tc>
        <w:tc>
          <w:tcPr>
            <w:tcW w:w="1520" w:type="dxa"/>
            <w:vAlign w:val="bottom"/>
            <w:shd w:val="clear" w:color="auto" w:fill="004054"/>
          </w:tcPr>
          <w:p>
            <w:pPr>
              <w:spacing w:after="0"/>
              <w:rPr>
                <w:sz w:val="6"/>
                <w:szCs w:val="6"/>
                <w:color w:val="auto"/>
              </w:rPr>
            </w:pPr>
          </w:p>
        </w:tc>
        <w:tc>
          <w:tcPr>
            <w:tcW w:w="153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-161925</wp:posOffset>
            </wp:positionV>
            <wp:extent cx="28886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6700" w:type="dxa"/>
            <w:vAlign w:val="bottom"/>
          </w:tcPr>
          <w:p>
            <w:pPr>
              <w:ind w:left="20"/>
              <w:spacing w:after="0"/>
              <w:rPr>
                <w:sz w:val="20"/>
                <w:szCs w:val="20"/>
                <w:color w:val="auto"/>
              </w:rPr>
            </w:pPr>
            <w:r>
              <w:rPr>
                <w:rFonts w:ascii="Calibri" w:cs="Calibri" w:eastAsia="Calibri" w:hAnsi="Calibri"/>
                <w:sz w:val="18"/>
                <w:szCs w:val="18"/>
                <w:color w:val="51555C"/>
              </w:rPr>
              <w:t>U.S.</w:t>
            </w:r>
          </w:p>
        </w:tc>
        <w:tc>
          <w:tcPr>
            <w:tcW w:w="500" w:type="dxa"/>
            <w:vAlign w:val="bottom"/>
          </w:tcPr>
          <w:p>
            <w:pPr>
              <w:jc w:val="right"/>
              <w:ind w:right="29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center"/>
              <w:ind w:left="290"/>
              <w:spacing w:after="0"/>
              <w:rPr>
                <w:sz w:val="20"/>
                <w:szCs w:val="20"/>
                <w:color w:val="auto"/>
              </w:rPr>
            </w:pPr>
            <w:r>
              <w:rPr>
                <w:rFonts w:ascii="Calibri" w:cs="Calibri" w:eastAsia="Calibri" w:hAnsi="Calibri"/>
                <w:sz w:val="18"/>
                <w:szCs w:val="18"/>
                <w:color w:val="51555C"/>
                <w:w w:val="98"/>
              </w:rPr>
              <w:t>(22,074)</w:t>
            </w:r>
          </w:p>
        </w:tc>
        <w:tc>
          <w:tcPr>
            <w:tcW w:w="220" w:type="dxa"/>
            <w:vAlign w:val="bottom"/>
          </w:tcPr>
          <w:p>
            <w:pPr>
              <w:jc w:val="right"/>
              <w:ind w:right="30"/>
              <w:spacing w:after="0"/>
              <w:rPr>
                <w:sz w:val="20"/>
                <w:szCs w:val="20"/>
                <w:color w:val="auto"/>
              </w:rPr>
            </w:pPr>
            <w:r>
              <w:rPr>
                <w:rFonts w:ascii="Calibri" w:cs="Calibri" w:eastAsia="Calibri" w:hAnsi="Calibri"/>
                <w:sz w:val="18"/>
                <w:szCs w:val="18"/>
                <w:color w:val="51555C"/>
                <w:w w:val="87"/>
              </w:rPr>
              <w:t>$</w:t>
            </w:r>
          </w:p>
        </w:tc>
        <w:tc>
          <w:tcPr>
            <w:tcW w:w="1280" w:type="dxa"/>
            <w:vAlign w:val="bottom"/>
          </w:tcPr>
          <w:p>
            <w:pPr>
              <w:jc w:val="center"/>
              <w:ind w:left="555"/>
              <w:spacing w:after="0"/>
              <w:rPr>
                <w:sz w:val="20"/>
                <w:szCs w:val="20"/>
                <w:color w:val="auto"/>
              </w:rPr>
            </w:pPr>
            <w:r>
              <w:rPr>
                <w:rFonts w:ascii="Calibri" w:cs="Calibri" w:eastAsia="Calibri" w:hAnsi="Calibri"/>
                <w:sz w:val="18"/>
                <w:szCs w:val="18"/>
                <w:color w:val="51555C"/>
                <w:w w:val="98"/>
              </w:rPr>
              <w:t>(91,493)</w:t>
            </w:r>
          </w:p>
        </w:tc>
        <w:tc>
          <w:tcPr>
            <w:tcW w:w="500" w:type="dxa"/>
            <w:vAlign w:val="bottom"/>
          </w:tcPr>
          <w:p>
            <w:pPr>
              <w:jc w:val="right"/>
              <w:ind w:right="29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(23,180)</w:t>
            </w:r>
          </w:p>
        </w:tc>
      </w:tr>
      <w:tr>
        <w:trPr>
          <w:trHeight w:val="270"/>
        </w:trPr>
        <w:tc>
          <w:tcPr>
            <w:tcW w:w="6700" w:type="dxa"/>
            <w:vAlign w:val="bottom"/>
          </w:tcPr>
          <w:p>
            <w:pPr>
              <w:ind w:left="20"/>
              <w:spacing w:after="0"/>
              <w:rPr>
                <w:sz w:val="20"/>
                <w:szCs w:val="20"/>
                <w:color w:val="auto"/>
              </w:rPr>
            </w:pPr>
            <w:r>
              <w:rPr>
                <w:rFonts w:ascii="Calibri" w:cs="Calibri" w:eastAsia="Calibri" w:hAnsi="Calibri"/>
                <w:sz w:val="18"/>
                <w:szCs w:val="18"/>
                <w:color w:val="51555C"/>
              </w:rPr>
              <w:t>Internatonal</w:t>
            </w:r>
          </w:p>
        </w:tc>
        <w:tc>
          <w:tcPr>
            <w:tcW w:w="500" w:type="dxa"/>
            <w:vAlign w:val="bottom"/>
          </w:tcPr>
          <w:p>
            <w:pPr>
              <w:spacing w:after="0"/>
              <w:rPr>
                <w:sz w:val="23"/>
                <w:szCs w:val="23"/>
                <w:color w:val="auto"/>
              </w:rPr>
            </w:pPr>
          </w:p>
        </w:tc>
        <w:tc>
          <w:tcPr>
            <w:tcW w:w="1020" w:type="dxa"/>
            <w:vAlign w:val="bottom"/>
          </w:tcPr>
          <w:p>
            <w:pPr>
              <w:jc w:val="center"/>
              <w:ind w:left="310"/>
              <w:spacing w:after="0"/>
              <w:rPr>
                <w:sz w:val="20"/>
                <w:szCs w:val="20"/>
                <w:color w:val="auto"/>
              </w:rPr>
            </w:pPr>
            <w:r>
              <w:rPr>
                <w:rFonts w:ascii="Calibri" w:cs="Calibri" w:eastAsia="Calibri" w:hAnsi="Calibri"/>
                <w:sz w:val="18"/>
                <w:szCs w:val="18"/>
                <w:color w:val="51555C"/>
                <w:w w:val="99"/>
              </w:rPr>
              <w:t>39,718</w:t>
            </w:r>
          </w:p>
        </w:tc>
        <w:tc>
          <w:tcPr>
            <w:tcW w:w="220" w:type="dxa"/>
            <w:vAlign w:val="bottom"/>
          </w:tcPr>
          <w:p>
            <w:pPr>
              <w:spacing w:after="0"/>
              <w:rPr>
                <w:sz w:val="23"/>
                <w:szCs w:val="23"/>
                <w:color w:val="auto"/>
              </w:rPr>
            </w:pPr>
          </w:p>
        </w:tc>
        <w:tc>
          <w:tcPr>
            <w:tcW w:w="1280" w:type="dxa"/>
            <w:vAlign w:val="bottom"/>
          </w:tcPr>
          <w:p>
            <w:pPr>
              <w:jc w:val="center"/>
              <w:ind w:left="595"/>
              <w:spacing w:after="0"/>
              <w:rPr>
                <w:sz w:val="20"/>
                <w:szCs w:val="20"/>
                <w:color w:val="auto"/>
              </w:rPr>
            </w:pPr>
            <w:r>
              <w:rPr>
                <w:rFonts w:ascii="Calibri" w:cs="Calibri" w:eastAsia="Calibri" w:hAnsi="Calibri"/>
                <w:sz w:val="18"/>
                <w:szCs w:val="18"/>
                <w:color w:val="51555C"/>
                <w:w w:val="95"/>
              </w:rPr>
              <w:t>35,918</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30,263</w:t>
            </w:r>
          </w:p>
        </w:tc>
      </w:tr>
      <w:tr>
        <w:trPr>
          <w:trHeight w:val="50"/>
        </w:trPr>
        <w:tc>
          <w:tcPr>
            <w:tcW w:w="6700" w:type="dxa"/>
            <w:vAlign w:val="bottom"/>
            <w:tcBorders>
              <w:bottom w:val="single" w:sz="8" w:color="EBFBFF"/>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c>
          <w:tcPr>
            <w:tcW w:w="220" w:type="dxa"/>
            <w:vAlign w:val="bottom"/>
            <w:tcBorders>
              <w:bottom w:val="single" w:sz="8" w:color="51555C"/>
            </w:tcBorders>
          </w:tcPr>
          <w:p>
            <w:pPr>
              <w:spacing w:after="0"/>
              <w:rPr>
                <w:sz w:val="4"/>
                <w:szCs w:val="4"/>
                <w:color w:val="auto"/>
              </w:rPr>
            </w:pPr>
          </w:p>
        </w:tc>
        <w:tc>
          <w:tcPr>
            <w:tcW w:w="1280" w:type="dxa"/>
            <w:vAlign w:val="bottom"/>
            <w:tcBorders>
              <w:bottom w:val="single" w:sz="8" w:color="51555C"/>
            </w:tcBorders>
          </w:tcPr>
          <w:p>
            <w:pPr>
              <w:spacing w:after="0"/>
              <w:rPr>
                <w:sz w:val="4"/>
                <w:szCs w:val="4"/>
                <w:color w:val="auto"/>
              </w:rPr>
            </w:pPr>
          </w:p>
        </w:tc>
        <w:tc>
          <w:tcPr>
            <w:tcW w:w="50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r>
      <w:tr>
        <w:trPr>
          <w:trHeight w:val="269"/>
        </w:trPr>
        <w:tc>
          <w:tcPr>
            <w:tcW w:w="670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Income (loss) before provision for income taxes</w:t>
            </w:r>
          </w:p>
        </w:tc>
        <w:tc>
          <w:tcPr>
            <w:tcW w:w="50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center"/>
              <w:ind w:left="310"/>
              <w:spacing w:after="0" w:line="213" w:lineRule="exact"/>
              <w:rPr>
                <w:sz w:val="20"/>
                <w:szCs w:val="20"/>
                <w:color w:val="auto"/>
              </w:rPr>
            </w:pPr>
            <w:r>
              <w:rPr>
                <w:rFonts w:ascii="Calibri" w:cs="Calibri" w:eastAsia="Calibri" w:hAnsi="Calibri"/>
                <w:sz w:val="18"/>
                <w:szCs w:val="18"/>
                <w:color w:val="51555C"/>
                <w:w w:val="99"/>
              </w:rPr>
              <w:t>17,644</w:t>
            </w:r>
          </w:p>
        </w:tc>
        <w:tc>
          <w:tcPr>
            <w:tcW w:w="22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w w:val="87"/>
              </w:rPr>
              <w:t>$</w:t>
            </w:r>
          </w:p>
        </w:tc>
        <w:tc>
          <w:tcPr>
            <w:tcW w:w="1280" w:type="dxa"/>
            <w:vAlign w:val="bottom"/>
            <w:tcBorders>
              <w:bottom w:val="single" w:sz="8" w:color="EBFBFF"/>
            </w:tcBorders>
            <w:shd w:val="clear" w:color="auto" w:fill="EBFBFF"/>
          </w:tcPr>
          <w:p>
            <w:pPr>
              <w:jc w:val="center"/>
              <w:ind w:left="555"/>
              <w:spacing w:after="0" w:line="213" w:lineRule="exact"/>
              <w:rPr>
                <w:sz w:val="20"/>
                <w:szCs w:val="20"/>
                <w:color w:val="auto"/>
              </w:rPr>
            </w:pPr>
            <w:r>
              <w:rPr>
                <w:rFonts w:ascii="Calibri" w:cs="Calibri" w:eastAsia="Calibri" w:hAnsi="Calibri"/>
                <w:sz w:val="18"/>
                <w:szCs w:val="18"/>
                <w:color w:val="51555C"/>
                <w:w w:val="98"/>
              </w:rPr>
              <w:t>(55,575)</w:t>
            </w:r>
          </w:p>
        </w:tc>
        <w:tc>
          <w:tcPr>
            <w:tcW w:w="500" w:type="dxa"/>
            <w:vAlign w:val="bottom"/>
            <w:tcBorders>
              <w:bottom w:val="single" w:sz="8" w:color="EBFBFF"/>
            </w:tcBorders>
            <w:shd w:val="clear" w:color="auto" w:fill="EBFBFF"/>
          </w:tcPr>
          <w:p>
            <w:pPr>
              <w:jc w:val="right"/>
              <w:ind w:right="290"/>
              <w:spacing w:after="0" w:line="213" w:lineRule="exact"/>
              <w:rPr>
                <w:sz w:val="20"/>
                <w:szCs w:val="20"/>
                <w:color w:val="auto"/>
              </w:rPr>
            </w:pPr>
            <w:r>
              <w:rPr>
                <w:rFonts w:ascii="Calibri" w:cs="Calibri" w:eastAsia="Calibri" w:hAnsi="Calibri"/>
                <w:sz w:val="18"/>
                <w:szCs w:val="18"/>
                <w:color w:val="51555C"/>
              </w:rPr>
              <w:t>$</w:t>
            </w: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7,083</w:t>
            </w:r>
          </w:p>
        </w:tc>
      </w:tr>
      <w:tr>
        <w:trPr>
          <w:trHeight w:val="662"/>
        </w:trPr>
        <w:tc>
          <w:tcPr>
            <w:tcW w:w="6700" w:type="dxa"/>
            <w:vAlign w:val="bottom"/>
            <w:tcBorders>
              <w:top w:val="single" w:sz="8" w:color="0CD973"/>
            </w:tcBorders>
          </w:tcPr>
          <w:p>
            <w:pPr>
              <w:spacing w:after="0"/>
              <w:rPr>
                <w:sz w:val="24"/>
                <w:szCs w:val="24"/>
                <w:color w:val="auto"/>
              </w:rPr>
            </w:pPr>
          </w:p>
        </w:tc>
        <w:tc>
          <w:tcPr>
            <w:tcW w:w="500" w:type="dxa"/>
            <w:vAlign w:val="bottom"/>
            <w:tcBorders>
              <w:top w:val="single" w:sz="8" w:color="0CD973"/>
            </w:tcBorders>
          </w:tcPr>
          <w:p>
            <w:pPr>
              <w:spacing w:after="0"/>
              <w:rPr>
                <w:sz w:val="24"/>
                <w:szCs w:val="24"/>
                <w:color w:val="auto"/>
              </w:rPr>
            </w:pPr>
          </w:p>
        </w:tc>
        <w:tc>
          <w:tcPr>
            <w:tcW w:w="1020" w:type="dxa"/>
            <w:vAlign w:val="bottom"/>
            <w:tcBorders>
              <w:top w:val="single" w:sz="8" w:color="0CD973"/>
            </w:tcBorders>
          </w:tcPr>
          <w:p>
            <w:pPr>
              <w:spacing w:after="0"/>
              <w:rPr>
                <w:sz w:val="24"/>
                <w:szCs w:val="24"/>
                <w:color w:val="auto"/>
              </w:rPr>
            </w:pPr>
          </w:p>
        </w:tc>
        <w:tc>
          <w:tcPr>
            <w:tcW w:w="220" w:type="dxa"/>
            <w:vAlign w:val="bottom"/>
            <w:tcBorders>
              <w:top w:val="single" w:sz="8" w:color="0CD973"/>
            </w:tcBorders>
          </w:tcPr>
          <w:p>
            <w:pPr>
              <w:spacing w:after="0"/>
              <w:rPr>
                <w:sz w:val="24"/>
                <w:szCs w:val="24"/>
                <w:color w:val="auto"/>
              </w:rPr>
            </w:pPr>
          </w:p>
        </w:tc>
        <w:tc>
          <w:tcPr>
            <w:tcW w:w="1280" w:type="dxa"/>
            <w:vAlign w:val="bottom"/>
            <w:tcBorders>
              <w:top w:val="single" w:sz="8" w:color="0CD973"/>
            </w:tcBorders>
          </w:tcPr>
          <w:p>
            <w:pPr>
              <w:ind w:left="100"/>
              <w:spacing w:after="0"/>
              <w:rPr>
                <w:sz w:val="20"/>
                <w:szCs w:val="20"/>
                <w:color w:val="auto"/>
              </w:rPr>
            </w:pPr>
            <w:r>
              <w:rPr>
                <w:rFonts w:ascii="Calibri" w:cs="Calibri" w:eastAsia="Calibri" w:hAnsi="Calibri"/>
                <w:sz w:val="14"/>
                <w:szCs w:val="14"/>
                <w:color w:val="51555C"/>
              </w:rPr>
              <w:t>2023 Form 10-K</w:t>
            </w:r>
          </w:p>
        </w:tc>
        <w:tc>
          <w:tcPr>
            <w:tcW w:w="500" w:type="dxa"/>
            <w:vAlign w:val="bottom"/>
            <w:tcBorders>
              <w:top w:val="single" w:sz="8" w:color="0CD973"/>
            </w:tcBorders>
          </w:tcPr>
          <w:p>
            <w:pPr>
              <w:spacing w:after="0"/>
              <w:rPr>
                <w:sz w:val="24"/>
                <w:szCs w:val="24"/>
                <w:color w:val="auto"/>
              </w:rPr>
            </w:pPr>
          </w:p>
        </w:tc>
        <w:tc>
          <w:tcPr>
            <w:tcW w:w="1020" w:type="dxa"/>
            <w:vAlign w:val="bottom"/>
            <w:tcBorders>
              <w:top w:val="single" w:sz="8" w:color="0CD973"/>
            </w:tcBorders>
          </w:tcPr>
          <w:p>
            <w:pPr>
              <w:jc w:val="right"/>
              <w:spacing w:after="0"/>
              <w:rPr>
                <w:sz w:val="20"/>
                <w:szCs w:val="20"/>
                <w:color w:val="auto"/>
              </w:rPr>
            </w:pPr>
            <w:r>
              <w:rPr>
                <w:rFonts w:ascii="Calibri" w:cs="Calibri" w:eastAsia="Calibri" w:hAnsi="Calibri"/>
                <w:sz w:val="14"/>
                <w:szCs w:val="14"/>
                <w:color w:val="51555C"/>
              </w:rPr>
              <w:t>101</w:t>
            </w:r>
          </w:p>
        </w:tc>
      </w:tr>
      <w:tr>
        <w:trPr>
          <w:trHeight w:val="351"/>
        </w:trPr>
        <w:tc>
          <w:tcPr>
            <w:tcW w:w="6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 reconciliaton between the efect of applying the federal statutory rate and the efectve income tax rate used to calculate our income tax provision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shd w:val="clear" w:color="auto" w:fill="004054"/>
          </w:tcPr>
          <w:p>
            <w:pPr>
              <w:spacing w:after="0"/>
              <w:rPr>
                <w:sz w:val="16"/>
                <w:szCs w:val="16"/>
                <w:color w:val="auto"/>
              </w:rPr>
            </w:pPr>
          </w:p>
        </w:tc>
        <w:tc>
          <w:tcPr>
            <w:tcW w:w="1600" w:type="dxa"/>
            <w:vAlign w:val="bottom"/>
            <w:shd w:val="clear" w:color="auto" w:fill="004054"/>
          </w:tcPr>
          <w:p>
            <w:pPr>
              <w:spacing w:after="0"/>
              <w:rPr>
                <w:sz w:val="16"/>
                <w:szCs w:val="16"/>
                <w:color w:val="auto"/>
              </w:rPr>
            </w:pPr>
          </w:p>
        </w:tc>
        <w:tc>
          <w:tcPr>
            <w:tcW w:w="1580" w:type="dxa"/>
            <w:vAlign w:val="bottom"/>
            <w:shd w:val="clear" w:color="auto" w:fill="004054"/>
          </w:tcPr>
          <w:p>
            <w:pPr>
              <w:spacing w:after="0"/>
              <w:rPr>
                <w:sz w:val="16"/>
                <w:szCs w:val="16"/>
                <w:color w:val="auto"/>
              </w:rPr>
            </w:pPr>
          </w:p>
        </w:tc>
        <w:tc>
          <w:tcPr>
            <w:tcW w:w="16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6460" w:type="dxa"/>
            <w:vAlign w:val="bottom"/>
            <w:shd w:val="clear" w:color="auto" w:fill="004054"/>
          </w:tcPr>
          <w:p>
            <w:pPr>
              <w:spacing w:after="0"/>
              <w:rPr>
                <w:sz w:val="20"/>
                <w:szCs w:val="20"/>
                <w:color w:val="auto"/>
              </w:rPr>
            </w:pPr>
          </w:p>
        </w:tc>
        <w:tc>
          <w:tcPr>
            <w:tcW w:w="1600" w:type="dxa"/>
            <w:vAlign w:val="bottom"/>
            <w:shd w:val="clear" w:color="auto" w:fill="004054"/>
          </w:tcPr>
          <w:p>
            <w:pPr>
              <w:jc w:val="right"/>
              <w:ind w:right="91"/>
              <w:spacing w:after="0"/>
              <w:rPr>
                <w:sz w:val="20"/>
                <w:szCs w:val="20"/>
                <w:color w:val="auto"/>
              </w:rPr>
            </w:pPr>
            <w:r>
              <w:rPr>
                <w:rFonts w:ascii="Calibri" w:cs="Calibri" w:eastAsia="Calibri" w:hAnsi="Calibri"/>
                <w:sz w:val="14"/>
                <w:szCs w:val="14"/>
                <w:b w:val="1"/>
                <w:bCs w:val="1"/>
                <w:color w:val="FFFFFF"/>
              </w:rPr>
              <w:t>2023</w:t>
            </w:r>
          </w:p>
        </w:tc>
        <w:tc>
          <w:tcPr>
            <w:tcW w:w="1580" w:type="dxa"/>
            <w:vAlign w:val="bottom"/>
            <w:shd w:val="clear" w:color="auto" w:fill="004054"/>
          </w:tcPr>
          <w:p>
            <w:pPr>
              <w:jc w:val="right"/>
              <w:ind w:right="91"/>
              <w:spacing w:after="0"/>
              <w:rPr>
                <w:sz w:val="20"/>
                <w:szCs w:val="20"/>
                <w:color w:val="auto"/>
              </w:rPr>
            </w:pPr>
            <w:r>
              <w:rPr>
                <w:rFonts w:ascii="Calibri" w:cs="Calibri" w:eastAsia="Calibri" w:hAnsi="Calibri"/>
                <w:sz w:val="14"/>
                <w:szCs w:val="14"/>
                <w:b w:val="1"/>
                <w:bCs w:val="1"/>
                <w:color w:val="FFFFFF"/>
              </w:rPr>
              <w:t>2022</w:t>
            </w:r>
          </w:p>
        </w:tc>
        <w:tc>
          <w:tcPr>
            <w:tcW w:w="1600" w:type="dxa"/>
            <w:vAlign w:val="bottom"/>
            <w:shd w:val="clear" w:color="auto" w:fill="004054"/>
          </w:tcPr>
          <w:p>
            <w:pPr>
              <w:jc w:val="right"/>
              <w:ind w:right="92"/>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0"/>
                <w:szCs w:val="20"/>
                <w:color w:val="auto"/>
              </w:rPr>
            </w:pPr>
          </w:p>
        </w:tc>
      </w:tr>
      <w:tr>
        <w:trPr>
          <w:trHeight w:val="74"/>
        </w:trPr>
        <w:tc>
          <w:tcPr>
            <w:tcW w:w="6460" w:type="dxa"/>
            <w:vAlign w:val="bottom"/>
            <w:shd w:val="clear" w:color="auto" w:fill="004054"/>
          </w:tcPr>
          <w:p>
            <w:pPr>
              <w:spacing w:after="0"/>
              <w:rPr>
                <w:sz w:val="6"/>
                <w:szCs w:val="6"/>
                <w:color w:val="auto"/>
              </w:rPr>
            </w:pPr>
          </w:p>
        </w:tc>
        <w:tc>
          <w:tcPr>
            <w:tcW w:w="1600" w:type="dxa"/>
            <w:vAlign w:val="bottom"/>
            <w:shd w:val="clear" w:color="auto" w:fill="004054"/>
          </w:tcPr>
          <w:p>
            <w:pPr>
              <w:spacing w:after="0"/>
              <w:rPr>
                <w:sz w:val="6"/>
                <w:szCs w:val="6"/>
                <w:color w:val="auto"/>
              </w:rPr>
            </w:pPr>
          </w:p>
        </w:tc>
        <w:tc>
          <w:tcPr>
            <w:tcW w:w="1580" w:type="dxa"/>
            <w:vAlign w:val="bottom"/>
            <w:shd w:val="clear" w:color="auto" w:fill="004054"/>
          </w:tcPr>
          <w:p>
            <w:pPr>
              <w:spacing w:after="0"/>
              <w:rPr>
                <w:sz w:val="6"/>
                <w:szCs w:val="6"/>
                <w:color w:val="auto"/>
              </w:rPr>
            </w:pPr>
          </w:p>
        </w:tc>
        <w:tc>
          <w:tcPr>
            <w:tcW w:w="16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Federal statutory rate</w:t>
            </w:r>
          </w:p>
        </w:tc>
        <w:tc>
          <w:tcPr>
            <w:tcW w:w="16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21.0 %</w:t>
            </w:r>
          </w:p>
        </w:tc>
        <w:tc>
          <w:tcPr>
            <w:tcW w:w="15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21.0 %</w:t>
            </w:r>
          </w:p>
        </w:tc>
        <w:tc>
          <w:tcPr>
            <w:tcW w:w="16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21.0 %</w:t>
            </w:r>
          </w:p>
        </w:tc>
        <w:tc>
          <w:tcPr>
            <w:tcW w:w="20" w:type="dxa"/>
            <w:vAlign w:val="bottom"/>
          </w:tcPr>
          <w:p>
            <w:pPr>
              <w:spacing w:after="0"/>
              <w:rPr>
                <w:sz w:val="21"/>
                <w:szCs w:val="21"/>
                <w:color w:val="auto"/>
              </w:rPr>
            </w:pPr>
          </w:p>
        </w:tc>
      </w:tr>
      <w:tr>
        <w:trPr>
          <w:trHeight w:val="219"/>
        </w:trPr>
        <w:tc>
          <w:tcPr>
            <w:tcW w:w="6460" w:type="dxa"/>
            <w:vAlign w:val="bottom"/>
          </w:tcPr>
          <w:p>
            <w:pPr>
              <w:ind w:left="20"/>
              <w:spacing w:after="0"/>
              <w:rPr>
                <w:sz w:val="20"/>
                <w:szCs w:val="20"/>
                <w:color w:val="auto"/>
              </w:rPr>
            </w:pPr>
            <w:r>
              <w:rPr>
                <w:rFonts w:ascii="Calibri" w:cs="Calibri" w:eastAsia="Calibri" w:hAnsi="Calibri"/>
                <w:sz w:val="18"/>
                <w:szCs w:val="18"/>
                <w:color w:val="51555C"/>
              </w:rPr>
              <w:t>Efect of:</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State income taxes, net of federal beneft</w:t>
            </w:r>
          </w:p>
        </w:tc>
        <w:tc>
          <w:tcPr>
            <w:tcW w:w="1600" w:type="dxa"/>
            <w:vAlign w:val="bottom"/>
            <w:tcBorders>
              <w:bottom w:val="single" w:sz="8" w:color="EBFBFF"/>
            </w:tcBorders>
            <w:shd w:val="clear" w:color="auto" w:fill="EBFBFF"/>
          </w:tcPr>
          <w:p>
            <w:pPr>
              <w:jc w:val="right"/>
              <w:ind w:right="111"/>
              <w:spacing w:after="0"/>
              <w:rPr>
                <w:sz w:val="20"/>
                <w:szCs w:val="20"/>
                <w:color w:val="auto"/>
              </w:rPr>
            </w:pPr>
            <w:r>
              <w:rPr>
                <w:rFonts w:ascii="Calibri" w:cs="Calibri" w:eastAsia="Calibri" w:hAnsi="Calibri"/>
                <w:sz w:val="18"/>
                <w:szCs w:val="18"/>
                <w:color w:val="51555C"/>
              </w:rPr>
              <w:t>20.0</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1.5</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4.4</w:t>
            </w:r>
          </w:p>
        </w:tc>
        <w:tc>
          <w:tcPr>
            <w:tcW w:w="20" w:type="dxa"/>
            <w:vAlign w:val="bottom"/>
          </w:tcPr>
          <w:p>
            <w:pPr>
              <w:spacing w:after="0"/>
              <w:rPr>
                <w:sz w:val="21"/>
                <w:szCs w:val="21"/>
                <w:color w:val="auto"/>
              </w:rPr>
            </w:pPr>
          </w:p>
        </w:tc>
      </w:tr>
      <w:tr>
        <w:trPr>
          <w:trHeight w:val="219"/>
        </w:trPr>
        <w:tc>
          <w:tcPr>
            <w:tcW w:w="6460" w:type="dxa"/>
            <w:vAlign w:val="bottom"/>
          </w:tcPr>
          <w:p>
            <w:pPr>
              <w:ind w:left="140"/>
              <w:spacing w:after="0"/>
              <w:rPr>
                <w:sz w:val="20"/>
                <w:szCs w:val="20"/>
                <w:color w:val="auto"/>
              </w:rPr>
            </w:pPr>
            <w:r>
              <w:rPr>
                <w:rFonts w:ascii="Calibri" w:cs="Calibri" w:eastAsia="Calibri" w:hAnsi="Calibri"/>
                <w:sz w:val="18"/>
                <w:szCs w:val="18"/>
                <w:color w:val="51555C"/>
              </w:rPr>
              <w:t>Change in foreign income tax rate applied to deferred tax balances</w:t>
            </w:r>
          </w:p>
        </w:tc>
        <w:tc>
          <w:tcPr>
            <w:tcW w:w="1600" w:type="dxa"/>
            <w:vAlign w:val="bottom"/>
          </w:tcPr>
          <w:p>
            <w:pPr>
              <w:jc w:val="right"/>
              <w:ind w:right="111"/>
              <w:spacing w:after="0"/>
              <w:rPr>
                <w:sz w:val="20"/>
                <w:szCs w:val="20"/>
                <w:color w:val="auto"/>
              </w:rPr>
            </w:pPr>
            <w:r>
              <w:rPr>
                <w:rFonts w:ascii="Calibri" w:cs="Calibri" w:eastAsia="Calibri" w:hAnsi="Calibri"/>
                <w:sz w:val="18"/>
                <w:szCs w:val="18"/>
                <w:color w:val="51555C"/>
              </w:rPr>
              <w:t>—</w:t>
            </w:r>
          </w:p>
        </w:tc>
        <w:tc>
          <w:tcPr>
            <w:tcW w:w="1580" w:type="dxa"/>
            <w:vAlign w:val="bottom"/>
          </w:tcPr>
          <w:p>
            <w:pPr>
              <w:jc w:val="right"/>
              <w:ind w:right="91"/>
              <w:spacing w:after="0"/>
              <w:rPr>
                <w:sz w:val="20"/>
                <w:szCs w:val="20"/>
                <w:color w:val="auto"/>
              </w:rPr>
            </w:pPr>
            <w:r>
              <w:rPr>
                <w:rFonts w:ascii="Calibri" w:cs="Calibri" w:eastAsia="Calibri" w:hAnsi="Calibri"/>
                <w:sz w:val="18"/>
                <w:szCs w:val="18"/>
                <w:color w:val="51555C"/>
              </w:rPr>
              <w:t>0.1</w:t>
            </w:r>
          </w:p>
        </w:tc>
        <w:tc>
          <w:tcPr>
            <w:tcW w:w="1600" w:type="dxa"/>
            <w:vAlign w:val="bottom"/>
          </w:tcPr>
          <w:p>
            <w:pPr>
              <w:jc w:val="right"/>
              <w:ind w:right="92"/>
              <w:spacing w:after="0"/>
              <w:rPr>
                <w:sz w:val="20"/>
                <w:szCs w:val="20"/>
                <w:color w:val="auto"/>
              </w:rPr>
            </w:pPr>
            <w:r>
              <w:rPr>
                <w:rFonts w:ascii="Calibri" w:cs="Calibri" w:eastAsia="Calibri" w:hAnsi="Calibri"/>
                <w:sz w:val="18"/>
                <w:szCs w:val="18"/>
                <w:color w:val="51555C"/>
              </w:rPr>
              <w:t>42.6</w:t>
            </w:r>
          </w:p>
        </w:tc>
        <w:tc>
          <w:tcPr>
            <w:tcW w:w="20" w:type="dxa"/>
            <w:vAlign w:val="bottom"/>
          </w:tcPr>
          <w:p>
            <w:pPr>
              <w:spacing w:after="0"/>
              <w:rPr>
                <w:sz w:val="19"/>
                <w:szCs w:val="19"/>
                <w:color w:val="auto"/>
              </w:rPr>
            </w:pPr>
          </w:p>
        </w:tc>
      </w:tr>
      <w:tr>
        <w:trPr>
          <w:trHeight w:val="51"/>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Change in state income tax rate applied to deferred tax balances</w:t>
            </w:r>
          </w:p>
        </w:tc>
        <w:tc>
          <w:tcPr>
            <w:tcW w:w="1600" w:type="dxa"/>
            <w:vAlign w:val="bottom"/>
            <w:tcBorders>
              <w:bottom w:val="single" w:sz="8" w:color="EBFBFF"/>
            </w:tcBorders>
            <w:shd w:val="clear" w:color="auto" w:fill="EBFBFF"/>
          </w:tcPr>
          <w:p>
            <w:pPr>
              <w:jc w:val="right"/>
              <w:ind w:right="111"/>
              <w:spacing w:after="0"/>
              <w:rPr>
                <w:sz w:val="20"/>
                <w:szCs w:val="20"/>
                <w:color w:val="auto"/>
              </w:rPr>
            </w:pPr>
            <w:r>
              <w:rPr>
                <w:rFonts w:ascii="Calibri" w:cs="Calibri" w:eastAsia="Calibri" w:hAnsi="Calibri"/>
                <w:sz w:val="18"/>
                <w:szCs w:val="18"/>
                <w:color w:val="51555C"/>
              </w:rPr>
              <w:t>7.1</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1.8</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2.3</w:t>
            </w:r>
          </w:p>
        </w:tc>
        <w:tc>
          <w:tcPr>
            <w:tcW w:w="20" w:type="dxa"/>
            <w:vAlign w:val="bottom"/>
          </w:tcPr>
          <w:p>
            <w:pPr>
              <w:spacing w:after="0"/>
              <w:rPr>
                <w:sz w:val="21"/>
                <w:szCs w:val="21"/>
                <w:color w:val="auto"/>
              </w:rPr>
            </w:pPr>
          </w:p>
        </w:tc>
      </w:tr>
      <w:tr>
        <w:trPr>
          <w:trHeight w:val="273"/>
        </w:trPr>
        <w:tc>
          <w:tcPr>
            <w:tcW w:w="6460" w:type="dxa"/>
            <w:vAlign w:val="bottom"/>
          </w:tcPr>
          <w:p>
            <w:pPr>
              <w:ind w:left="140"/>
              <w:spacing w:after="0"/>
              <w:rPr>
                <w:sz w:val="20"/>
                <w:szCs w:val="20"/>
                <w:color w:val="auto"/>
              </w:rPr>
            </w:pPr>
            <w:r>
              <w:rPr>
                <w:rFonts w:ascii="Calibri" w:cs="Calibri" w:eastAsia="Calibri" w:hAnsi="Calibri"/>
                <w:sz w:val="18"/>
                <w:szCs w:val="18"/>
                <w:color w:val="51555C"/>
              </w:rPr>
              <w:t>Nondeductble security incident-related fnes or penaltes</w:t>
            </w:r>
          </w:p>
        </w:tc>
        <w:tc>
          <w:tcPr>
            <w:tcW w:w="1600" w:type="dxa"/>
            <w:vAlign w:val="bottom"/>
          </w:tcPr>
          <w:p>
            <w:pPr>
              <w:jc w:val="right"/>
              <w:ind w:right="111"/>
              <w:spacing w:after="0"/>
              <w:rPr>
                <w:sz w:val="20"/>
                <w:szCs w:val="20"/>
                <w:color w:val="auto"/>
              </w:rPr>
            </w:pPr>
            <w:r>
              <w:rPr>
                <w:rFonts w:ascii="Calibri" w:cs="Calibri" w:eastAsia="Calibri" w:hAnsi="Calibri"/>
                <w:sz w:val="18"/>
                <w:szCs w:val="18"/>
                <w:color w:val="51555C"/>
              </w:rPr>
              <w:t>35.7</w:t>
            </w:r>
          </w:p>
        </w:tc>
        <w:tc>
          <w:tcPr>
            <w:tcW w:w="1580" w:type="dxa"/>
            <w:vAlign w:val="bottom"/>
          </w:tcPr>
          <w:p>
            <w:pPr>
              <w:jc w:val="right"/>
              <w:ind w:right="51"/>
              <w:spacing w:after="0"/>
              <w:rPr>
                <w:sz w:val="20"/>
                <w:szCs w:val="20"/>
                <w:color w:val="auto"/>
              </w:rPr>
            </w:pPr>
            <w:r>
              <w:rPr>
                <w:rFonts w:ascii="Calibri" w:cs="Calibri" w:eastAsia="Calibri" w:hAnsi="Calibri"/>
                <w:sz w:val="18"/>
                <w:szCs w:val="18"/>
                <w:color w:val="51555C"/>
              </w:rPr>
              <w:t>(8.7)</w:t>
            </w:r>
          </w:p>
        </w:tc>
        <w:tc>
          <w:tcPr>
            <w:tcW w:w="1600" w:type="dxa"/>
            <w:vAlign w:val="bottom"/>
          </w:tcPr>
          <w:p>
            <w:pPr>
              <w:jc w:val="right"/>
              <w:ind w:right="92"/>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3"/>
                <w:szCs w:val="23"/>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Secton 162(m) limitaton</w:t>
            </w:r>
          </w:p>
        </w:tc>
        <w:tc>
          <w:tcPr>
            <w:tcW w:w="1600" w:type="dxa"/>
            <w:vAlign w:val="bottom"/>
            <w:tcBorders>
              <w:bottom w:val="single" w:sz="8" w:color="EBFBFF"/>
            </w:tcBorders>
            <w:shd w:val="clear" w:color="auto" w:fill="EBFBFF"/>
          </w:tcPr>
          <w:p>
            <w:pPr>
              <w:jc w:val="right"/>
              <w:ind w:right="111"/>
              <w:spacing w:after="0"/>
              <w:rPr>
                <w:sz w:val="20"/>
                <w:szCs w:val="20"/>
                <w:color w:val="auto"/>
              </w:rPr>
            </w:pPr>
            <w:r>
              <w:rPr>
                <w:rFonts w:ascii="Calibri" w:cs="Calibri" w:eastAsia="Calibri" w:hAnsi="Calibri"/>
                <w:sz w:val="18"/>
                <w:szCs w:val="18"/>
                <w:color w:val="51555C"/>
              </w:rPr>
              <w:t>30.1</w:t>
            </w:r>
          </w:p>
        </w:tc>
        <w:tc>
          <w:tcPr>
            <w:tcW w:w="1580" w:type="dxa"/>
            <w:vAlign w:val="bottom"/>
            <w:tcBorders>
              <w:bottom w:val="single" w:sz="8" w:color="EBFBFF"/>
            </w:tcBorders>
            <w:shd w:val="clear" w:color="auto" w:fill="EBFBFF"/>
          </w:tcPr>
          <w:p>
            <w:pPr>
              <w:jc w:val="right"/>
              <w:ind w:right="51"/>
              <w:spacing w:after="0"/>
              <w:rPr>
                <w:sz w:val="20"/>
                <w:szCs w:val="20"/>
                <w:color w:val="auto"/>
              </w:rPr>
            </w:pPr>
            <w:r>
              <w:rPr>
                <w:rFonts w:ascii="Calibri" w:cs="Calibri" w:eastAsia="Calibri" w:hAnsi="Calibri"/>
                <w:sz w:val="18"/>
                <w:szCs w:val="18"/>
                <w:color w:val="51555C"/>
              </w:rPr>
              <w:t>(6.4)</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75.0</w:t>
            </w:r>
          </w:p>
        </w:tc>
        <w:tc>
          <w:tcPr>
            <w:tcW w:w="20" w:type="dxa"/>
            <w:vAlign w:val="bottom"/>
          </w:tcPr>
          <w:p>
            <w:pPr>
              <w:spacing w:after="0"/>
              <w:rPr>
                <w:sz w:val="21"/>
                <w:szCs w:val="21"/>
                <w:color w:val="auto"/>
              </w:rPr>
            </w:pPr>
          </w:p>
        </w:tc>
      </w:tr>
      <w:tr>
        <w:trPr>
          <w:trHeight w:val="220"/>
        </w:trPr>
        <w:tc>
          <w:tcPr>
            <w:tcW w:w="6460" w:type="dxa"/>
            <w:vAlign w:val="bottom"/>
          </w:tcPr>
          <w:p>
            <w:pPr>
              <w:ind w:left="140"/>
              <w:spacing w:after="0"/>
              <w:rPr>
                <w:sz w:val="20"/>
                <w:szCs w:val="20"/>
                <w:color w:val="auto"/>
              </w:rPr>
            </w:pPr>
            <w:r>
              <w:rPr>
                <w:rFonts w:ascii="Calibri" w:cs="Calibri" w:eastAsia="Calibri" w:hAnsi="Calibri"/>
                <w:sz w:val="18"/>
                <w:szCs w:val="18"/>
                <w:color w:val="51555C"/>
              </w:rPr>
              <w:t>Stock-based compensaton</w:t>
            </w:r>
          </w:p>
        </w:tc>
        <w:tc>
          <w:tcPr>
            <w:tcW w:w="1600" w:type="dxa"/>
            <w:vAlign w:val="bottom"/>
          </w:tcPr>
          <w:p>
            <w:pPr>
              <w:jc w:val="right"/>
              <w:ind w:right="111"/>
              <w:spacing w:after="0"/>
              <w:rPr>
                <w:sz w:val="20"/>
                <w:szCs w:val="20"/>
                <w:color w:val="auto"/>
              </w:rPr>
            </w:pPr>
            <w:r>
              <w:rPr>
                <w:rFonts w:ascii="Calibri" w:cs="Calibri" w:eastAsia="Calibri" w:hAnsi="Calibri"/>
                <w:sz w:val="18"/>
                <w:szCs w:val="18"/>
                <w:color w:val="51555C"/>
              </w:rPr>
              <w:t>13.4</w:t>
            </w:r>
          </w:p>
        </w:tc>
        <w:tc>
          <w:tcPr>
            <w:tcW w:w="1580" w:type="dxa"/>
            <w:vAlign w:val="bottom"/>
          </w:tcPr>
          <w:p>
            <w:pPr>
              <w:jc w:val="right"/>
              <w:ind w:right="51"/>
              <w:spacing w:after="0"/>
              <w:rPr>
                <w:sz w:val="20"/>
                <w:szCs w:val="20"/>
                <w:color w:val="auto"/>
              </w:rPr>
            </w:pPr>
            <w:r>
              <w:rPr>
                <w:rFonts w:ascii="Calibri" w:cs="Calibri" w:eastAsia="Calibri" w:hAnsi="Calibri"/>
                <w:sz w:val="18"/>
                <w:szCs w:val="18"/>
                <w:color w:val="51555C"/>
              </w:rPr>
              <w:t>(6.3)</w:t>
            </w:r>
          </w:p>
        </w:tc>
        <w:tc>
          <w:tcPr>
            <w:tcW w:w="1600" w:type="dxa"/>
            <w:vAlign w:val="bottom"/>
          </w:tcPr>
          <w:p>
            <w:pPr>
              <w:jc w:val="right"/>
              <w:ind w:right="52"/>
              <w:spacing w:after="0"/>
              <w:rPr>
                <w:sz w:val="20"/>
                <w:szCs w:val="20"/>
                <w:color w:val="auto"/>
              </w:rPr>
            </w:pPr>
            <w:r>
              <w:rPr>
                <w:rFonts w:ascii="Calibri" w:cs="Calibri" w:eastAsia="Calibri" w:hAnsi="Calibri"/>
                <w:sz w:val="18"/>
                <w:szCs w:val="18"/>
                <w:color w:val="51555C"/>
              </w:rPr>
              <w:t>(36.2)</w:t>
            </w:r>
          </w:p>
        </w:tc>
        <w:tc>
          <w:tcPr>
            <w:tcW w:w="20" w:type="dxa"/>
            <w:vAlign w:val="bottom"/>
          </w:tcPr>
          <w:p>
            <w:pPr>
              <w:spacing w:after="0"/>
              <w:rPr>
                <w:sz w:val="19"/>
                <w:szCs w:val="19"/>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Change in valuaton reserve (primarily state credit reserves)</w:t>
            </w:r>
          </w:p>
        </w:tc>
        <w:tc>
          <w:tcPr>
            <w:tcW w:w="1600" w:type="dxa"/>
            <w:vAlign w:val="bottom"/>
            <w:tcBorders>
              <w:bottom w:val="single" w:sz="8" w:color="EBFBFF"/>
            </w:tcBorders>
            <w:shd w:val="clear" w:color="auto" w:fill="EBFBFF"/>
          </w:tcPr>
          <w:p>
            <w:pPr>
              <w:jc w:val="right"/>
              <w:ind w:right="111"/>
              <w:spacing w:after="0"/>
              <w:rPr>
                <w:sz w:val="20"/>
                <w:szCs w:val="20"/>
                <w:color w:val="auto"/>
              </w:rPr>
            </w:pPr>
            <w:r>
              <w:rPr>
                <w:rFonts w:ascii="Calibri" w:cs="Calibri" w:eastAsia="Calibri" w:hAnsi="Calibri"/>
                <w:sz w:val="18"/>
                <w:szCs w:val="18"/>
                <w:color w:val="51555C"/>
              </w:rPr>
              <w:t>10.8</w:t>
            </w:r>
          </w:p>
        </w:tc>
        <w:tc>
          <w:tcPr>
            <w:tcW w:w="1580" w:type="dxa"/>
            <w:vAlign w:val="bottom"/>
            <w:tcBorders>
              <w:bottom w:val="single" w:sz="8" w:color="EBFBFF"/>
            </w:tcBorders>
            <w:shd w:val="clear" w:color="auto" w:fill="EBFBFF"/>
          </w:tcPr>
          <w:p>
            <w:pPr>
              <w:jc w:val="right"/>
              <w:ind w:right="51"/>
              <w:spacing w:after="0"/>
              <w:rPr>
                <w:sz w:val="20"/>
                <w:szCs w:val="20"/>
                <w:color w:val="auto"/>
              </w:rPr>
            </w:pPr>
            <w:r>
              <w:rPr>
                <w:rFonts w:ascii="Calibri" w:cs="Calibri" w:eastAsia="Calibri" w:hAnsi="Calibri"/>
                <w:sz w:val="18"/>
                <w:szCs w:val="18"/>
                <w:color w:val="51555C"/>
              </w:rPr>
              <w:t>(5.4)</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26.1</w:t>
            </w:r>
          </w:p>
        </w:tc>
        <w:tc>
          <w:tcPr>
            <w:tcW w:w="20" w:type="dxa"/>
            <w:vAlign w:val="bottom"/>
          </w:tcPr>
          <w:p>
            <w:pPr>
              <w:spacing w:after="0"/>
              <w:rPr>
                <w:sz w:val="21"/>
                <w:szCs w:val="21"/>
                <w:color w:val="auto"/>
              </w:rPr>
            </w:pPr>
          </w:p>
        </w:tc>
      </w:tr>
      <w:tr>
        <w:trPr>
          <w:trHeight w:val="220"/>
        </w:trPr>
        <w:tc>
          <w:tcPr>
            <w:tcW w:w="6460" w:type="dxa"/>
            <w:vAlign w:val="bottom"/>
          </w:tcPr>
          <w:p>
            <w:pPr>
              <w:ind w:left="140"/>
              <w:spacing w:after="0"/>
              <w:rPr>
                <w:sz w:val="20"/>
                <w:szCs w:val="20"/>
                <w:color w:val="auto"/>
              </w:rPr>
            </w:pPr>
            <w:r>
              <w:rPr>
                <w:rFonts w:ascii="Calibri" w:cs="Calibri" w:eastAsia="Calibri" w:hAnsi="Calibri"/>
                <w:sz w:val="18"/>
                <w:szCs w:val="18"/>
                <w:color w:val="51555C"/>
              </w:rPr>
              <w:t>GILTI inclusion</w:t>
            </w:r>
          </w:p>
        </w:tc>
        <w:tc>
          <w:tcPr>
            <w:tcW w:w="1600" w:type="dxa"/>
            <w:vAlign w:val="bottom"/>
          </w:tcPr>
          <w:p>
            <w:pPr>
              <w:jc w:val="right"/>
              <w:ind w:right="111"/>
              <w:spacing w:after="0"/>
              <w:rPr>
                <w:sz w:val="20"/>
                <w:szCs w:val="20"/>
                <w:color w:val="auto"/>
              </w:rPr>
            </w:pPr>
            <w:r>
              <w:rPr>
                <w:rFonts w:ascii="Calibri" w:cs="Calibri" w:eastAsia="Calibri" w:hAnsi="Calibri"/>
                <w:sz w:val="18"/>
                <w:szCs w:val="18"/>
                <w:color w:val="51555C"/>
              </w:rPr>
              <w:t>9.3</w:t>
            </w:r>
          </w:p>
        </w:tc>
        <w:tc>
          <w:tcPr>
            <w:tcW w:w="1580" w:type="dxa"/>
            <w:vAlign w:val="bottom"/>
          </w:tcPr>
          <w:p>
            <w:pPr>
              <w:jc w:val="right"/>
              <w:ind w:right="51"/>
              <w:spacing w:after="0"/>
              <w:rPr>
                <w:sz w:val="20"/>
                <w:szCs w:val="20"/>
                <w:color w:val="auto"/>
              </w:rPr>
            </w:pPr>
            <w:r>
              <w:rPr>
                <w:rFonts w:ascii="Calibri" w:cs="Calibri" w:eastAsia="Calibri" w:hAnsi="Calibri"/>
                <w:sz w:val="18"/>
                <w:szCs w:val="18"/>
                <w:color w:val="51555C"/>
              </w:rPr>
              <w:t>(2.6)</w:t>
            </w:r>
          </w:p>
        </w:tc>
        <w:tc>
          <w:tcPr>
            <w:tcW w:w="1600" w:type="dxa"/>
            <w:vAlign w:val="bottom"/>
          </w:tcPr>
          <w:p>
            <w:pPr>
              <w:jc w:val="right"/>
              <w:ind w:right="92"/>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19"/>
                <w:szCs w:val="19"/>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Foreign tax rate</w:t>
            </w:r>
          </w:p>
        </w:tc>
        <w:tc>
          <w:tcPr>
            <w:tcW w:w="1600" w:type="dxa"/>
            <w:vAlign w:val="bottom"/>
            <w:tcBorders>
              <w:bottom w:val="single" w:sz="8" w:color="EBFBFF"/>
            </w:tcBorders>
            <w:shd w:val="clear" w:color="auto" w:fill="EBFBFF"/>
          </w:tcPr>
          <w:p>
            <w:pPr>
              <w:jc w:val="right"/>
              <w:ind w:right="111"/>
              <w:spacing w:after="0"/>
              <w:rPr>
                <w:sz w:val="20"/>
                <w:szCs w:val="20"/>
                <w:color w:val="auto"/>
              </w:rPr>
            </w:pPr>
            <w:r>
              <w:rPr>
                <w:rFonts w:ascii="Calibri" w:cs="Calibri" w:eastAsia="Calibri" w:hAnsi="Calibri"/>
                <w:sz w:val="18"/>
                <w:szCs w:val="18"/>
                <w:color w:val="51555C"/>
              </w:rPr>
              <w:t>6.1</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1.0</w:t>
            </w:r>
          </w:p>
        </w:tc>
        <w:tc>
          <w:tcPr>
            <w:tcW w:w="1600" w:type="dxa"/>
            <w:vAlign w:val="bottom"/>
            <w:tcBorders>
              <w:bottom w:val="single" w:sz="8" w:color="EBFBFF"/>
            </w:tcBorders>
            <w:shd w:val="clear" w:color="auto" w:fill="EBFBFF"/>
          </w:tcPr>
          <w:p>
            <w:pPr>
              <w:jc w:val="right"/>
              <w:ind w:right="52"/>
              <w:spacing w:after="0"/>
              <w:rPr>
                <w:sz w:val="20"/>
                <w:szCs w:val="20"/>
                <w:color w:val="auto"/>
              </w:rPr>
            </w:pPr>
            <w:r>
              <w:rPr>
                <w:rFonts w:ascii="Calibri" w:cs="Calibri" w:eastAsia="Calibri" w:hAnsi="Calibri"/>
                <w:sz w:val="18"/>
                <w:szCs w:val="18"/>
                <w:color w:val="51555C"/>
              </w:rPr>
              <w:t>(6.0)</w:t>
            </w:r>
          </w:p>
        </w:tc>
        <w:tc>
          <w:tcPr>
            <w:tcW w:w="20" w:type="dxa"/>
            <w:vAlign w:val="bottom"/>
          </w:tcPr>
          <w:p>
            <w:pPr>
              <w:spacing w:after="0"/>
              <w:rPr>
                <w:sz w:val="21"/>
                <w:szCs w:val="21"/>
                <w:color w:val="auto"/>
              </w:rPr>
            </w:pPr>
          </w:p>
        </w:tc>
      </w:tr>
      <w:tr>
        <w:trPr>
          <w:trHeight w:val="220"/>
        </w:trPr>
        <w:tc>
          <w:tcPr>
            <w:tcW w:w="6460" w:type="dxa"/>
            <w:vAlign w:val="bottom"/>
          </w:tcPr>
          <w:p>
            <w:pPr>
              <w:ind w:left="140"/>
              <w:spacing w:after="0"/>
              <w:rPr>
                <w:sz w:val="20"/>
                <w:szCs w:val="20"/>
                <w:color w:val="auto"/>
              </w:rPr>
            </w:pPr>
            <w:r>
              <w:rPr>
                <w:rFonts w:ascii="Calibri" w:cs="Calibri" w:eastAsia="Calibri" w:hAnsi="Calibri"/>
                <w:sz w:val="18"/>
                <w:szCs w:val="18"/>
                <w:color w:val="51555C"/>
              </w:rPr>
              <w:t>Nondeductble meals, entertainment and transportaton</w:t>
            </w:r>
          </w:p>
        </w:tc>
        <w:tc>
          <w:tcPr>
            <w:tcW w:w="1600" w:type="dxa"/>
            <w:vAlign w:val="bottom"/>
          </w:tcPr>
          <w:p>
            <w:pPr>
              <w:jc w:val="right"/>
              <w:ind w:right="111"/>
              <w:spacing w:after="0"/>
              <w:rPr>
                <w:sz w:val="20"/>
                <w:szCs w:val="20"/>
                <w:color w:val="auto"/>
              </w:rPr>
            </w:pPr>
            <w:r>
              <w:rPr>
                <w:rFonts w:ascii="Calibri" w:cs="Calibri" w:eastAsia="Calibri" w:hAnsi="Calibri"/>
                <w:sz w:val="18"/>
                <w:szCs w:val="18"/>
                <w:color w:val="51555C"/>
              </w:rPr>
              <w:t>4.4</w:t>
            </w:r>
          </w:p>
        </w:tc>
        <w:tc>
          <w:tcPr>
            <w:tcW w:w="1580" w:type="dxa"/>
            <w:vAlign w:val="bottom"/>
          </w:tcPr>
          <w:p>
            <w:pPr>
              <w:jc w:val="right"/>
              <w:ind w:right="51"/>
              <w:spacing w:after="0"/>
              <w:rPr>
                <w:sz w:val="20"/>
                <w:szCs w:val="20"/>
                <w:color w:val="auto"/>
              </w:rPr>
            </w:pPr>
            <w:r>
              <w:rPr>
                <w:rFonts w:ascii="Calibri" w:cs="Calibri" w:eastAsia="Calibri" w:hAnsi="Calibri"/>
                <w:sz w:val="18"/>
                <w:szCs w:val="18"/>
                <w:color w:val="51555C"/>
              </w:rPr>
              <w:t>(0.7)</w:t>
            </w:r>
          </w:p>
        </w:tc>
        <w:tc>
          <w:tcPr>
            <w:tcW w:w="1600" w:type="dxa"/>
            <w:vAlign w:val="bottom"/>
          </w:tcPr>
          <w:p>
            <w:pPr>
              <w:jc w:val="right"/>
              <w:ind w:right="92"/>
              <w:spacing w:after="0"/>
              <w:rPr>
                <w:sz w:val="20"/>
                <w:szCs w:val="20"/>
                <w:color w:val="auto"/>
              </w:rPr>
            </w:pPr>
            <w:r>
              <w:rPr>
                <w:rFonts w:ascii="Calibri" w:cs="Calibri" w:eastAsia="Calibri" w:hAnsi="Calibri"/>
                <w:sz w:val="18"/>
                <w:szCs w:val="18"/>
                <w:color w:val="51555C"/>
              </w:rPr>
              <w:t>1.1</w:t>
            </w:r>
          </w:p>
        </w:tc>
        <w:tc>
          <w:tcPr>
            <w:tcW w:w="20" w:type="dxa"/>
            <w:vAlign w:val="bottom"/>
          </w:tcPr>
          <w:p>
            <w:pPr>
              <w:spacing w:after="0"/>
              <w:rPr>
                <w:sz w:val="19"/>
                <w:szCs w:val="19"/>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Unrecognized tax beneft</w:t>
            </w:r>
          </w:p>
        </w:tc>
        <w:tc>
          <w:tcPr>
            <w:tcW w:w="1600" w:type="dxa"/>
            <w:vAlign w:val="bottom"/>
            <w:tcBorders>
              <w:bottom w:val="single" w:sz="8" w:color="EBFBFF"/>
            </w:tcBorders>
            <w:shd w:val="clear" w:color="auto" w:fill="EBFBFF"/>
          </w:tcPr>
          <w:p>
            <w:pPr>
              <w:jc w:val="right"/>
              <w:ind w:right="111"/>
              <w:spacing w:after="0"/>
              <w:rPr>
                <w:sz w:val="20"/>
                <w:szCs w:val="20"/>
                <w:color w:val="auto"/>
              </w:rPr>
            </w:pPr>
            <w:r>
              <w:rPr>
                <w:rFonts w:ascii="Calibri" w:cs="Calibri" w:eastAsia="Calibri" w:hAnsi="Calibri"/>
                <w:sz w:val="18"/>
                <w:szCs w:val="18"/>
                <w:color w:val="51555C"/>
              </w:rPr>
              <w:t>0.7</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0.5</w:t>
            </w:r>
          </w:p>
        </w:tc>
        <w:tc>
          <w:tcPr>
            <w:tcW w:w="1600" w:type="dxa"/>
            <w:vAlign w:val="bottom"/>
            <w:tcBorders>
              <w:bottom w:val="single" w:sz="8" w:color="EBFBFF"/>
            </w:tcBorders>
            <w:shd w:val="clear" w:color="auto" w:fill="EBFBFF"/>
          </w:tcPr>
          <w:p>
            <w:pPr>
              <w:jc w:val="right"/>
              <w:ind w:right="52"/>
              <w:spacing w:after="0"/>
              <w:rPr>
                <w:sz w:val="20"/>
                <w:szCs w:val="20"/>
                <w:color w:val="auto"/>
              </w:rPr>
            </w:pPr>
            <w:r>
              <w:rPr>
                <w:rFonts w:ascii="Calibri" w:cs="Calibri" w:eastAsia="Calibri" w:hAnsi="Calibri"/>
                <w:sz w:val="18"/>
                <w:szCs w:val="18"/>
                <w:color w:val="51555C"/>
              </w:rPr>
              <w:t>(32.7)</w:t>
            </w:r>
          </w:p>
        </w:tc>
        <w:tc>
          <w:tcPr>
            <w:tcW w:w="20" w:type="dxa"/>
            <w:vAlign w:val="bottom"/>
          </w:tcPr>
          <w:p>
            <w:pPr>
              <w:spacing w:after="0"/>
              <w:rPr>
                <w:sz w:val="21"/>
                <w:szCs w:val="21"/>
                <w:color w:val="auto"/>
              </w:rPr>
            </w:pPr>
          </w:p>
        </w:tc>
      </w:tr>
      <w:tr>
        <w:trPr>
          <w:trHeight w:val="220"/>
        </w:trPr>
        <w:tc>
          <w:tcPr>
            <w:tcW w:w="6460" w:type="dxa"/>
            <w:vAlign w:val="bottom"/>
          </w:tcPr>
          <w:p>
            <w:pPr>
              <w:ind w:left="140"/>
              <w:spacing w:after="0"/>
              <w:rPr>
                <w:sz w:val="20"/>
                <w:szCs w:val="20"/>
                <w:color w:val="auto"/>
              </w:rPr>
            </w:pPr>
            <w:r>
              <w:rPr>
                <w:rFonts w:ascii="Calibri" w:cs="Calibri" w:eastAsia="Calibri" w:hAnsi="Calibri"/>
                <w:sz w:val="18"/>
                <w:szCs w:val="18"/>
                <w:color w:val="51555C"/>
              </w:rPr>
              <w:t>Acquisiton costs</w:t>
            </w:r>
          </w:p>
        </w:tc>
        <w:tc>
          <w:tcPr>
            <w:tcW w:w="1600" w:type="dxa"/>
            <w:vAlign w:val="bottom"/>
          </w:tcPr>
          <w:p>
            <w:pPr>
              <w:jc w:val="right"/>
              <w:ind w:right="111"/>
              <w:spacing w:after="0"/>
              <w:rPr>
                <w:sz w:val="20"/>
                <w:szCs w:val="20"/>
                <w:color w:val="auto"/>
              </w:rPr>
            </w:pPr>
            <w:r>
              <w:rPr>
                <w:rFonts w:ascii="Calibri" w:cs="Calibri" w:eastAsia="Calibri" w:hAnsi="Calibri"/>
                <w:sz w:val="18"/>
                <w:szCs w:val="18"/>
                <w:color w:val="51555C"/>
              </w:rPr>
              <w:t>—</w:t>
            </w:r>
          </w:p>
        </w:tc>
        <w:tc>
          <w:tcPr>
            <w:tcW w:w="1580" w:type="dxa"/>
            <w:vAlign w:val="bottom"/>
          </w:tcPr>
          <w:p>
            <w:pPr>
              <w:jc w:val="right"/>
              <w:ind w:right="91"/>
              <w:spacing w:after="0"/>
              <w:rPr>
                <w:sz w:val="20"/>
                <w:szCs w:val="20"/>
                <w:color w:val="auto"/>
              </w:rPr>
            </w:pPr>
            <w:r>
              <w:rPr>
                <w:rFonts w:ascii="Calibri" w:cs="Calibri" w:eastAsia="Calibri" w:hAnsi="Calibri"/>
                <w:sz w:val="18"/>
                <w:szCs w:val="18"/>
                <w:color w:val="51555C"/>
              </w:rPr>
              <w:t>—</w:t>
            </w:r>
          </w:p>
        </w:tc>
        <w:tc>
          <w:tcPr>
            <w:tcW w:w="1600" w:type="dxa"/>
            <w:vAlign w:val="bottom"/>
          </w:tcPr>
          <w:p>
            <w:pPr>
              <w:jc w:val="right"/>
              <w:ind w:right="92"/>
              <w:spacing w:after="0"/>
              <w:rPr>
                <w:sz w:val="20"/>
                <w:szCs w:val="20"/>
                <w:color w:val="auto"/>
              </w:rPr>
            </w:pPr>
            <w:r>
              <w:rPr>
                <w:rFonts w:ascii="Calibri" w:cs="Calibri" w:eastAsia="Calibri" w:hAnsi="Calibri"/>
                <w:sz w:val="18"/>
                <w:szCs w:val="18"/>
                <w:color w:val="51555C"/>
              </w:rPr>
              <w:t>8.7</w:t>
            </w:r>
          </w:p>
        </w:tc>
        <w:tc>
          <w:tcPr>
            <w:tcW w:w="20" w:type="dxa"/>
            <w:vAlign w:val="bottom"/>
          </w:tcPr>
          <w:p>
            <w:pPr>
              <w:spacing w:after="0"/>
              <w:rPr>
                <w:sz w:val="19"/>
                <w:szCs w:val="19"/>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Return to accrual adjustment</w:t>
            </w:r>
          </w:p>
        </w:tc>
        <w:tc>
          <w:tcPr>
            <w:tcW w:w="1600" w:type="dxa"/>
            <w:vAlign w:val="bottom"/>
            <w:tcBorders>
              <w:bottom w:val="single" w:sz="8" w:color="EBFBFF"/>
            </w:tcBorders>
            <w:shd w:val="clear" w:color="auto" w:fill="EBFBFF"/>
          </w:tcPr>
          <w:p>
            <w:pPr>
              <w:jc w:val="right"/>
              <w:ind w:right="71"/>
              <w:spacing w:after="0"/>
              <w:rPr>
                <w:sz w:val="20"/>
                <w:szCs w:val="20"/>
                <w:color w:val="auto"/>
              </w:rPr>
            </w:pPr>
            <w:r>
              <w:rPr>
                <w:rFonts w:ascii="Calibri" w:cs="Calibri" w:eastAsia="Calibri" w:hAnsi="Calibri"/>
                <w:sz w:val="18"/>
                <w:szCs w:val="18"/>
                <w:color w:val="51555C"/>
              </w:rPr>
              <w:t>(8.3)</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1.4</w:t>
            </w:r>
          </w:p>
        </w:tc>
        <w:tc>
          <w:tcPr>
            <w:tcW w:w="1600" w:type="dxa"/>
            <w:vAlign w:val="bottom"/>
            <w:tcBorders>
              <w:bottom w:val="single" w:sz="8" w:color="EBFBFF"/>
            </w:tcBorders>
            <w:shd w:val="clear" w:color="auto" w:fill="EBFBFF"/>
          </w:tcPr>
          <w:p>
            <w:pPr>
              <w:jc w:val="right"/>
              <w:ind w:right="52"/>
              <w:spacing w:after="0"/>
              <w:rPr>
                <w:sz w:val="20"/>
                <w:szCs w:val="20"/>
                <w:color w:val="auto"/>
              </w:rPr>
            </w:pPr>
            <w:r>
              <w:rPr>
                <w:rFonts w:ascii="Calibri" w:cs="Calibri" w:eastAsia="Calibri" w:hAnsi="Calibri"/>
                <w:sz w:val="18"/>
                <w:szCs w:val="18"/>
                <w:color w:val="51555C"/>
              </w:rPr>
              <w:t>(4.2)</w:t>
            </w:r>
          </w:p>
        </w:tc>
        <w:tc>
          <w:tcPr>
            <w:tcW w:w="20" w:type="dxa"/>
            <w:vAlign w:val="bottom"/>
          </w:tcPr>
          <w:p>
            <w:pPr>
              <w:spacing w:after="0"/>
              <w:rPr>
                <w:sz w:val="21"/>
                <w:szCs w:val="21"/>
                <w:color w:val="auto"/>
              </w:rPr>
            </w:pPr>
          </w:p>
        </w:tc>
      </w:tr>
      <w:tr>
        <w:trPr>
          <w:trHeight w:val="220"/>
        </w:trPr>
        <w:tc>
          <w:tcPr>
            <w:tcW w:w="6460" w:type="dxa"/>
            <w:vAlign w:val="bottom"/>
          </w:tcPr>
          <w:p>
            <w:pPr>
              <w:ind w:left="140"/>
              <w:spacing w:after="0"/>
              <w:rPr>
                <w:sz w:val="20"/>
                <w:szCs w:val="20"/>
                <w:color w:val="auto"/>
              </w:rPr>
            </w:pPr>
            <w:r>
              <w:rPr>
                <w:rFonts w:ascii="Calibri" w:cs="Calibri" w:eastAsia="Calibri" w:hAnsi="Calibri"/>
                <w:sz w:val="18"/>
                <w:szCs w:val="18"/>
                <w:color w:val="51555C"/>
              </w:rPr>
              <w:t>State credits, net of federal beneft</w:t>
            </w:r>
          </w:p>
        </w:tc>
        <w:tc>
          <w:tcPr>
            <w:tcW w:w="1600" w:type="dxa"/>
            <w:vAlign w:val="bottom"/>
          </w:tcPr>
          <w:p>
            <w:pPr>
              <w:jc w:val="right"/>
              <w:ind w:right="71"/>
              <w:spacing w:after="0"/>
              <w:rPr>
                <w:sz w:val="20"/>
                <w:szCs w:val="20"/>
                <w:color w:val="auto"/>
              </w:rPr>
            </w:pPr>
            <w:r>
              <w:rPr>
                <w:rFonts w:ascii="Calibri" w:cs="Calibri" w:eastAsia="Calibri" w:hAnsi="Calibri"/>
                <w:sz w:val="18"/>
                <w:szCs w:val="18"/>
                <w:color w:val="51555C"/>
              </w:rPr>
              <w:t>(9.1)</w:t>
            </w:r>
          </w:p>
        </w:tc>
        <w:tc>
          <w:tcPr>
            <w:tcW w:w="1580" w:type="dxa"/>
            <w:vAlign w:val="bottom"/>
          </w:tcPr>
          <w:p>
            <w:pPr>
              <w:jc w:val="right"/>
              <w:ind w:right="91"/>
              <w:spacing w:after="0"/>
              <w:rPr>
                <w:sz w:val="20"/>
                <w:szCs w:val="20"/>
                <w:color w:val="auto"/>
              </w:rPr>
            </w:pPr>
            <w:r>
              <w:rPr>
                <w:rFonts w:ascii="Calibri" w:cs="Calibri" w:eastAsia="Calibri" w:hAnsi="Calibri"/>
                <w:sz w:val="18"/>
                <w:szCs w:val="18"/>
                <w:color w:val="51555C"/>
              </w:rPr>
              <w:t>7.2</w:t>
            </w:r>
          </w:p>
        </w:tc>
        <w:tc>
          <w:tcPr>
            <w:tcW w:w="1600" w:type="dxa"/>
            <w:vAlign w:val="bottom"/>
          </w:tcPr>
          <w:p>
            <w:pPr>
              <w:jc w:val="right"/>
              <w:ind w:right="52"/>
              <w:spacing w:after="0"/>
              <w:rPr>
                <w:sz w:val="20"/>
                <w:szCs w:val="20"/>
                <w:color w:val="auto"/>
              </w:rPr>
            </w:pPr>
            <w:r>
              <w:rPr>
                <w:rFonts w:ascii="Calibri" w:cs="Calibri" w:eastAsia="Calibri" w:hAnsi="Calibri"/>
                <w:sz w:val="18"/>
                <w:szCs w:val="18"/>
                <w:color w:val="51555C"/>
              </w:rPr>
              <w:t>(32.6)</w:t>
            </w:r>
          </w:p>
        </w:tc>
        <w:tc>
          <w:tcPr>
            <w:tcW w:w="20" w:type="dxa"/>
            <w:vAlign w:val="bottom"/>
          </w:tcPr>
          <w:p>
            <w:pPr>
              <w:spacing w:after="0"/>
              <w:rPr>
                <w:sz w:val="19"/>
                <w:szCs w:val="19"/>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FDII beneft</w:t>
            </w:r>
          </w:p>
        </w:tc>
        <w:tc>
          <w:tcPr>
            <w:tcW w:w="1600" w:type="dxa"/>
            <w:vAlign w:val="bottom"/>
            <w:tcBorders>
              <w:bottom w:val="single" w:sz="8" w:color="EBFBFF"/>
            </w:tcBorders>
            <w:shd w:val="clear" w:color="auto" w:fill="EBFBFF"/>
          </w:tcPr>
          <w:p>
            <w:pPr>
              <w:jc w:val="right"/>
              <w:ind w:right="71"/>
              <w:spacing w:after="0"/>
              <w:rPr>
                <w:sz w:val="20"/>
                <w:szCs w:val="20"/>
                <w:color w:val="auto"/>
              </w:rPr>
            </w:pPr>
            <w:r>
              <w:rPr>
                <w:rFonts w:ascii="Calibri" w:cs="Calibri" w:eastAsia="Calibri" w:hAnsi="Calibri"/>
                <w:sz w:val="18"/>
                <w:szCs w:val="18"/>
                <w:color w:val="51555C"/>
              </w:rPr>
              <w:t>(10.2)</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2.3</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w:t>
            </w:r>
          </w:p>
        </w:tc>
        <w:tc>
          <w:tcPr>
            <w:tcW w:w="20" w:type="dxa"/>
            <w:vAlign w:val="bottom"/>
          </w:tcPr>
          <w:p>
            <w:pPr>
              <w:spacing w:after="0"/>
              <w:rPr>
                <w:sz w:val="21"/>
                <w:szCs w:val="21"/>
                <w:color w:val="auto"/>
              </w:rPr>
            </w:pPr>
          </w:p>
        </w:tc>
      </w:tr>
      <w:tr>
        <w:trPr>
          <w:trHeight w:val="220"/>
        </w:trPr>
        <w:tc>
          <w:tcPr>
            <w:tcW w:w="6460" w:type="dxa"/>
            <w:vAlign w:val="bottom"/>
          </w:tcPr>
          <w:p>
            <w:pPr>
              <w:ind w:left="140"/>
              <w:spacing w:after="0"/>
              <w:rPr>
                <w:sz w:val="20"/>
                <w:szCs w:val="20"/>
                <w:color w:val="auto"/>
              </w:rPr>
            </w:pPr>
            <w:r>
              <w:rPr>
                <w:rFonts w:ascii="Calibri" w:cs="Calibri" w:eastAsia="Calibri" w:hAnsi="Calibri"/>
                <w:sz w:val="18"/>
                <w:szCs w:val="18"/>
                <w:color w:val="51555C"/>
              </w:rPr>
              <w:t>Federal credits generated</w:t>
            </w:r>
          </w:p>
        </w:tc>
        <w:tc>
          <w:tcPr>
            <w:tcW w:w="1600" w:type="dxa"/>
            <w:vAlign w:val="bottom"/>
          </w:tcPr>
          <w:p>
            <w:pPr>
              <w:jc w:val="right"/>
              <w:ind w:right="71"/>
              <w:spacing w:after="0"/>
              <w:rPr>
                <w:sz w:val="20"/>
                <w:szCs w:val="20"/>
                <w:color w:val="auto"/>
              </w:rPr>
            </w:pPr>
            <w:r>
              <w:rPr>
                <w:rFonts w:ascii="Calibri" w:cs="Calibri" w:eastAsia="Calibri" w:hAnsi="Calibri"/>
                <w:sz w:val="18"/>
                <w:szCs w:val="18"/>
                <w:color w:val="51555C"/>
              </w:rPr>
              <w:t>(42.3)</w:t>
            </w:r>
          </w:p>
        </w:tc>
        <w:tc>
          <w:tcPr>
            <w:tcW w:w="1580" w:type="dxa"/>
            <w:vAlign w:val="bottom"/>
          </w:tcPr>
          <w:p>
            <w:pPr>
              <w:jc w:val="right"/>
              <w:ind w:right="91"/>
              <w:spacing w:after="0"/>
              <w:rPr>
                <w:sz w:val="20"/>
                <w:szCs w:val="20"/>
                <w:color w:val="auto"/>
              </w:rPr>
            </w:pPr>
            <w:r>
              <w:rPr>
                <w:rFonts w:ascii="Calibri" w:cs="Calibri" w:eastAsia="Calibri" w:hAnsi="Calibri"/>
                <w:sz w:val="18"/>
                <w:szCs w:val="18"/>
                <w:color w:val="51555C"/>
              </w:rPr>
              <w:t>11.5</w:t>
            </w:r>
          </w:p>
        </w:tc>
        <w:tc>
          <w:tcPr>
            <w:tcW w:w="1600" w:type="dxa"/>
            <w:vAlign w:val="bottom"/>
          </w:tcPr>
          <w:p>
            <w:pPr>
              <w:jc w:val="right"/>
              <w:ind w:right="52"/>
              <w:spacing w:after="0"/>
              <w:rPr>
                <w:sz w:val="20"/>
                <w:szCs w:val="20"/>
                <w:color w:val="auto"/>
              </w:rPr>
            </w:pPr>
            <w:r>
              <w:rPr>
                <w:rFonts w:ascii="Calibri" w:cs="Calibri" w:eastAsia="Calibri" w:hAnsi="Calibri"/>
                <w:sz w:val="18"/>
                <w:szCs w:val="18"/>
                <w:color w:val="51555C"/>
              </w:rPr>
              <w:t>(54.5)</w:t>
            </w:r>
          </w:p>
        </w:tc>
        <w:tc>
          <w:tcPr>
            <w:tcW w:w="20" w:type="dxa"/>
            <w:vAlign w:val="bottom"/>
          </w:tcPr>
          <w:p>
            <w:pPr>
              <w:spacing w:after="0"/>
              <w:rPr>
                <w:sz w:val="19"/>
                <w:szCs w:val="19"/>
                <w:color w:val="auto"/>
              </w:rPr>
            </w:pPr>
          </w:p>
        </w:tc>
      </w:tr>
      <w:tr>
        <w:trPr>
          <w:trHeight w:val="50"/>
        </w:trPr>
        <w:tc>
          <w:tcPr>
            <w:tcW w:w="6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46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Other</w:t>
            </w:r>
          </w:p>
        </w:tc>
        <w:tc>
          <w:tcPr>
            <w:tcW w:w="1600" w:type="dxa"/>
            <w:vAlign w:val="bottom"/>
            <w:tcBorders>
              <w:bottom w:val="single" w:sz="8" w:color="EBFBFF"/>
            </w:tcBorders>
            <w:shd w:val="clear" w:color="auto" w:fill="EBFBFF"/>
          </w:tcPr>
          <w:p>
            <w:pPr>
              <w:jc w:val="right"/>
              <w:ind w:right="111"/>
              <w:spacing w:after="0"/>
              <w:rPr>
                <w:sz w:val="20"/>
                <w:szCs w:val="20"/>
                <w:color w:val="auto"/>
              </w:rPr>
            </w:pPr>
            <w:r>
              <w:rPr>
                <w:rFonts w:ascii="Calibri" w:cs="Calibri" w:eastAsia="Calibri" w:hAnsi="Calibri"/>
                <w:sz w:val="18"/>
                <w:szCs w:val="18"/>
                <w:color w:val="51555C"/>
              </w:rPr>
              <w:t>1.0</w:t>
            </w:r>
          </w:p>
        </w:tc>
        <w:tc>
          <w:tcPr>
            <w:tcW w:w="1580" w:type="dxa"/>
            <w:vAlign w:val="bottom"/>
            <w:tcBorders>
              <w:bottom w:val="single" w:sz="8" w:color="EBFBFF"/>
            </w:tcBorders>
            <w:shd w:val="clear" w:color="auto" w:fill="EBFBFF"/>
          </w:tcPr>
          <w:p>
            <w:pPr>
              <w:jc w:val="right"/>
              <w:ind w:right="91"/>
              <w:spacing w:after="0"/>
              <w:rPr>
                <w:sz w:val="20"/>
                <w:szCs w:val="20"/>
                <w:color w:val="auto"/>
              </w:rPr>
            </w:pPr>
            <w:r>
              <w:rPr>
                <w:rFonts w:ascii="Calibri" w:cs="Calibri" w:eastAsia="Calibri" w:hAnsi="Calibri"/>
                <w:sz w:val="18"/>
                <w:szCs w:val="18"/>
                <w:color w:val="51555C"/>
              </w:rPr>
              <w:t>0.1</w:t>
            </w:r>
          </w:p>
        </w:tc>
        <w:tc>
          <w:tcPr>
            <w:tcW w:w="1600" w:type="dxa"/>
            <w:vAlign w:val="bottom"/>
            <w:tcBorders>
              <w:bottom w:val="single" w:sz="8" w:color="EBFBFF"/>
            </w:tcBorders>
            <w:shd w:val="clear" w:color="auto" w:fill="EBFBFF"/>
          </w:tcPr>
          <w:p>
            <w:pPr>
              <w:jc w:val="right"/>
              <w:ind w:right="92"/>
              <w:spacing w:after="0"/>
              <w:rPr>
                <w:sz w:val="20"/>
                <w:szCs w:val="20"/>
                <w:color w:val="auto"/>
              </w:rPr>
            </w:pPr>
            <w:r>
              <w:rPr>
                <w:rFonts w:ascii="Calibri" w:cs="Calibri" w:eastAsia="Calibri" w:hAnsi="Calibri"/>
                <w:sz w:val="18"/>
                <w:szCs w:val="18"/>
                <w:color w:val="51555C"/>
              </w:rPr>
              <w:t>4.6</w:t>
            </w:r>
          </w:p>
        </w:tc>
        <w:tc>
          <w:tcPr>
            <w:tcW w:w="20" w:type="dxa"/>
            <w:vAlign w:val="bottom"/>
          </w:tcPr>
          <w:p>
            <w:pPr>
              <w:spacing w:after="0"/>
              <w:rPr>
                <w:sz w:val="23"/>
                <w:szCs w:val="23"/>
                <w:color w:val="auto"/>
              </w:rPr>
            </w:pPr>
          </w:p>
        </w:tc>
      </w:tr>
      <w:tr>
        <w:trPr>
          <w:trHeight w:val="213"/>
        </w:trPr>
        <w:tc>
          <w:tcPr>
            <w:tcW w:w="6460" w:type="dxa"/>
            <w:vAlign w:val="bottom"/>
          </w:tcPr>
          <w:p>
            <w:pPr>
              <w:ind w:left="20"/>
              <w:spacing w:after="0" w:line="199" w:lineRule="exact"/>
              <w:rPr>
                <w:sz w:val="20"/>
                <w:szCs w:val="20"/>
                <w:color w:val="auto"/>
              </w:rPr>
            </w:pPr>
            <w:r>
              <w:rPr>
                <w:rFonts w:ascii="Calibri" w:cs="Calibri" w:eastAsia="Calibri" w:hAnsi="Calibri"/>
                <w:sz w:val="18"/>
                <w:szCs w:val="18"/>
                <w:color w:val="51555C"/>
              </w:rPr>
              <w:t>Income tax provision efectve rate</w:t>
            </w:r>
          </w:p>
        </w:tc>
        <w:tc>
          <w:tcPr>
            <w:tcW w:w="16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89.7 %</w:t>
            </w:r>
          </w:p>
        </w:tc>
        <w:tc>
          <w:tcPr>
            <w:tcW w:w="158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18.3 %</w:t>
            </w:r>
          </w:p>
        </w:tc>
        <w:tc>
          <w:tcPr>
            <w:tcW w:w="16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19.6 %</w:t>
            </w:r>
          </w:p>
        </w:tc>
        <w:tc>
          <w:tcPr>
            <w:tcW w:w="20" w:type="dxa"/>
            <w:vAlign w:val="bottom"/>
          </w:tcPr>
          <w:p>
            <w:pPr>
              <w:spacing w:after="0"/>
              <w:rPr>
                <w:sz w:val="18"/>
                <w:szCs w:val="18"/>
                <w:color w:val="auto"/>
              </w:rPr>
            </w:pPr>
          </w:p>
        </w:tc>
      </w:tr>
      <w:tr>
        <w:trPr>
          <w:trHeight w:val="50"/>
        </w:trPr>
        <w:tc>
          <w:tcPr>
            <w:tcW w:w="6460" w:type="dxa"/>
            <w:vAlign w:val="bottom"/>
            <w:tcBorders>
              <w:bottom w:val="single" w:sz="8" w:color="0CD973"/>
            </w:tcBorders>
          </w:tcPr>
          <w:p>
            <w:pPr>
              <w:spacing w:after="0"/>
              <w:rPr>
                <w:sz w:val="4"/>
                <w:szCs w:val="4"/>
                <w:color w:val="auto"/>
              </w:rPr>
            </w:pPr>
          </w:p>
        </w:tc>
        <w:tc>
          <w:tcPr>
            <w:tcW w:w="1600" w:type="dxa"/>
            <w:vAlign w:val="bottom"/>
            <w:tcBorders>
              <w:bottom w:val="single" w:sz="8" w:color="0CD973"/>
            </w:tcBorders>
          </w:tcPr>
          <w:p>
            <w:pPr>
              <w:spacing w:after="0"/>
              <w:rPr>
                <w:sz w:val="4"/>
                <w:szCs w:val="4"/>
                <w:color w:val="auto"/>
              </w:rPr>
            </w:pPr>
          </w:p>
        </w:tc>
        <w:tc>
          <w:tcPr>
            <w:tcW w:w="1580" w:type="dxa"/>
            <w:vAlign w:val="bottom"/>
            <w:tcBorders>
              <w:bottom w:val="single" w:sz="8" w:color="0CD973"/>
            </w:tcBorders>
          </w:tcPr>
          <w:p>
            <w:pPr>
              <w:spacing w:after="0"/>
              <w:rPr>
                <w:sz w:val="4"/>
                <w:szCs w:val="4"/>
                <w:color w:val="auto"/>
              </w:rPr>
            </w:pPr>
          </w:p>
        </w:tc>
        <w:tc>
          <w:tcPr>
            <w:tcW w:w="160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-3642360</wp:posOffset>
            </wp:positionV>
            <wp:extent cx="30429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increase in our efectve income tax rate for year ended December 31, 2023, when compared to the same period in 2022, was primarily atributable to higher 2023 non-deductble accruals for loss contngencies related to the Security Incident and other non-deductble expenses and tax rate changes, partally ofset by increased tax credits. Furthermore, our 2023 efectve tax rate was negatvely impacted by higher tax rates in foreign jurisdictons in which we operate which were predominantly due to UK tax rate increases. The year-on-year comparison is further impacted by 2023 pre-tax income versus prior year pre-tax loss.</w:t>
      </w:r>
    </w:p>
    <w:p>
      <w:pPr>
        <w:spacing w:after="0" w:line="31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102</w:t>
      </w:r>
      <w:r>
        <w:rPr>
          <w:sz w:val="20"/>
          <w:szCs w:val="20"/>
          <w:color w:val="auto"/>
        </w:rPr>
        <w:tab/>
      </w:r>
      <w:r>
        <w:rPr>
          <w:sz w:val="1"/>
          <w:szCs w:val="1"/>
          <w:color w:val="auto"/>
        </w:rPr>
        <w:drawing>
          <wp:inline distT="0" distB="0" distL="0" distR="0">
            <wp:extent cx="728345" cy="188595"/>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1"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18"/>
          <w:szCs w:val="18"/>
          <w:color w:val="51555C"/>
        </w:rPr>
        <w:t>The signifcant components of our deferred tax assets and liabilites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0575" cy="4889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0575" cy="488950"/>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p>
      <w:pPr>
        <w:spacing w:after="0" w:line="359" w:lineRule="exact"/>
        <w:rPr>
          <w:sz w:val="20"/>
          <w:szCs w:val="20"/>
          <w:color w:val="auto"/>
        </w:rPr>
      </w:pPr>
    </w:p>
    <w:p>
      <w:pPr>
        <w:ind w:left="40"/>
        <w:spacing w:after="0"/>
        <w:rPr>
          <w:sz w:val="20"/>
          <w:szCs w:val="20"/>
          <w:color w:val="auto"/>
        </w:rPr>
      </w:pPr>
      <w:r>
        <w:rPr>
          <w:rFonts w:ascii="Calibri" w:cs="Calibri" w:eastAsia="Calibri" w:hAnsi="Calibri"/>
          <w:sz w:val="14"/>
          <w:szCs w:val="14"/>
          <w:b w:val="1"/>
          <w:bCs w:val="1"/>
          <w:color w:val="FFFFFF"/>
        </w:rPr>
        <w:t>(dollars in thousands)</w:t>
      </w:r>
    </w:p>
    <w:p>
      <w:pPr>
        <w:spacing w:after="0" w:line="79"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51555C"/>
        </w:rPr>
        <w:t>Deferred tax assets relatng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020"/>
        <w:spacing w:after="0"/>
        <w:rPr>
          <w:sz w:val="20"/>
          <w:szCs w:val="20"/>
          <w:color w:val="auto"/>
        </w:rPr>
      </w:pPr>
      <w:r>
        <w:rPr>
          <w:rFonts w:ascii="Calibri" w:cs="Calibri" w:eastAsia="Calibri" w:hAnsi="Calibri"/>
          <w:sz w:val="14"/>
          <w:szCs w:val="14"/>
          <w:b w:val="1"/>
          <w:bCs w:val="1"/>
          <w:color w:val="FFFFFF"/>
        </w:rPr>
        <w:t>December 31,</w:t>
      </w:r>
    </w:p>
    <w:p>
      <w:pPr>
        <w:spacing w:after="0" w:line="72" w:lineRule="exact"/>
        <w:rPr>
          <w:sz w:val="20"/>
          <w:szCs w:val="20"/>
          <w:color w:val="auto"/>
        </w:rPr>
      </w:pPr>
    </w:p>
    <w:p>
      <w:pPr>
        <w:spacing w:after="0"/>
        <w:tabs>
          <w:tab w:leader="none" w:pos="1480" w:val="left"/>
        </w:tabs>
        <w:rPr>
          <w:sz w:val="20"/>
          <w:szCs w:val="20"/>
          <w:color w:val="auto"/>
        </w:rPr>
      </w:pPr>
      <w:r>
        <w:rPr>
          <w:rFonts w:ascii="Calibri" w:cs="Calibri" w:eastAsia="Calibri" w:hAnsi="Calibri"/>
          <w:sz w:val="14"/>
          <w:szCs w:val="14"/>
          <w:b w:val="1"/>
          <w:bCs w:val="1"/>
          <w:color w:val="FFFFFF"/>
        </w:rPr>
        <w:t>2023</w:t>
      </w:r>
      <w:r>
        <w:rPr>
          <w:sz w:val="20"/>
          <w:szCs w:val="20"/>
          <w:color w:val="auto"/>
        </w:rPr>
        <w:tab/>
      </w:r>
      <w:r>
        <w:rPr>
          <w:rFonts w:ascii="Calibri" w:cs="Calibri" w:eastAsia="Calibri" w:hAnsi="Calibri"/>
          <w:sz w:val="14"/>
          <w:szCs w:val="14"/>
          <w:b w:val="1"/>
          <w:bCs w:val="1"/>
          <w:color w:val="FFFFFF"/>
        </w:rPr>
        <w:t>2022</w:t>
      </w:r>
    </w:p>
    <w:p>
      <w:pPr>
        <w:spacing w:after="0" w:line="398" w:lineRule="exact"/>
        <w:rPr>
          <w:sz w:val="20"/>
          <w:szCs w:val="20"/>
          <w:color w:val="auto"/>
        </w:rPr>
      </w:pPr>
    </w:p>
    <w:p>
      <w:pPr>
        <w:sectPr>
          <w:pgSz w:w="11900" w:h="16838" w:orient="portrait"/>
          <w:cols w:equalWidth="0" w:num="2">
            <w:col w:w="8660" w:space="720"/>
            <w:col w:w="1880"/>
          </w:cols>
          <w:pgMar w:left="320" w:top="111" w:right="31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Capitalized R&amp;D and sofware costs</w:t>
            </w:r>
          </w:p>
        </w:tc>
        <w:tc>
          <w:tcPr>
            <w:tcW w:w="460" w:type="dxa"/>
            <w:vAlign w:val="bottom"/>
          </w:tcPr>
          <w:p>
            <w:pPr>
              <w:jc w:val="right"/>
              <w:ind w:right="270"/>
              <w:spacing w:after="0"/>
              <w:rPr>
                <w:sz w:val="20"/>
                <w:szCs w:val="20"/>
                <w:color w:val="auto"/>
              </w:rPr>
            </w:pPr>
            <w:r>
              <w:rPr>
                <w:rFonts w:ascii="Calibri" w:cs="Calibri" w:eastAsia="Calibri" w:hAnsi="Calibri"/>
                <w:sz w:val="18"/>
                <w:szCs w:val="18"/>
                <w:color w:val="51555C"/>
                <w:w w:val="87"/>
              </w:rPr>
              <w:t>$</w:t>
            </w: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47,351</w:t>
            </w:r>
          </w:p>
        </w:tc>
        <w:tc>
          <w:tcPr>
            <w:tcW w:w="460" w:type="dxa"/>
            <w:vAlign w:val="bottom"/>
          </w:tcPr>
          <w:p>
            <w:pPr>
              <w:jc w:val="right"/>
              <w:ind w:right="250"/>
              <w:spacing w:after="0"/>
              <w:rPr>
                <w:sz w:val="20"/>
                <w:szCs w:val="20"/>
                <w:color w:val="auto"/>
              </w:rPr>
            </w:pPr>
            <w:r>
              <w:rPr>
                <w:rFonts w:ascii="Calibri" w:cs="Calibri" w:eastAsia="Calibri" w:hAnsi="Calibri"/>
                <w:sz w:val="18"/>
                <w:szCs w:val="18"/>
                <w:color w:val="51555C"/>
              </w:rPr>
              <w:t>$</w:t>
            </w: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12,166</w:t>
            </w:r>
          </w:p>
        </w:tc>
      </w:tr>
      <w:tr>
        <w:trPr>
          <w:trHeight w:val="50"/>
        </w:trPr>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Federal, state and foreign tax credits</w:t>
            </w:r>
          </w:p>
        </w:tc>
        <w:tc>
          <w:tcPr>
            <w:tcW w:w="4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39,260</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50,194</w:t>
            </w: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Stock-based compensaton</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24,717</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21,166</w:t>
            </w:r>
          </w:p>
        </w:tc>
      </w:tr>
      <w:tr>
        <w:trPr>
          <w:trHeight w:val="50"/>
        </w:trPr>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Operatng leases</w:t>
            </w:r>
          </w:p>
        </w:tc>
        <w:tc>
          <w:tcPr>
            <w:tcW w:w="4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12,867</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14,024</w:t>
            </w: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Federal and state and foreign net operatng loss carryforwards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7,061</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10,369</w:t>
            </w:r>
          </w:p>
        </w:tc>
      </w:tr>
      <w:tr>
        <w:trPr>
          <w:trHeight w:val="50"/>
        </w:trPr>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Deferred revenue</w:t>
            </w:r>
          </w:p>
        </w:tc>
        <w:tc>
          <w:tcPr>
            <w:tcW w:w="4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5,992</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1,820</w:t>
            </w: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Allowance for credit losses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1,702</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1,803</w:t>
            </w:r>
          </w:p>
        </w:tc>
      </w:tr>
      <w:tr>
        <w:trPr>
          <w:trHeight w:val="50"/>
        </w:trPr>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Intangible assets</w:t>
            </w:r>
          </w:p>
        </w:tc>
        <w:tc>
          <w:tcPr>
            <w:tcW w:w="4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1,050</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561</w:t>
            </w: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Accrued bonuses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314</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455</w:t>
            </w:r>
          </w:p>
        </w:tc>
      </w:tr>
      <w:tr>
        <w:trPr>
          <w:trHeight w:val="50"/>
        </w:trPr>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7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Other</w:t>
            </w:r>
          </w:p>
        </w:tc>
        <w:tc>
          <w:tcPr>
            <w:tcW w:w="46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2,982</w:t>
            </w:r>
          </w:p>
        </w:tc>
        <w:tc>
          <w:tcPr>
            <w:tcW w:w="46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6,293</w:t>
            </w:r>
          </w:p>
        </w:tc>
      </w:tr>
      <w:tr>
        <w:trPr>
          <w:trHeight w:val="213"/>
        </w:trPr>
        <w:tc>
          <w:tcPr>
            <w:tcW w:w="8220" w:type="dxa"/>
            <w:vAlign w:val="bottom"/>
          </w:tcPr>
          <w:p>
            <w:pPr>
              <w:ind w:left="240"/>
              <w:spacing w:after="0" w:line="199" w:lineRule="exact"/>
              <w:rPr>
                <w:sz w:val="20"/>
                <w:szCs w:val="20"/>
                <w:color w:val="auto"/>
              </w:rPr>
            </w:pPr>
            <w:r>
              <w:rPr>
                <w:rFonts w:ascii="Calibri" w:cs="Calibri" w:eastAsia="Calibri" w:hAnsi="Calibri"/>
                <w:sz w:val="18"/>
                <w:szCs w:val="18"/>
                <w:b w:val="1"/>
                <w:bCs w:val="1"/>
                <w:color w:val="51555C"/>
              </w:rPr>
              <w:t>Total deferred tax assets</w:t>
            </w:r>
          </w:p>
        </w:tc>
        <w:tc>
          <w:tcPr>
            <w:tcW w:w="460" w:type="dxa"/>
            <w:vAlign w:val="bottom"/>
            <w:tcBorders>
              <w:top w:val="single" w:sz="8" w:color="51555C"/>
            </w:tcBorders>
          </w:tcPr>
          <w:p>
            <w:pPr>
              <w:spacing w:after="0"/>
              <w:rPr>
                <w:sz w:val="18"/>
                <w:szCs w:val="18"/>
                <w:color w:val="auto"/>
              </w:rPr>
            </w:pPr>
          </w:p>
        </w:tc>
        <w:tc>
          <w:tcPr>
            <w:tcW w:w="10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143,296</w:t>
            </w:r>
          </w:p>
        </w:tc>
        <w:tc>
          <w:tcPr>
            <w:tcW w:w="460" w:type="dxa"/>
            <w:vAlign w:val="bottom"/>
            <w:tcBorders>
              <w:top w:val="single" w:sz="8" w:color="51555C"/>
            </w:tcBorders>
          </w:tcPr>
          <w:p>
            <w:pPr>
              <w:spacing w:after="0"/>
              <w:rPr>
                <w:sz w:val="18"/>
                <w:szCs w:val="18"/>
                <w:color w:val="auto"/>
              </w:rPr>
            </w:pPr>
          </w:p>
        </w:tc>
        <w:tc>
          <w:tcPr>
            <w:tcW w:w="10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118,851</w:t>
            </w:r>
          </w:p>
        </w:tc>
      </w:tr>
      <w:tr>
        <w:trPr>
          <w:trHeight w:val="50"/>
        </w:trPr>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Deferred tax liabilites relatng to:</w:t>
            </w:r>
          </w:p>
        </w:tc>
        <w:tc>
          <w:tcPr>
            <w:tcW w:w="4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spacing w:after="0"/>
              <w:rPr>
                <w:sz w:val="21"/>
                <w:szCs w:val="21"/>
                <w:color w:val="auto"/>
              </w:rPr>
            </w:pP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Intangible assets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(160,172)</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(161,836)</w:t>
            </w:r>
          </w:p>
        </w:tc>
      </w:tr>
      <w:tr>
        <w:trPr>
          <w:trHeight w:val="50"/>
        </w:trPr>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Costs of obtaining contracts</w:t>
            </w:r>
          </w:p>
        </w:tc>
        <w:tc>
          <w:tcPr>
            <w:tcW w:w="4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(13,870)</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(16,287)</w:t>
            </w: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Operatng leases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(9,865)</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(11,721)</w:t>
            </w:r>
          </w:p>
        </w:tc>
      </w:tr>
      <w:tr>
        <w:trPr>
          <w:trHeight w:val="50"/>
        </w:trPr>
        <w:tc>
          <w:tcPr>
            <w:tcW w:w="8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2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Fixed assets</w:t>
            </w:r>
          </w:p>
        </w:tc>
        <w:tc>
          <w:tcPr>
            <w:tcW w:w="4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(5,833)</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(9,827)</w:t>
            </w:r>
          </w:p>
        </w:tc>
      </w:tr>
      <w:tr>
        <w:trPr>
          <w:trHeight w:val="220"/>
        </w:trPr>
        <w:tc>
          <w:tcPr>
            <w:tcW w:w="8220" w:type="dxa"/>
            <w:vAlign w:val="bottom"/>
          </w:tcPr>
          <w:p>
            <w:pPr>
              <w:ind w:left="140"/>
              <w:spacing w:after="0"/>
              <w:rPr>
                <w:sz w:val="20"/>
                <w:szCs w:val="20"/>
                <w:color w:val="auto"/>
              </w:rPr>
            </w:pPr>
            <w:r>
              <w:rPr>
                <w:rFonts w:ascii="Calibri" w:cs="Calibri" w:eastAsia="Calibri" w:hAnsi="Calibri"/>
                <w:sz w:val="18"/>
                <w:szCs w:val="18"/>
                <w:color w:val="51555C"/>
              </w:rPr>
              <w:t>Other</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(8,342)</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(9,016)</w:t>
            </w:r>
          </w:p>
        </w:tc>
      </w:tr>
      <w:tr>
        <w:trPr>
          <w:trHeight w:val="50"/>
        </w:trPr>
        <w:tc>
          <w:tcPr>
            <w:tcW w:w="8220" w:type="dxa"/>
            <w:vAlign w:val="bottom"/>
            <w:tcBorders>
              <w:bottom w:val="single" w:sz="8" w:color="EBFBFF"/>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04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060" w:type="dxa"/>
            <w:vAlign w:val="bottom"/>
            <w:tcBorders>
              <w:bottom w:val="single" w:sz="8" w:color="51555C"/>
            </w:tcBorders>
          </w:tcPr>
          <w:p>
            <w:pPr>
              <w:spacing w:after="0"/>
              <w:rPr>
                <w:sz w:val="4"/>
                <w:szCs w:val="4"/>
                <w:color w:val="auto"/>
              </w:rPr>
            </w:pPr>
          </w:p>
        </w:tc>
      </w:tr>
      <w:tr>
        <w:trPr>
          <w:trHeight w:val="244"/>
        </w:trPr>
        <w:tc>
          <w:tcPr>
            <w:tcW w:w="8220" w:type="dxa"/>
            <w:vAlign w:val="bottom"/>
            <w:tcBorders>
              <w:bottom w:val="single" w:sz="8" w:color="EBFBFF"/>
            </w:tcBorders>
            <w:shd w:val="clear" w:color="auto" w:fill="EBFBFF"/>
          </w:tcPr>
          <w:p>
            <w:pPr>
              <w:ind w:left="240"/>
              <w:spacing w:after="0" w:line="199" w:lineRule="exact"/>
              <w:rPr>
                <w:sz w:val="20"/>
                <w:szCs w:val="20"/>
                <w:color w:val="auto"/>
              </w:rPr>
            </w:pPr>
            <w:r>
              <w:rPr>
                <w:rFonts w:ascii="Calibri" w:cs="Calibri" w:eastAsia="Calibri" w:hAnsi="Calibri"/>
                <w:sz w:val="18"/>
                <w:szCs w:val="18"/>
                <w:b w:val="1"/>
                <w:bCs w:val="1"/>
                <w:color w:val="51555C"/>
              </w:rPr>
              <w:t>Total deferred tax liabilites</w:t>
            </w:r>
          </w:p>
        </w:tc>
        <w:tc>
          <w:tcPr>
            <w:tcW w:w="46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(198,082)</w:t>
            </w:r>
          </w:p>
        </w:tc>
        <w:tc>
          <w:tcPr>
            <w:tcW w:w="460" w:type="dxa"/>
            <w:vAlign w:val="bottom"/>
            <w:tcBorders>
              <w:bottom w:val="single" w:sz="8" w:color="EBFBFF"/>
            </w:tcBorders>
            <w:shd w:val="clear" w:color="auto" w:fill="EBFBFF"/>
          </w:tcPr>
          <w:p>
            <w:pPr>
              <w:spacing w:after="0"/>
              <w:rPr>
                <w:sz w:val="21"/>
                <w:szCs w:val="21"/>
                <w:color w:val="auto"/>
              </w:rPr>
            </w:pPr>
          </w:p>
        </w:tc>
        <w:tc>
          <w:tcPr>
            <w:tcW w:w="10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(208,687)</w:t>
            </w:r>
          </w:p>
        </w:tc>
      </w:tr>
      <w:tr>
        <w:trPr>
          <w:trHeight w:val="220"/>
        </w:trPr>
        <w:tc>
          <w:tcPr>
            <w:tcW w:w="8220" w:type="dxa"/>
            <w:vAlign w:val="bottom"/>
          </w:tcPr>
          <w:p>
            <w:pPr>
              <w:ind w:left="240"/>
              <w:spacing w:after="0"/>
              <w:rPr>
                <w:sz w:val="20"/>
                <w:szCs w:val="20"/>
                <w:color w:val="auto"/>
              </w:rPr>
            </w:pPr>
            <w:r>
              <w:rPr>
                <w:rFonts w:ascii="Calibri" w:cs="Calibri" w:eastAsia="Calibri" w:hAnsi="Calibri"/>
                <w:sz w:val="18"/>
                <w:szCs w:val="18"/>
                <w:b w:val="1"/>
                <w:bCs w:val="1"/>
                <w:color w:val="51555C"/>
              </w:rPr>
              <w:t>Valuaton allowance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Calibri" w:cs="Calibri" w:eastAsia="Calibri" w:hAnsi="Calibri"/>
                <w:sz w:val="18"/>
                <w:szCs w:val="18"/>
                <w:color w:val="51555C"/>
              </w:rPr>
              <w:t>(37,862)</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color w:val="51555C"/>
              </w:rPr>
              <w:t>(34,769)</w:t>
            </w:r>
          </w:p>
        </w:tc>
      </w:tr>
      <w:tr>
        <w:trPr>
          <w:trHeight w:val="50"/>
        </w:trPr>
        <w:tc>
          <w:tcPr>
            <w:tcW w:w="8220" w:type="dxa"/>
            <w:vAlign w:val="bottom"/>
            <w:tcBorders>
              <w:bottom w:val="single" w:sz="8" w:color="EBFBFF"/>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04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060" w:type="dxa"/>
            <w:vAlign w:val="bottom"/>
            <w:tcBorders>
              <w:bottom w:val="single" w:sz="8" w:color="51555C"/>
            </w:tcBorders>
          </w:tcPr>
          <w:p>
            <w:pPr>
              <w:spacing w:after="0"/>
              <w:rPr>
                <w:sz w:val="4"/>
                <w:szCs w:val="4"/>
                <w:color w:val="auto"/>
              </w:rPr>
            </w:pPr>
          </w:p>
        </w:tc>
      </w:tr>
      <w:tr>
        <w:trPr>
          <w:trHeight w:val="244"/>
        </w:trPr>
        <w:tc>
          <w:tcPr>
            <w:tcW w:w="8220" w:type="dxa"/>
            <w:vAlign w:val="bottom"/>
            <w:tcBorders>
              <w:bottom w:val="single" w:sz="8" w:color="EBFBFF"/>
            </w:tcBorders>
            <w:shd w:val="clear" w:color="auto" w:fill="EBFBFF"/>
          </w:tcPr>
          <w:p>
            <w:pPr>
              <w:ind w:left="360"/>
              <w:spacing w:after="0" w:line="199" w:lineRule="exact"/>
              <w:rPr>
                <w:sz w:val="20"/>
                <w:szCs w:val="20"/>
                <w:color w:val="auto"/>
              </w:rPr>
            </w:pPr>
            <w:r>
              <w:rPr>
                <w:rFonts w:ascii="Calibri" w:cs="Calibri" w:eastAsia="Calibri" w:hAnsi="Calibri"/>
                <w:sz w:val="18"/>
                <w:szCs w:val="18"/>
                <w:b w:val="1"/>
                <w:bCs w:val="1"/>
                <w:color w:val="51555C"/>
              </w:rPr>
              <w:t>Net deferred tax liability</w:t>
            </w:r>
          </w:p>
        </w:tc>
        <w:tc>
          <w:tcPr>
            <w:tcW w:w="460" w:type="dxa"/>
            <w:vAlign w:val="bottom"/>
            <w:tcBorders>
              <w:bottom w:val="single" w:sz="8" w:color="EBFBFF"/>
            </w:tcBorders>
            <w:shd w:val="clear" w:color="auto" w:fill="EBFBFF"/>
          </w:tcPr>
          <w:p>
            <w:pPr>
              <w:jc w:val="right"/>
              <w:ind w:right="270"/>
              <w:spacing w:after="0" w:line="213" w:lineRule="exact"/>
              <w:rPr>
                <w:sz w:val="20"/>
                <w:szCs w:val="20"/>
                <w:color w:val="auto"/>
              </w:rPr>
            </w:pPr>
            <w:r>
              <w:rPr>
                <w:rFonts w:ascii="Calibri" w:cs="Calibri" w:eastAsia="Calibri" w:hAnsi="Calibri"/>
                <w:sz w:val="18"/>
                <w:szCs w:val="18"/>
                <w:color w:val="51555C"/>
                <w:w w:val="87"/>
              </w:rPr>
              <w:t>$</w:t>
            </w:r>
          </w:p>
        </w:tc>
        <w:tc>
          <w:tcPr>
            <w:tcW w:w="10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(92,648)</w:t>
            </w:r>
          </w:p>
        </w:tc>
        <w:tc>
          <w:tcPr>
            <w:tcW w:w="460" w:type="dxa"/>
            <w:vAlign w:val="bottom"/>
            <w:tcBorders>
              <w:bottom w:val="single" w:sz="8" w:color="EBFBFF"/>
            </w:tcBorders>
            <w:shd w:val="clear" w:color="auto" w:fill="EBFBFF"/>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10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(124,605)</w:t>
            </w:r>
          </w:p>
        </w:tc>
      </w:tr>
      <w:tr>
        <w:trPr>
          <w:trHeight w:val="20"/>
        </w:trPr>
        <w:tc>
          <w:tcPr>
            <w:tcW w:w="822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04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060" w:type="dxa"/>
            <w:vAlign w:val="bottom"/>
            <w:shd w:val="clear" w:color="auto" w:fill="0CD973"/>
          </w:tcPr>
          <w:p>
            <w:pPr>
              <w:spacing w:after="0" w:line="20" w:lineRule="exact"/>
              <w:rPr>
                <w:sz w:val="1"/>
                <w:szCs w:val="1"/>
                <w:color w:val="auto"/>
              </w:rPr>
            </w:pPr>
          </w:p>
        </w:tc>
      </w:tr>
    </w:tbl>
    <w:p>
      <w:pPr>
        <w:spacing w:after="0" w:line="23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As of December 31, 2023, our federal, foreign and state net operatng loss carryforwards for income tax purposes were approximately $14.9 million, $3.8 million and $50.8 million, respectvely. Of our federal net operatng loss carryforwards, $12.4 million are subject to expiraton beginning in 2024 while the remainder have an unlimited carryforward period. The state net operatng loss carryforwards are subject to various applicable state tax laws. If not utlized, the state net operatng loss carryforwards will expire over various periods beginning in 2024. Our foreign net operatng loss carryforwards have an unlimited carryforward period. Our state tax credit carryforwards for income tax purposes were approximately $40.9 million, net of federal beneft. If not utlized, the state tax credit carryforwards will begin to expire in 2024. A porton of the foreign and state net operatng loss carryforwards and state credit carryforwards have a valuaton reserve due to management's uncertainty regarding the future ability to use such carryforwards.</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illustrates the change in our deferred tax asset valuaton allowance: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1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w:t>
            </w:r>
          </w:p>
        </w:tc>
        <w:tc>
          <w:tcPr>
            <w:tcW w:w="149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Acquisiton-</w:t>
            </w:r>
          </w:p>
        </w:tc>
        <w:tc>
          <w:tcPr>
            <w:tcW w:w="1510" w:type="dxa"/>
            <w:vAlign w:val="bottom"/>
            <w:shd w:val="clear" w:color="auto" w:fill="004054"/>
          </w:tcPr>
          <w:p>
            <w:pPr>
              <w:spacing w:after="0"/>
              <w:rPr>
                <w:sz w:val="15"/>
                <w:szCs w:val="15"/>
                <w:color w:val="auto"/>
              </w:rPr>
            </w:pPr>
          </w:p>
        </w:tc>
        <w:tc>
          <w:tcPr>
            <w:tcW w:w="15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Balance at</w:t>
            </w:r>
          </w:p>
        </w:tc>
      </w:tr>
      <w:tr>
        <w:trPr>
          <w:trHeight w:val="162"/>
        </w:trPr>
        <w:tc>
          <w:tcPr>
            <w:tcW w:w="5210" w:type="dxa"/>
            <w:vAlign w:val="bottom"/>
            <w:shd w:val="clear" w:color="auto" w:fill="004054"/>
          </w:tcPr>
          <w:p>
            <w:pPr>
              <w:ind w:left="40"/>
              <w:spacing w:after="0" w:line="162" w:lineRule="exact"/>
              <w:rPr>
                <w:sz w:val="20"/>
                <w:szCs w:val="20"/>
                <w:color w:val="auto"/>
              </w:rPr>
            </w:pPr>
            <w:r>
              <w:rPr>
                <w:rFonts w:ascii="Calibri" w:cs="Calibri" w:eastAsia="Calibri" w:hAnsi="Calibri"/>
                <w:sz w:val="14"/>
                <w:szCs w:val="14"/>
                <w:b w:val="1"/>
                <w:bCs w:val="1"/>
                <w:color w:val="FFFFFF"/>
              </w:rPr>
              <w:t>Years ended December 31,</w:t>
            </w:r>
          </w:p>
        </w:tc>
        <w:tc>
          <w:tcPr>
            <w:tcW w:w="1520" w:type="dxa"/>
            <w:vAlign w:val="bottom"/>
            <w:shd w:val="clear" w:color="auto" w:fill="004054"/>
          </w:tcPr>
          <w:p>
            <w:pPr>
              <w:jc w:val="right"/>
              <w:spacing w:after="0" w:line="162" w:lineRule="exact"/>
              <w:rPr>
                <w:sz w:val="20"/>
                <w:szCs w:val="20"/>
                <w:color w:val="auto"/>
              </w:rPr>
            </w:pPr>
            <w:r>
              <w:rPr>
                <w:rFonts w:ascii="Calibri" w:cs="Calibri" w:eastAsia="Calibri" w:hAnsi="Calibri"/>
                <w:sz w:val="14"/>
                <w:szCs w:val="14"/>
                <w:b w:val="1"/>
                <w:bCs w:val="1"/>
                <w:color w:val="FFFFFF"/>
              </w:rPr>
              <w:t>at beginning</w:t>
            </w:r>
          </w:p>
        </w:tc>
        <w:tc>
          <w:tcPr>
            <w:tcW w:w="1490" w:type="dxa"/>
            <w:vAlign w:val="bottom"/>
            <w:shd w:val="clear" w:color="auto" w:fill="004054"/>
          </w:tcPr>
          <w:p>
            <w:pPr>
              <w:jc w:val="right"/>
              <w:spacing w:after="0" w:line="162" w:lineRule="exact"/>
              <w:rPr>
                <w:sz w:val="20"/>
                <w:szCs w:val="20"/>
                <w:color w:val="auto"/>
              </w:rPr>
            </w:pPr>
            <w:r>
              <w:rPr>
                <w:rFonts w:ascii="Calibri" w:cs="Calibri" w:eastAsia="Calibri" w:hAnsi="Calibri"/>
                <w:sz w:val="14"/>
                <w:szCs w:val="14"/>
                <w:b w:val="1"/>
                <w:bCs w:val="1"/>
                <w:color w:val="FFFFFF"/>
              </w:rPr>
              <w:t>related</w:t>
            </w:r>
          </w:p>
        </w:tc>
        <w:tc>
          <w:tcPr>
            <w:tcW w:w="1510" w:type="dxa"/>
            <w:vAlign w:val="bottom"/>
            <w:shd w:val="clear" w:color="auto" w:fill="004054"/>
          </w:tcPr>
          <w:p>
            <w:pPr>
              <w:jc w:val="right"/>
              <w:spacing w:after="0" w:line="162" w:lineRule="exact"/>
              <w:rPr>
                <w:sz w:val="20"/>
                <w:szCs w:val="20"/>
                <w:color w:val="auto"/>
              </w:rPr>
            </w:pPr>
            <w:r>
              <w:rPr>
                <w:rFonts w:ascii="Calibri" w:cs="Calibri" w:eastAsia="Calibri" w:hAnsi="Calibri"/>
                <w:sz w:val="14"/>
                <w:szCs w:val="14"/>
                <w:b w:val="1"/>
                <w:bCs w:val="1"/>
                <w:color w:val="FFFFFF"/>
              </w:rPr>
              <w:t>Charges to</w:t>
            </w:r>
          </w:p>
        </w:tc>
        <w:tc>
          <w:tcPr>
            <w:tcW w:w="1530" w:type="dxa"/>
            <w:vAlign w:val="bottom"/>
            <w:shd w:val="clear" w:color="auto" w:fill="004054"/>
          </w:tcPr>
          <w:p>
            <w:pPr>
              <w:jc w:val="right"/>
              <w:spacing w:after="0" w:line="162" w:lineRule="exact"/>
              <w:rPr>
                <w:sz w:val="20"/>
                <w:szCs w:val="20"/>
                <w:color w:val="auto"/>
              </w:rPr>
            </w:pPr>
            <w:r>
              <w:rPr>
                <w:rFonts w:ascii="Calibri" w:cs="Calibri" w:eastAsia="Calibri" w:hAnsi="Calibri"/>
                <w:sz w:val="14"/>
                <w:szCs w:val="14"/>
                <w:b w:val="1"/>
                <w:bCs w:val="1"/>
                <w:color w:val="FFFFFF"/>
              </w:rPr>
              <w:t>end of</w:t>
            </w:r>
          </w:p>
        </w:tc>
      </w:tr>
      <w:tr>
        <w:trPr>
          <w:trHeight w:val="183"/>
        </w:trPr>
        <w:tc>
          <w:tcPr>
            <w:tcW w:w="521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of year</w:t>
            </w:r>
          </w:p>
        </w:tc>
        <w:tc>
          <w:tcPr>
            <w:tcW w:w="149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change</w:t>
            </w:r>
          </w:p>
        </w:tc>
        <w:tc>
          <w:tcPr>
            <w:tcW w:w="151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expense</w:t>
            </w:r>
          </w:p>
        </w:tc>
        <w:tc>
          <w:tcPr>
            <w:tcW w:w="153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w:t>
            </w:r>
          </w:p>
        </w:tc>
      </w:tr>
      <w:tr>
        <w:trPr>
          <w:trHeight w:val="74"/>
        </w:trPr>
        <w:tc>
          <w:tcPr>
            <w:tcW w:w="5210" w:type="dxa"/>
            <w:vAlign w:val="bottom"/>
            <w:shd w:val="clear" w:color="auto" w:fill="004054"/>
          </w:tcPr>
          <w:p>
            <w:pPr>
              <w:spacing w:after="0"/>
              <w:rPr>
                <w:sz w:val="6"/>
                <w:szCs w:val="6"/>
                <w:color w:val="auto"/>
              </w:rPr>
            </w:pPr>
          </w:p>
        </w:tc>
        <w:tc>
          <w:tcPr>
            <w:tcW w:w="1520" w:type="dxa"/>
            <w:vAlign w:val="bottom"/>
            <w:shd w:val="clear" w:color="auto" w:fill="004054"/>
          </w:tcPr>
          <w:p>
            <w:pPr>
              <w:spacing w:after="0"/>
              <w:rPr>
                <w:sz w:val="6"/>
                <w:szCs w:val="6"/>
                <w:color w:val="auto"/>
              </w:rPr>
            </w:pPr>
          </w:p>
        </w:tc>
        <w:tc>
          <w:tcPr>
            <w:tcW w:w="1490" w:type="dxa"/>
            <w:vAlign w:val="bottom"/>
            <w:shd w:val="clear" w:color="auto" w:fill="004054"/>
          </w:tcPr>
          <w:p>
            <w:pPr>
              <w:spacing w:after="0"/>
              <w:rPr>
                <w:sz w:val="6"/>
                <w:szCs w:val="6"/>
                <w:color w:val="auto"/>
              </w:rPr>
            </w:pPr>
          </w:p>
        </w:tc>
        <w:tc>
          <w:tcPr>
            <w:tcW w:w="1510" w:type="dxa"/>
            <w:vAlign w:val="bottom"/>
            <w:shd w:val="clear" w:color="auto" w:fill="004054"/>
          </w:tcPr>
          <w:p>
            <w:pPr>
              <w:spacing w:after="0"/>
              <w:rPr>
                <w:sz w:val="6"/>
                <w:szCs w:val="6"/>
                <w:color w:val="auto"/>
              </w:rPr>
            </w:pPr>
          </w:p>
        </w:tc>
        <w:tc>
          <w:tcPr>
            <w:tcW w:w="153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800" w:type="dxa"/>
            <w:vAlign w:val="bottom"/>
          </w:tcPr>
          <w:p>
            <w:pPr>
              <w:jc w:val="right"/>
              <w:ind w:right="2330"/>
              <w:spacing w:after="0"/>
              <w:rPr>
                <w:sz w:val="20"/>
                <w:szCs w:val="20"/>
                <w:color w:val="auto"/>
              </w:rPr>
            </w:pPr>
            <w:r>
              <w:rPr>
                <w:rFonts w:ascii="Calibri" w:cs="Calibri" w:eastAsia="Calibri" w:hAnsi="Calibri"/>
                <w:sz w:val="18"/>
                <w:szCs w:val="18"/>
                <w:color w:val="51555C"/>
                <w:w w:val="98"/>
              </w:rPr>
              <w:t>2023</w:t>
            </w:r>
          </w:p>
        </w:tc>
        <w:tc>
          <w:tcPr>
            <w:tcW w:w="2940" w:type="dxa"/>
            <w:vAlign w:val="bottom"/>
          </w:tcPr>
          <w:p>
            <w:pPr>
              <w:jc w:val="right"/>
              <w:ind w:right="330"/>
              <w:spacing w:after="0"/>
              <w:rPr>
                <w:sz w:val="20"/>
                <w:szCs w:val="20"/>
                <w:color w:val="auto"/>
              </w:rPr>
            </w:pPr>
            <w:r>
              <w:rPr>
                <w:rFonts w:ascii="Calibri" w:cs="Calibri" w:eastAsia="Calibri" w:hAnsi="Calibri"/>
                <w:sz w:val="18"/>
                <w:szCs w:val="18"/>
                <w:color w:val="51555C"/>
              </w:rPr>
              <w:t>$</w:t>
            </w:r>
          </w:p>
        </w:tc>
        <w:tc>
          <w:tcPr>
            <w:tcW w:w="960" w:type="dxa"/>
            <w:vAlign w:val="bottom"/>
          </w:tcPr>
          <w:p>
            <w:pPr>
              <w:jc w:val="right"/>
              <w:spacing w:after="0"/>
              <w:rPr>
                <w:sz w:val="20"/>
                <w:szCs w:val="20"/>
                <w:color w:val="auto"/>
              </w:rPr>
            </w:pPr>
            <w:r>
              <w:rPr>
                <w:rFonts w:ascii="Calibri" w:cs="Calibri" w:eastAsia="Calibri" w:hAnsi="Calibri"/>
                <w:sz w:val="18"/>
                <w:szCs w:val="18"/>
                <w:color w:val="51555C"/>
              </w:rPr>
              <w:t>34,769</w:t>
            </w:r>
          </w:p>
        </w:tc>
        <w:tc>
          <w:tcPr>
            <w:tcW w:w="660" w:type="dxa"/>
            <w:vAlign w:val="bottom"/>
          </w:tcPr>
          <w:p>
            <w:pPr>
              <w:jc w:val="right"/>
              <w:ind w:right="450"/>
              <w:spacing w:after="0"/>
              <w:rPr>
                <w:sz w:val="20"/>
                <w:szCs w:val="20"/>
                <w:color w:val="auto"/>
              </w:rPr>
            </w:pPr>
            <w:r>
              <w:rPr>
                <w:rFonts w:ascii="Calibri" w:cs="Calibri" w:eastAsia="Calibri" w:hAnsi="Calibri"/>
                <w:sz w:val="18"/>
                <w:szCs w:val="18"/>
                <w:color w:val="51555C"/>
              </w:rPr>
              <w:t>$</w:t>
            </w:r>
          </w:p>
        </w:tc>
        <w:tc>
          <w:tcPr>
            <w:tcW w:w="1080" w:type="dxa"/>
            <w:vAlign w:val="bottom"/>
          </w:tcPr>
          <w:p>
            <w:pPr>
              <w:jc w:val="right"/>
              <w:ind w:right="30"/>
              <w:spacing w:after="0"/>
              <w:rPr>
                <w:sz w:val="20"/>
                <w:szCs w:val="20"/>
                <w:color w:val="auto"/>
              </w:rPr>
            </w:pPr>
            <w:r>
              <w:rPr>
                <w:rFonts w:ascii="Calibri" w:cs="Calibri" w:eastAsia="Calibri" w:hAnsi="Calibri"/>
                <w:sz w:val="18"/>
                <w:szCs w:val="18"/>
                <w:color w:val="51555C"/>
              </w:rPr>
              <w:t>— $</w:t>
            </w: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3,093</w:t>
            </w:r>
          </w:p>
        </w:tc>
        <w:tc>
          <w:tcPr>
            <w:tcW w:w="560" w:type="dxa"/>
            <w:vAlign w:val="bottom"/>
          </w:tcPr>
          <w:p>
            <w:pPr>
              <w:jc w:val="right"/>
              <w:ind w:right="330"/>
              <w:spacing w:after="0"/>
              <w:rPr>
                <w:sz w:val="20"/>
                <w:szCs w:val="20"/>
                <w:color w:val="auto"/>
              </w:rPr>
            </w:pPr>
            <w:r>
              <w:rPr>
                <w:rFonts w:ascii="Calibri" w:cs="Calibri" w:eastAsia="Calibri" w:hAnsi="Calibri"/>
                <w:sz w:val="18"/>
                <w:szCs w:val="18"/>
                <w:color w:val="51555C"/>
              </w:rPr>
              <w:t>$</w:t>
            </w:r>
          </w:p>
        </w:tc>
        <w:tc>
          <w:tcPr>
            <w:tcW w:w="980" w:type="dxa"/>
            <w:vAlign w:val="bottom"/>
          </w:tcPr>
          <w:p>
            <w:pPr>
              <w:jc w:val="right"/>
              <w:spacing w:after="0"/>
              <w:rPr>
                <w:sz w:val="20"/>
                <w:szCs w:val="20"/>
                <w:color w:val="auto"/>
              </w:rPr>
            </w:pPr>
            <w:r>
              <w:rPr>
                <w:rFonts w:ascii="Calibri" w:cs="Calibri" w:eastAsia="Calibri" w:hAnsi="Calibri"/>
                <w:sz w:val="18"/>
                <w:szCs w:val="18"/>
                <w:color w:val="51555C"/>
              </w:rPr>
              <w:t>37,862</w:t>
            </w:r>
          </w:p>
        </w:tc>
      </w:tr>
      <w:tr>
        <w:trPr>
          <w:trHeight w:val="270"/>
        </w:trPr>
        <w:tc>
          <w:tcPr>
            <w:tcW w:w="2800" w:type="dxa"/>
            <w:vAlign w:val="bottom"/>
          </w:tcPr>
          <w:p>
            <w:pPr>
              <w:jc w:val="right"/>
              <w:ind w:right="2330"/>
              <w:spacing w:after="0"/>
              <w:rPr>
                <w:sz w:val="20"/>
                <w:szCs w:val="20"/>
                <w:color w:val="auto"/>
              </w:rPr>
            </w:pPr>
            <w:r>
              <w:rPr>
                <w:rFonts w:ascii="Calibri" w:cs="Calibri" w:eastAsia="Calibri" w:hAnsi="Calibri"/>
                <w:sz w:val="18"/>
                <w:szCs w:val="18"/>
                <w:color w:val="51555C"/>
                <w:w w:val="98"/>
              </w:rPr>
              <w:t>2022</w:t>
            </w:r>
          </w:p>
        </w:tc>
        <w:tc>
          <w:tcPr>
            <w:tcW w:w="29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31,974</w:t>
            </w:r>
          </w:p>
        </w:tc>
        <w:tc>
          <w:tcPr>
            <w:tcW w:w="66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Calibri" w:cs="Calibri" w:eastAsia="Calibri" w:hAnsi="Calibri"/>
                <w:sz w:val="18"/>
                <w:szCs w:val="18"/>
                <w:color w:val="51555C"/>
              </w:rPr>
              <w:t>—</w:t>
            </w:r>
          </w:p>
        </w:tc>
        <w:tc>
          <w:tcPr>
            <w:tcW w:w="1260" w:type="dxa"/>
            <w:vAlign w:val="bottom"/>
          </w:tcPr>
          <w:p>
            <w:pPr>
              <w:jc w:val="right"/>
              <w:spacing w:after="0"/>
              <w:rPr>
                <w:sz w:val="20"/>
                <w:szCs w:val="20"/>
                <w:color w:val="auto"/>
              </w:rPr>
            </w:pPr>
            <w:r>
              <w:rPr>
                <w:rFonts w:ascii="Calibri" w:cs="Calibri" w:eastAsia="Calibri" w:hAnsi="Calibri"/>
                <w:sz w:val="18"/>
                <w:szCs w:val="18"/>
                <w:color w:val="51555C"/>
              </w:rPr>
              <w:t>2,795</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color w:val="51555C"/>
              </w:rPr>
              <w:t>34,769</w:t>
            </w:r>
          </w:p>
        </w:tc>
      </w:tr>
      <w:tr>
        <w:trPr>
          <w:trHeight w:val="50"/>
        </w:trPr>
        <w:tc>
          <w:tcPr>
            <w:tcW w:w="280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5"/>
        </w:trPr>
        <w:tc>
          <w:tcPr>
            <w:tcW w:w="2800" w:type="dxa"/>
            <w:vAlign w:val="bottom"/>
            <w:tcBorders>
              <w:bottom w:val="single" w:sz="8" w:color="EBFBFF"/>
            </w:tcBorders>
            <w:shd w:val="clear" w:color="auto" w:fill="EBFBFF"/>
          </w:tcPr>
          <w:p>
            <w:pPr>
              <w:jc w:val="right"/>
              <w:ind w:right="2330"/>
              <w:spacing w:after="0"/>
              <w:rPr>
                <w:sz w:val="20"/>
                <w:szCs w:val="20"/>
                <w:color w:val="auto"/>
              </w:rPr>
            </w:pPr>
            <w:r>
              <w:rPr>
                <w:rFonts w:ascii="Calibri" w:cs="Calibri" w:eastAsia="Calibri" w:hAnsi="Calibri"/>
                <w:sz w:val="18"/>
                <w:szCs w:val="18"/>
                <w:color w:val="51555C"/>
                <w:w w:val="98"/>
              </w:rPr>
              <w:t>2021</w:t>
            </w:r>
          </w:p>
        </w:tc>
        <w:tc>
          <w:tcPr>
            <w:tcW w:w="294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29,184</w:t>
            </w:r>
          </w:p>
        </w:tc>
        <w:tc>
          <w:tcPr>
            <w:tcW w:w="66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rPr>
              <w:t>893</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1,897</w:t>
            </w:r>
          </w:p>
        </w:tc>
        <w:tc>
          <w:tcPr>
            <w:tcW w:w="56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31,974</w:t>
            </w:r>
          </w:p>
        </w:tc>
      </w:tr>
      <w:tr>
        <w:trPr>
          <w:trHeight w:val="662"/>
        </w:trPr>
        <w:tc>
          <w:tcPr>
            <w:tcW w:w="2800" w:type="dxa"/>
            <w:vAlign w:val="bottom"/>
            <w:tcBorders>
              <w:top w:val="single" w:sz="8" w:color="0CD973"/>
            </w:tcBorders>
          </w:tcPr>
          <w:p>
            <w:pPr>
              <w:spacing w:after="0"/>
              <w:rPr>
                <w:sz w:val="24"/>
                <w:szCs w:val="24"/>
                <w:color w:val="auto"/>
              </w:rPr>
            </w:pPr>
          </w:p>
        </w:tc>
        <w:tc>
          <w:tcPr>
            <w:tcW w:w="2940" w:type="dxa"/>
            <w:vAlign w:val="bottom"/>
            <w:tcBorders>
              <w:top w:val="single" w:sz="8" w:color="0CD973"/>
            </w:tcBorders>
          </w:tcPr>
          <w:p>
            <w:pPr>
              <w:spacing w:after="0"/>
              <w:rPr>
                <w:sz w:val="24"/>
                <w:szCs w:val="24"/>
                <w:color w:val="auto"/>
              </w:rPr>
            </w:pPr>
          </w:p>
        </w:tc>
        <w:tc>
          <w:tcPr>
            <w:tcW w:w="960" w:type="dxa"/>
            <w:vAlign w:val="bottom"/>
            <w:tcBorders>
              <w:top w:val="single" w:sz="8" w:color="0CD973"/>
            </w:tcBorders>
          </w:tcPr>
          <w:p>
            <w:pPr>
              <w:spacing w:after="0"/>
              <w:rPr>
                <w:sz w:val="24"/>
                <w:szCs w:val="24"/>
                <w:color w:val="auto"/>
              </w:rPr>
            </w:pPr>
          </w:p>
        </w:tc>
        <w:tc>
          <w:tcPr>
            <w:tcW w:w="660" w:type="dxa"/>
            <w:vAlign w:val="bottom"/>
            <w:tcBorders>
              <w:top w:val="single" w:sz="8" w:color="0CD973"/>
            </w:tcBorders>
          </w:tcPr>
          <w:p>
            <w:pPr>
              <w:spacing w:after="0"/>
              <w:rPr>
                <w:sz w:val="24"/>
                <w:szCs w:val="24"/>
                <w:color w:val="auto"/>
              </w:rPr>
            </w:pPr>
          </w:p>
        </w:tc>
        <w:tc>
          <w:tcPr>
            <w:tcW w:w="1080" w:type="dxa"/>
            <w:vAlign w:val="bottom"/>
            <w:tcBorders>
              <w:top w:val="single" w:sz="8" w:color="0CD973"/>
            </w:tcBorders>
          </w:tcPr>
          <w:p>
            <w:pPr>
              <w:spacing w:after="0"/>
              <w:rPr>
                <w:sz w:val="24"/>
                <w:szCs w:val="24"/>
                <w:color w:val="auto"/>
              </w:rPr>
            </w:pPr>
          </w:p>
        </w:tc>
        <w:tc>
          <w:tcPr>
            <w:tcW w:w="1260" w:type="dxa"/>
            <w:vAlign w:val="bottom"/>
            <w:tcBorders>
              <w:top w:val="single" w:sz="8" w:color="0CD973"/>
            </w:tcBorders>
          </w:tcPr>
          <w:p>
            <w:pPr>
              <w:jc w:val="right"/>
              <w:ind w:right="155"/>
              <w:spacing w:after="0"/>
              <w:rPr>
                <w:sz w:val="20"/>
                <w:szCs w:val="20"/>
                <w:color w:val="auto"/>
              </w:rPr>
            </w:pPr>
            <w:r>
              <w:rPr>
                <w:rFonts w:ascii="Calibri" w:cs="Calibri" w:eastAsia="Calibri" w:hAnsi="Calibri"/>
                <w:sz w:val="14"/>
                <w:szCs w:val="14"/>
                <w:color w:val="51555C"/>
              </w:rPr>
              <w:t>2023 Form 10-K</w:t>
            </w:r>
          </w:p>
        </w:tc>
        <w:tc>
          <w:tcPr>
            <w:tcW w:w="560" w:type="dxa"/>
            <w:vAlign w:val="bottom"/>
            <w:tcBorders>
              <w:top w:val="single" w:sz="8" w:color="0CD973"/>
            </w:tcBorders>
          </w:tcPr>
          <w:p>
            <w:pPr>
              <w:spacing w:after="0"/>
              <w:rPr>
                <w:sz w:val="24"/>
                <w:szCs w:val="24"/>
                <w:color w:val="auto"/>
              </w:rPr>
            </w:pPr>
          </w:p>
        </w:tc>
        <w:tc>
          <w:tcPr>
            <w:tcW w:w="980" w:type="dxa"/>
            <w:vAlign w:val="bottom"/>
            <w:tcBorders>
              <w:top w:val="single" w:sz="8" w:color="0CD973"/>
            </w:tcBorders>
          </w:tcPr>
          <w:p>
            <w:pPr>
              <w:jc w:val="right"/>
              <w:spacing w:after="0"/>
              <w:rPr>
                <w:sz w:val="20"/>
                <w:szCs w:val="20"/>
                <w:color w:val="auto"/>
              </w:rPr>
            </w:pPr>
            <w:r>
              <w:rPr>
                <w:rFonts w:ascii="Calibri" w:cs="Calibri" w:eastAsia="Calibri" w:hAnsi="Calibri"/>
                <w:sz w:val="14"/>
                <w:szCs w:val="14"/>
                <w:color w:val="51555C"/>
              </w:rPr>
              <w:t>103</w:t>
            </w:r>
          </w:p>
        </w:tc>
      </w:tr>
      <w:tr>
        <w:trPr>
          <w:trHeight w:val="338"/>
        </w:trPr>
        <w:tc>
          <w:tcPr>
            <w:tcW w:w="28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-385445</wp:posOffset>
            </wp:positionV>
            <wp:extent cx="728980" cy="1885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sets forth the change to our unrecognized tax beneft for the years ended December 31, 2023, 2022 and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shd w:val="clear" w:color="auto" w:fill="004054"/>
          </w:tcPr>
          <w:p>
            <w:pPr>
              <w:spacing w:after="0"/>
              <w:rPr>
                <w:sz w:val="16"/>
                <w:szCs w:val="16"/>
                <w:color w:val="auto"/>
              </w:rPr>
            </w:pPr>
          </w:p>
        </w:tc>
        <w:tc>
          <w:tcPr>
            <w:tcW w:w="580" w:type="dxa"/>
            <w:vAlign w:val="bottom"/>
            <w:shd w:val="clear" w:color="auto" w:fill="004054"/>
          </w:tcPr>
          <w:p>
            <w:pPr>
              <w:spacing w:after="0"/>
              <w:rPr>
                <w:sz w:val="16"/>
                <w:szCs w:val="16"/>
                <w:color w:val="auto"/>
              </w:rPr>
            </w:pPr>
          </w:p>
        </w:tc>
        <w:tc>
          <w:tcPr>
            <w:tcW w:w="940" w:type="dxa"/>
            <w:vAlign w:val="bottom"/>
            <w:shd w:val="clear" w:color="auto" w:fill="004054"/>
          </w:tcPr>
          <w:p>
            <w:pPr>
              <w:spacing w:after="0"/>
              <w:rPr>
                <w:sz w:val="16"/>
                <w:szCs w:val="16"/>
                <w:color w:val="auto"/>
              </w:rPr>
            </w:pPr>
          </w:p>
        </w:tc>
        <w:tc>
          <w:tcPr>
            <w:tcW w:w="580" w:type="dxa"/>
            <w:vAlign w:val="bottom"/>
            <w:shd w:val="clear" w:color="auto" w:fill="004054"/>
          </w:tcPr>
          <w:p>
            <w:pPr>
              <w:spacing w:after="0"/>
              <w:rPr>
                <w:sz w:val="16"/>
                <w:szCs w:val="16"/>
                <w:color w:val="auto"/>
              </w:rPr>
            </w:pPr>
          </w:p>
        </w:tc>
        <w:tc>
          <w:tcPr>
            <w:tcW w:w="244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c>
          <w:tcPr>
            <w:tcW w:w="20" w:type="dxa"/>
            <w:vAlign w:val="bottom"/>
            <w:shd w:val="clear" w:color="auto" w:fill="004054"/>
          </w:tcPr>
          <w:p>
            <w:pPr>
              <w:spacing w:after="0"/>
              <w:rPr>
                <w:sz w:val="16"/>
                <w:szCs w:val="16"/>
                <w:color w:val="auto"/>
              </w:rPr>
            </w:pPr>
          </w:p>
        </w:tc>
      </w:tr>
      <w:tr>
        <w:trPr>
          <w:trHeight w:val="236"/>
        </w:trPr>
        <w:tc>
          <w:tcPr>
            <w:tcW w:w="67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580" w:type="dxa"/>
            <w:vAlign w:val="bottom"/>
            <w:shd w:val="clear" w:color="auto" w:fill="004054"/>
          </w:tcPr>
          <w:p>
            <w:pPr>
              <w:spacing w:after="0"/>
              <w:rPr>
                <w:sz w:val="20"/>
                <w:szCs w:val="20"/>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580" w:type="dxa"/>
            <w:vAlign w:val="bottom"/>
            <w:shd w:val="clear" w:color="auto" w:fill="004054"/>
          </w:tcPr>
          <w:p>
            <w:pPr>
              <w:spacing w:after="0"/>
              <w:rPr>
                <w:sz w:val="20"/>
                <w:szCs w:val="20"/>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560" w:type="dxa"/>
            <w:vAlign w:val="bottom"/>
            <w:shd w:val="clear" w:color="auto" w:fill="004054"/>
          </w:tcPr>
          <w:p>
            <w:pPr>
              <w:spacing w:after="0"/>
              <w:rPr>
                <w:sz w:val="20"/>
                <w:szCs w:val="20"/>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0"/>
                <w:szCs w:val="20"/>
                <w:color w:val="auto"/>
              </w:rPr>
            </w:pPr>
          </w:p>
        </w:tc>
      </w:tr>
      <w:tr>
        <w:trPr>
          <w:trHeight w:val="74"/>
        </w:trPr>
        <w:tc>
          <w:tcPr>
            <w:tcW w:w="6700" w:type="dxa"/>
            <w:vAlign w:val="bottom"/>
            <w:shd w:val="clear" w:color="auto" w:fill="004054"/>
          </w:tcPr>
          <w:p>
            <w:pPr>
              <w:spacing w:after="0"/>
              <w:rPr>
                <w:sz w:val="6"/>
                <w:szCs w:val="6"/>
                <w:color w:val="auto"/>
              </w:rPr>
            </w:pPr>
          </w:p>
        </w:tc>
        <w:tc>
          <w:tcPr>
            <w:tcW w:w="580" w:type="dxa"/>
            <w:vAlign w:val="bottom"/>
            <w:shd w:val="clear" w:color="auto" w:fill="004054"/>
          </w:tcPr>
          <w:p>
            <w:pPr>
              <w:spacing w:after="0"/>
              <w:rPr>
                <w:sz w:val="6"/>
                <w:szCs w:val="6"/>
                <w:color w:val="auto"/>
              </w:rPr>
            </w:pPr>
          </w:p>
        </w:tc>
        <w:tc>
          <w:tcPr>
            <w:tcW w:w="940" w:type="dxa"/>
            <w:vAlign w:val="bottom"/>
            <w:shd w:val="clear" w:color="auto" w:fill="004054"/>
          </w:tcPr>
          <w:p>
            <w:pPr>
              <w:spacing w:after="0"/>
              <w:rPr>
                <w:sz w:val="6"/>
                <w:szCs w:val="6"/>
                <w:color w:val="auto"/>
              </w:rPr>
            </w:pPr>
          </w:p>
        </w:tc>
        <w:tc>
          <w:tcPr>
            <w:tcW w:w="58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56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67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Balance at beginning of year</w:t>
            </w:r>
          </w:p>
        </w:tc>
        <w:tc>
          <w:tcPr>
            <w:tcW w:w="580" w:type="dxa"/>
            <w:vAlign w:val="bottom"/>
            <w:tcBorders>
              <w:bottom w:val="single" w:sz="8" w:color="EBFBFF"/>
            </w:tcBorders>
            <w:shd w:val="clear" w:color="auto" w:fill="EBFBFF"/>
          </w:tcPr>
          <w:p>
            <w:pPr>
              <w:jc w:val="right"/>
              <w:ind w:right="370"/>
              <w:spacing w:after="0"/>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3,083</w:t>
            </w:r>
          </w:p>
        </w:tc>
        <w:tc>
          <w:tcPr>
            <w:tcW w:w="580" w:type="dxa"/>
            <w:vAlign w:val="bottom"/>
            <w:tcBorders>
              <w:bottom w:val="single" w:sz="8" w:color="EBFBFF"/>
            </w:tcBorders>
            <w:shd w:val="clear" w:color="auto" w:fill="EBFBFF"/>
          </w:tcPr>
          <w:p>
            <w:pPr>
              <w:jc w:val="right"/>
              <w:ind w:right="390"/>
              <w:spacing w:after="0"/>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3,651</w:t>
            </w: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Calibri" w:cs="Calibri" w:eastAsia="Calibri" w:hAnsi="Calibri"/>
                <w:sz w:val="18"/>
                <w:szCs w:val="18"/>
                <w:color w:val="51555C"/>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4,625</w:t>
            </w:r>
          </w:p>
        </w:tc>
        <w:tc>
          <w:tcPr>
            <w:tcW w:w="20" w:type="dxa"/>
            <w:vAlign w:val="bottom"/>
          </w:tcPr>
          <w:p>
            <w:pPr>
              <w:spacing w:after="0"/>
              <w:rPr>
                <w:sz w:val="21"/>
                <w:szCs w:val="21"/>
                <w:color w:val="auto"/>
              </w:rPr>
            </w:pPr>
          </w:p>
        </w:tc>
      </w:tr>
      <w:tr>
        <w:trPr>
          <w:trHeight w:val="219"/>
        </w:trPr>
        <w:tc>
          <w:tcPr>
            <w:tcW w:w="6700" w:type="dxa"/>
            <w:vAlign w:val="bottom"/>
          </w:tcPr>
          <w:p>
            <w:pPr>
              <w:ind w:left="140"/>
              <w:spacing w:after="0"/>
              <w:rPr>
                <w:sz w:val="20"/>
                <w:szCs w:val="20"/>
                <w:color w:val="auto"/>
              </w:rPr>
            </w:pPr>
            <w:r>
              <w:rPr>
                <w:rFonts w:ascii="Calibri" w:cs="Calibri" w:eastAsia="Calibri" w:hAnsi="Calibri"/>
                <w:sz w:val="18"/>
                <w:szCs w:val="18"/>
                <w:color w:val="51555C"/>
              </w:rPr>
              <w:t>Increases from current period positons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762</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629</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1,751</w:t>
            </w:r>
          </w:p>
        </w:tc>
        <w:tc>
          <w:tcPr>
            <w:tcW w:w="20" w:type="dxa"/>
            <w:vAlign w:val="bottom"/>
          </w:tcPr>
          <w:p>
            <w:pPr>
              <w:spacing w:after="0"/>
              <w:rPr>
                <w:sz w:val="19"/>
                <w:szCs w:val="19"/>
                <w:color w:val="auto"/>
              </w:rPr>
            </w:pPr>
          </w:p>
        </w:tc>
      </w:tr>
      <w:tr>
        <w:trPr>
          <w:trHeight w:val="51"/>
        </w:trPr>
        <w:tc>
          <w:tcPr>
            <w:tcW w:w="6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Increases from prior period positons</w:t>
            </w:r>
          </w:p>
        </w:tc>
        <w:tc>
          <w:tcPr>
            <w:tcW w:w="5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101</w:t>
            </w:r>
          </w:p>
        </w:tc>
        <w:tc>
          <w:tcPr>
            <w:tcW w:w="58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89</w:t>
            </w:r>
          </w:p>
        </w:tc>
        <w:tc>
          <w:tcPr>
            <w:tcW w:w="56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w:t>
            </w:r>
          </w:p>
        </w:tc>
        <w:tc>
          <w:tcPr>
            <w:tcW w:w="20" w:type="dxa"/>
            <w:vAlign w:val="bottom"/>
          </w:tcPr>
          <w:p>
            <w:pPr>
              <w:spacing w:after="0"/>
              <w:rPr>
                <w:sz w:val="21"/>
                <w:szCs w:val="21"/>
                <w:color w:val="auto"/>
              </w:rPr>
            </w:pPr>
          </w:p>
        </w:tc>
      </w:tr>
      <w:tr>
        <w:trPr>
          <w:trHeight w:val="219"/>
        </w:trPr>
        <w:tc>
          <w:tcPr>
            <w:tcW w:w="6700" w:type="dxa"/>
            <w:vAlign w:val="bottom"/>
          </w:tcPr>
          <w:p>
            <w:pPr>
              <w:ind w:left="140"/>
              <w:spacing w:after="0"/>
              <w:rPr>
                <w:sz w:val="20"/>
                <w:szCs w:val="20"/>
                <w:color w:val="auto"/>
              </w:rPr>
            </w:pPr>
            <w:r>
              <w:rPr>
                <w:rFonts w:ascii="Calibri" w:cs="Calibri" w:eastAsia="Calibri" w:hAnsi="Calibri"/>
                <w:sz w:val="18"/>
                <w:szCs w:val="18"/>
                <w:color w:val="51555C"/>
              </w:rPr>
              <w:t>Decreases in prior year positons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(118)</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(908)</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(57)</w:t>
            </w:r>
          </w:p>
        </w:tc>
        <w:tc>
          <w:tcPr>
            <w:tcW w:w="20" w:type="dxa"/>
            <w:vAlign w:val="bottom"/>
          </w:tcPr>
          <w:p>
            <w:pPr>
              <w:spacing w:after="0"/>
              <w:rPr>
                <w:sz w:val="19"/>
                <w:szCs w:val="19"/>
                <w:color w:val="auto"/>
              </w:rPr>
            </w:pPr>
          </w:p>
        </w:tc>
      </w:tr>
      <w:tr>
        <w:trPr>
          <w:trHeight w:val="50"/>
        </w:trPr>
        <w:tc>
          <w:tcPr>
            <w:tcW w:w="6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7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Setlements (payments)</w:t>
            </w:r>
          </w:p>
        </w:tc>
        <w:tc>
          <w:tcPr>
            <w:tcW w:w="5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(160)</w:t>
            </w:r>
          </w:p>
        </w:tc>
        <w:tc>
          <w:tcPr>
            <w:tcW w:w="58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w:t>
            </w:r>
          </w:p>
        </w:tc>
        <w:tc>
          <w:tcPr>
            <w:tcW w:w="56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(1,192)</w:t>
            </w:r>
          </w:p>
        </w:tc>
        <w:tc>
          <w:tcPr>
            <w:tcW w:w="20" w:type="dxa"/>
            <w:vAlign w:val="bottom"/>
          </w:tcPr>
          <w:p>
            <w:pPr>
              <w:spacing w:after="0"/>
              <w:rPr>
                <w:sz w:val="21"/>
                <w:szCs w:val="21"/>
                <w:color w:val="auto"/>
              </w:rPr>
            </w:pPr>
          </w:p>
        </w:tc>
      </w:tr>
      <w:tr>
        <w:trPr>
          <w:trHeight w:val="220"/>
        </w:trPr>
        <w:tc>
          <w:tcPr>
            <w:tcW w:w="6700" w:type="dxa"/>
            <w:vAlign w:val="bottom"/>
          </w:tcPr>
          <w:p>
            <w:pPr>
              <w:ind w:left="140"/>
              <w:spacing w:after="0"/>
              <w:rPr>
                <w:sz w:val="20"/>
                <w:szCs w:val="20"/>
                <w:color w:val="auto"/>
              </w:rPr>
            </w:pPr>
            <w:r>
              <w:rPr>
                <w:rFonts w:ascii="Calibri" w:cs="Calibri" w:eastAsia="Calibri" w:hAnsi="Calibri"/>
                <w:sz w:val="18"/>
                <w:szCs w:val="18"/>
                <w:color w:val="51555C"/>
              </w:rPr>
              <w:t>Lapse of statute of limitatons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(428)</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(378)</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(1,482)</w:t>
            </w:r>
          </w:p>
        </w:tc>
        <w:tc>
          <w:tcPr>
            <w:tcW w:w="20" w:type="dxa"/>
            <w:vAlign w:val="bottom"/>
          </w:tcPr>
          <w:p>
            <w:pPr>
              <w:spacing w:after="0"/>
              <w:rPr>
                <w:sz w:val="19"/>
                <w:szCs w:val="19"/>
                <w:color w:val="auto"/>
              </w:rPr>
            </w:pPr>
          </w:p>
        </w:tc>
      </w:tr>
      <w:tr>
        <w:trPr>
          <w:trHeight w:val="50"/>
        </w:trPr>
        <w:tc>
          <w:tcPr>
            <w:tcW w:w="6700" w:type="dxa"/>
            <w:vAlign w:val="bottom"/>
            <w:tcBorders>
              <w:bottom w:val="single" w:sz="8" w:color="EBFBFF"/>
            </w:tcBorders>
          </w:tcPr>
          <w:p>
            <w:pPr>
              <w:spacing w:after="0"/>
              <w:rPr>
                <w:sz w:val="4"/>
                <w:szCs w:val="4"/>
                <w:color w:val="auto"/>
              </w:rPr>
            </w:pPr>
          </w:p>
        </w:tc>
        <w:tc>
          <w:tcPr>
            <w:tcW w:w="580" w:type="dxa"/>
            <w:vAlign w:val="bottom"/>
            <w:tcBorders>
              <w:bottom w:val="single" w:sz="8" w:color="51555C"/>
            </w:tcBorders>
          </w:tcPr>
          <w:p>
            <w:pPr>
              <w:spacing w:after="0"/>
              <w:rPr>
                <w:sz w:val="4"/>
                <w:szCs w:val="4"/>
                <w:color w:val="auto"/>
              </w:rPr>
            </w:pPr>
          </w:p>
        </w:tc>
        <w:tc>
          <w:tcPr>
            <w:tcW w:w="940" w:type="dxa"/>
            <w:vAlign w:val="bottom"/>
            <w:tcBorders>
              <w:bottom w:val="single" w:sz="8" w:color="51555C"/>
            </w:tcBorders>
          </w:tcPr>
          <w:p>
            <w:pPr>
              <w:spacing w:after="0"/>
              <w:rPr>
                <w:sz w:val="4"/>
                <w:szCs w:val="4"/>
                <w:color w:val="auto"/>
              </w:rPr>
            </w:pPr>
          </w:p>
        </w:tc>
        <w:tc>
          <w:tcPr>
            <w:tcW w:w="58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560" w:type="dxa"/>
            <w:vAlign w:val="bottom"/>
            <w:tcBorders>
              <w:bottom w:val="single" w:sz="8" w:color="51555C"/>
            </w:tcBorders>
          </w:tcPr>
          <w:p>
            <w:pPr>
              <w:spacing w:after="0"/>
              <w:rPr>
                <w:sz w:val="4"/>
                <w:szCs w:val="4"/>
                <w:color w:val="auto"/>
              </w:rPr>
            </w:pPr>
          </w:p>
        </w:tc>
        <w:tc>
          <w:tcPr>
            <w:tcW w:w="9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4"/>
        </w:trPr>
        <w:tc>
          <w:tcPr>
            <w:tcW w:w="670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color w:val="51555C"/>
              </w:rPr>
              <w:t>Balance at end of year</w:t>
            </w:r>
          </w:p>
        </w:tc>
        <w:tc>
          <w:tcPr>
            <w:tcW w:w="580" w:type="dxa"/>
            <w:vAlign w:val="bottom"/>
            <w:tcBorders>
              <w:bottom w:val="single" w:sz="8" w:color="EBFBFF"/>
            </w:tcBorders>
            <w:shd w:val="clear" w:color="auto" w:fill="EBFBFF"/>
          </w:tcPr>
          <w:p>
            <w:pPr>
              <w:jc w:val="right"/>
              <w:ind w:right="370"/>
              <w:spacing w:after="0" w:line="213" w:lineRule="exact"/>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3,240</w:t>
            </w:r>
          </w:p>
        </w:tc>
        <w:tc>
          <w:tcPr>
            <w:tcW w:w="580" w:type="dxa"/>
            <w:vAlign w:val="bottom"/>
            <w:tcBorders>
              <w:bottom w:val="single" w:sz="8" w:color="EBFBFF"/>
            </w:tcBorders>
            <w:shd w:val="clear" w:color="auto" w:fill="EBFBFF"/>
          </w:tcPr>
          <w:p>
            <w:pPr>
              <w:jc w:val="right"/>
              <w:ind w:right="390"/>
              <w:spacing w:after="0" w:line="213" w:lineRule="exact"/>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3,083</w:t>
            </w:r>
          </w:p>
        </w:tc>
        <w:tc>
          <w:tcPr>
            <w:tcW w:w="560" w:type="dxa"/>
            <w:vAlign w:val="bottom"/>
            <w:tcBorders>
              <w:bottom w:val="single" w:sz="8" w:color="EBFBFF"/>
            </w:tcBorders>
            <w:shd w:val="clear" w:color="auto" w:fill="EBFBFF"/>
          </w:tcPr>
          <w:p>
            <w:pPr>
              <w:jc w:val="right"/>
              <w:ind w:right="350"/>
              <w:spacing w:after="0" w:line="213" w:lineRule="exact"/>
              <w:rPr>
                <w:sz w:val="20"/>
                <w:szCs w:val="20"/>
                <w:color w:val="auto"/>
              </w:rPr>
            </w:pPr>
            <w:r>
              <w:rPr>
                <w:rFonts w:ascii="Calibri" w:cs="Calibri" w:eastAsia="Calibri" w:hAnsi="Calibri"/>
                <w:sz w:val="18"/>
                <w:szCs w:val="18"/>
                <w:color w:val="51555C"/>
              </w:rPr>
              <w:t>$</w:t>
            </w:r>
          </w:p>
        </w:tc>
        <w:tc>
          <w:tcPr>
            <w:tcW w:w="9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3,651</w:t>
            </w:r>
          </w:p>
        </w:tc>
        <w:tc>
          <w:tcPr>
            <w:tcW w:w="20" w:type="dxa"/>
            <w:vAlign w:val="bottom"/>
          </w:tcPr>
          <w:p>
            <w:pPr>
              <w:spacing w:after="0"/>
              <w:rPr>
                <w:sz w:val="21"/>
                <w:szCs w:val="21"/>
                <w:color w:val="auto"/>
              </w:rPr>
            </w:pPr>
          </w:p>
        </w:tc>
      </w:tr>
      <w:tr>
        <w:trPr>
          <w:trHeight w:val="20"/>
        </w:trPr>
        <w:tc>
          <w:tcPr>
            <w:tcW w:w="6700" w:type="dxa"/>
            <w:vAlign w:val="bottom"/>
            <w:shd w:val="clear" w:color="auto" w:fill="0CD973"/>
          </w:tcPr>
          <w:p>
            <w:pPr>
              <w:spacing w:after="0" w:line="20" w:lineRule="exact"/>
              <w:rPr>
                <w:sz w:val="1"/>
                <w:szCs w:val="1"/>
                <w:color w:val="auto"/>
              </w:rPr>
            </w:pPr>
          </w:p>
        </w:tc>
        <w:tc>
          <w:tcPr>
            <w:tcW w:w="58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58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-1379855</wp:posOffset>
            </wp:positionV>
            <wp:extent cx="288861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amount of unrecognized tax beneft that, if recognized, would favorably afect the efectve tax rate was $3.2 million at December 31, 2023. Certain prior period amounts relatng to our 2014 acquisitons were covered under indemnifcaton agreements and, therefore, had a corresponding indemnifcaton asset. Due to lapse of statute of limitatons, the indemnifed unrecognized tax beneft was released in 2022 resultng in income tax beneft with ofsetng expense included in pretax income from corresponding release of indemnifcaton asset. We recognize accrued interest and penaltes, if any, related to unrecognized tax benefts as a component of income tax expense. The total amount of accrued interest and penaltes included in the consolidated balance sheet as of December 31, 2023 and December 31, 2022 was insignifcant. The total amount of interest and penaltes included in the consolidated statements of comprehensive income as an increase or decrease in income tax expense for 2023, 2022 and 2021 was insignifcant.</w:t>
      </w:r>
    </w:p>
    <w:p>
      <w:pPr>
        <w:spacing w:after="0" w:line="16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taken federal and state tax positons for which it is reasonably possible that the total amounts of unrecognized tax benefts might decrease within the next twelve months. This possible decrease could result from the expiraton of statutes of limitatons. The reasonably possible decrease at December 31, 2023 was insignifcant.</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For our undistributed earnings of foreign subsidiaries, we concluded that these earnings would be permanently reinvested in the local jurisdictons and not repatriated to the United States except to the extent that said earnings are of previously taxed income. Accordingly, we have not provided for U.S. income taxes and foreign withholding taxes on those undistributed earnings of our foreign subsidiaries.</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13. Stock-based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Employee stock-based compensaton plans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Under the 2016 Equity and Incentve Compensaton Plan Amended and Restated as of June 14, 2023 (the "2016 Equity Plan"), we may grant incentve stock optons, nonstatutory stock optons, stock appreciaton rights, restricted stock, restricted stock units, other stock awards and cash incentve awards to employees, directors and consultants. Our Compensaton Commitee of the Board of Directors administers this plan and the stock-based awards are granted under terms determined by it.</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number of authorized stock-based awards available under our plan was 3,363,270 as of December 31, 2023. We issue common stock from our pool of authorized stock upon exercise of stock optons and stock appreciaton rights, vestng of restricted stock units or upon grantng of restricted stock.</w:t>
      </w:r>
    </w:p>
    <w:p>
      <w:pPr>
        <w:spacing w:after="0" w:line="324"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104</w:t>
      </w:r>
      <w:r>
        <w:rPr>
          <w:sz w:val="20"/>
          <w:szCs w:val="20"/>
          <w:color w:val="auto"/>
        </w:rPr>
        <w:tab/>
      </w:r>
      <w:r>
        <w:rPr>
          <w:sz w:val="1"/>
          <w:szCs w:val="1"/>
          <w:color w:val="auto"/>
        </w:rPr>
        <w:drawing>
          <wp:inline distT="0" distB="0" distL="0" distR="0">
            <wp:extent cx="728345" cy="188595"/>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Recently, we have issued three types of awards under our plans: restricted stock awards, tme-based restricted stock units, and performance-based restricted stock units. The following table sets forth the number of awards outstanding for each award type as 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shd w:val="clear" w:color="auto" w:fill="004054"/>
          </w:tcPr>
          <w:p>
            <w:pPr>
              <w:spacing w:after="0"/>
              <w:rPr>
                <w:sz w:val="16"/>
                <w:szCs w:val="16"/>
                <w:color w:val="auto"/>
              </w:rPr>
            </w:pPr>
          </w:p>
        </w:tc>
        <w:tc>
          <w:tcPr>
            <w:tcW w:w="1860" w:type="dxa"/>
            <w:vAlign w:val="bottom"/>
            <w:shd w:val="clear" w:color="auto" w:fill="004054"/>
          </w:tcPr>
          <w:p>
            <w:pPr>
              <w:spacing w:after="0"/>
              <w:rPr>
                <w:sz w:val="16"/>
                <w:szCs w:val="16"/>
                <w:color w:val="auto"/>
              </w:rPr>
            </w:pPr>
          </w:p>
        </w:tc>
        <w:tc>
          <w:tcPr>
            <w:tcW w:w="1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Outstanding at December 31,</w:t>
            </w:r>
          </w:p>
        </w:tc>
        <w:tc>
          <w:tcPr>
            <w:tcW w:w="20" w:type="dxa"/>
            <w:vAlign w:val="bottom"/>
            <w:shd w:val="clear" w:color="auto" w:fill="004054"/>
          </w:tcPr>
          <w:p>
            <w:pPr>
              <w:spacing w:after="0"/>
              <w:rPr>
                <w:sz w:val="16"/>
                <w:szCs w:val="16"/>
                <w:color w:val="auto"/>
              </w:rPr>
            </w:pPr>
          </w:p>
        </w:tc>
      </w:tr>
      <w:tr>
        <w:trPr>
          <w:trHeight w:val="236"/>
        </w:trPr>
        <w:tc>
          <w:tcPr>
            <w:tcW w:w="746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Award type</w:t>
            </w:r>
          </w:p>
        </w:tc>
        <w:tc>
          <w:tcPr>
            <w:tcW w:w="1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0"/>
                <w:szCs w:val="20"/>
                <w:color w:val="auto"/>
              </w:rPr>
            </w:pPr>
          </w:p>
        </w:tc>
      </w:tr>
      <w:tr>
        <w:trPr>
          <w:trHeight w:val="74"/>
        </w:trPr>
        <w:tc>
          <w:tcPr>
            <w:tcW w:w="7460" w:type="dxa"/>
            <w:vAlign w:val="bottom"/>
            <w:shd w:val="clear" w:color="auto" w:fill="004054"/>
          </w:tcPr>
          <w:p>
            <w:pPr>
              <w:spacing w:after="0"/>
              <w:rPr>
                <w:sz w:val="6"/>
                <w:szCs w:val="6"/>
                <w:color w:val="auto"/>
              </w:rPr>
            </w:pPr>
          </w:p>
        </w:tc>
        <w:tc>
          <w:tcPr>
            <w:tcW w:w="1860" w:type="dxa"/>
            <w:vAlign w:val="bottom"/>
            <w:shd w:val="clear" w:color="auto" w:fill="004054"/>
          </w:tcPr>
          <w:p>
            <w:pPr>
              <w:spacing w:after="0"/>
              <w:rPr>
                <w:sz w:val="6"/>
                <w:szCs w:val="6"/>
                <w:color w:val="auto"/>
              </w:rPr>
            </w:pPr>
          </w:p>
        </w:tc>
        <w:tc>
          <w:tcPr>
            <w:tcW w:w="19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Restricted stock awards</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1,101,702</w:t>
            </w:r>
          </w:p>
        </w:tc>
        <w:tc>
          <w:tcPr>
            <w:tcW w:w="1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1,345,608</w:t>
            </w:r>
          </w:p>
        </w:tc>
        <w:tc>
          <w:tcPr>
            <w:tcW w:w="20" w:type="dxa"/>
            <w:vAlign w:val="bottom"/>
          </w:tcPr>
          <w:p>
            <w:pPr>
              <w:spacing w:after="0"/>
              <w:rPr>
                <w:sz w:val="21"/>
                <w:szCs w:val="21"/>
                <w:color w:val="auto"/>
              </w:rPr>
            </w:pPr>
          </w:p>
        </w:tc>
      </w:tr>
      <w:tr>
        <w:trPr>
          <w:trHeight w:val="219"/>
        </w:trPr>
        <w:tc>
          <w:tcPr>
            <w:tcW w:w="7460" w:type="dxa"/>
            <w:vAlign w:val="bottom"/>
          </w:tcPr>
          <w:p>
            <w:pPr>
              <w:ind w:left="20"/>
              <w:spacing w:after="0"/>
              <w:rPr>
                <w:sz w:val="20"/>
                <w:szCs w:val="20"/>
                <w:color w:val="auto"/>
              </w:rPr>
            </w:pPr>
            <w:r>
              <w:rPr>
                <w:rFonts w:ascii="Calibri" w:cs="Calibri" w:eastAsia="Calibri" w:hAnsi="Calibri"/>
                <w:sz w:val="18"/>
                <w:szCs w:val="18"/>
                <w:color w:val="51555C"/>
              </w:rPr>
              <w:t>Time-based restricted stock units</w:t>
            </w:r>
          </w:p>
        </w:tc>
        <w:tc>
          <w:tcPr>
            <w:tcW w:w="1860" w:type="dxa"/>
            <w:vAlign w:val="bottom"/>
          </w:tcPr>
          <w:p>
            <w:pPr>
              <w:jc w:val="right"/>
              <w:spacing w:after="0"/>
              <w:rPr>
                <w:sz w:val="20"/>
                <w:szCs w:val="20"/>
                <w:color w:val="auto"/>
              </w:rPr>
            </w:pPr>
            <w:r>
              <w:rPr>
                <w:rFonts w:ascii="Calibri" w:cs="Calibri" w:eastAsia="Calibri" w:hAnsi="Calibri"/>
                <w:sz w:val="18"/>
                <w:szCs w:val="18"/>
                <w:color w:val="51555C"/>
              </w:rPr>
              <w:t>607,100</w:t>
            </w:r>
          </w:p>
        </w:tc>
        <w:tc>
          <w:tcPr>
            <w:tcW w:w="1920" w:type="dxa"/>
            <w:vAlign w:val="bottom"/>
          </w:tcPr>
          <w:p>
            <w:pPr>
              <w:jc w:val="right"/>
              <w:spacing w:after="0"/>
              <w:rPr>
                <w:sz w:val="20"/>
                <w:szCs w:val="20"/>
                <w:color w:val="auto"/>
              </w:rPr>
            </w:pPr>
            <w:r>
              <w:rPr>
                <w:rFonts w:ascii="Calibri" w:cs="Calibri" w:eastAsia="Calibri" w:hAnsi="Calibri"/>
                <w:sz w:val="18"/>
                <w:szCs w:val="18"/>
                <w:color w:val="51555C"/>
              </w:rPr>
              <w:t>455,708</w:t>
            </w:r>
          </w:p>
        </w:tc>
        <w:tc>
          <w:tcPr>
            <w:tcW w:w="20" w:type="dxa"/>
            <w:vAlign w:val="bottom"/>
          </w:tcPr>
          <w:p>
            <w:pPr>
              <w:spacing w:after="0"/>
              <w:rPr>
                <w:sz w:val="19"/>
                <w:szCs w:val="19"/>
                <w:color w:val="auto"/>
              </w:rPr>
            </w:pPr>
          </w:p>
        </w:tc>
      </w:tr>
      <w:tr>
        <w:trPr>
          <w:trHeight w:val="51"/>
        </w:trPr>
        <w:tc>
          <w:tcPr>
            <w:tcW w:w="74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46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Performance-based restricted stock units</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1,209,515</w:t>
            </w:r>
          </w:p>
        </w:tc>
        <w:tc>
          <w:tcPr>
            <w:tcW w:w="1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1,104,260</w:t>
            </w:r>
          </w:p>
        </w:tc>
        <w:tc>
          <w:tcPr>
            <w:tcW w:w="20" w:type="dxa"/>
            <w:vAlign w:val="bottom"/>
          </w:tcPr>
          <w:p>
            <w:pPr>
              <w:spacing w:after="0"/>
              <w:rPr>
                <w:sz w:val="21"/>
                <w:szCs w:val="21"/>
                <w:color w:val="auto"/>
              </w:rPr>
            </w:pPr>
          </w:p>
        </w:tc>
      </w:tr>
      <w:tr>
        <w:trPr>
          <w:trHeight w:val="20"/>
        </w:trPr>
        <w:tc>
          <w:tcPr>
            <w:tcW w:w="7460" w:type="dxa"/>
            <w:vAlign w:val="bottom"/>
            <w:shd w:val="clear" w:color="auto" w:fill="0CD973"/>
          </w:tcPr>
          <w:p>
            <w:pPr>
              <w:spacing w:after="0" w:line="20" w:lineRule="exact"/>
              <w:rPr>
                <w:sz w:val="1"/>
                <w:szCs w:val="1"/>
                <w:color w:val="auto"/>
              </w:rPr>
            </w:pPr>
          </w:p>
        </w:tc>
        <w:tc>
          <w:tcPr>
            <w:tcW w:w="1860" w:type="dxa"/>
            <w:vAlign w:val="bottom"/>
            <w:shd w:val="clear" w:color="auto" w:fill="0CD973"/>
          </w:tcPr>
          <w:p>
            <w:pPr>
              <w:spacing w:after="0" w:line="20" w:lineRule="exact"/>
              <w:rPr>
                <w:sz w:val="1"/>
                <w:szCs w:val="1"/>
                <w:color w:val="auto"/>
              </w:rPr>
            </w:pPr>
          </w:p>
        </w:tc>
        <w:tc>
          <w:tcPr>
            <w:tcW w:w="19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-685165</wp:posOffset>
            </wp:positionV>
            <wp:extent cx="240855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14"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51555C"/>
        </w:rPr>
        <w:t>Awards granted to our executve ofcers and certain members of management are subject to accelerated vestng upon a change in control as defned in the employees’ employment agreement or retenton agreement.</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Expense recogniton</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recognize compensaton expense associated with stock optons and awards with performance or market based vestng conditons on an accelerated basis over the requisite service period of the individual grantees, which generally equals the vestng period. We recognize compensaton expense associated with restricted stock awards and SARs on a straight-line basis over the requisite service period of the individual grantees, which generally equals the vestng period. We recognize the efect of awards for which the requisite service period is not rendered when the award is forfeited (that is, we recognize the efect of forfeitures in compensaton cost when they occur). Previously recognized compensaton cost for an award is reversed in the period that the award is forfeited.</w:t>
      </w:r>
    </w:p>
    <w:p>
      <w:pPr>
        <w:spacing w:after="0" w:line="16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Stock-based compensaton expense is allocated to cost of revenue and operatng expenses on the consolidated statements of comprehensive income based on where the associated employee’s compensaton is recorded. The following table summarizes stock-based compensaton expense: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248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r>
      <w:tr>
        <w:trPr>
          <w:trHeight w:val="236"/>
        </w:trPr>
        <w:tc>
          <w:tcPr>
            <w:tcW w:w="68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460" w:type="dxa"/>
            <w:vAlign w:val="bottom"/>
            <w:shd w:val="clear" w:color="auto" w:fill="004054"/>
          </w:tcPr>
          <w:p>
            <w:pPr>
              <w:spacing w:after="0"/>
              <w:rPr>
                <w:sz w:val="20"/>
                <w:szCs w:val="20"/>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80" w:type="dxa"/>
            <w:vAlign w:val="bottom"/>
            <w:shd w:val="clear" w:color="auto" w:fill="004054"/>
          </w:tcPr>
          <w:p>
            <w:pPr>
              <w:spacing w:after="0"/>
              <w:rPr>
                <w:sz w:val="20"/>
                <w:szCs w:val="20"/>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460" w:type="dxa"/>
            <w:vAlign w:val="bottom"/>
            <w:shd w:val="clear" w:color="auto" w:fill="004054"/>
          </w:tcPr>
          <w:p>
            <w:pPr>
              <w:spacing w:after="0"/>
              <w:rPr>
                <w:sz w:val="20"/>
                <w:szCs w:val="20"/>
                <w:color w:val="auto"/>
              </w:rPr>
            </w:pPr>
          </w:p>
        </w:tc>
        <w:tc>
          <w:tcPr>
            <w:tcW w:w="10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r>
      <w:tr>
        <w:trPr>
          <w:trHeight w:val="74"/>
        </w:trPr>
        <w:tc>
          <w:tcPr>
            <w:tcW w:w="680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020" w:type="dxa"/>
            <w:vAlign w:val="bottom"/>
            <w:shd w:val="clear" w:color="auto" w:fill="004054"/>
          </w:tcPr>
          <w:p>
            <w:pPr>
              <w:spacing w:after="0"/>
              <w:rPr>
                <w:sz w:val="6"/>
                <w:szCs w:val="6"/>
                <w:color w:val="auto"/>
              </w:rPr>
            </w:pPr>
          </w:p>
        </w:tc>
      </w:tr>
      <w:tr>
        <w:trPr>
          <w:trHeight w:val="250"/>
        </w:trPr>
        <w:tc>
          <w:tcPr>
            <w:tcW w:w="6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Included in cost of revenue:</w:t>
            </w:r>
          </w:p>
        </w:tc>
        <w:tc>
          <w:tcPr>
            <w:tcW w:w="4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r>
      <w:tr>
        <w:trPr>
          <w:trHeight w:val="220"/>
        </w:trPr>
        <w:tc>
          <w:tcPr>
            <w:tcW w:w="6800" w:type="dxa"/>
            <w:vAlign w:val="bottom"/>
          </w:tcPr>
          <w:p>
            <w:pPr>
              <w:ind w:left="240"/>
              <w:spacing w:after="0"/>
              <w:rPr>
                <w:sz w:val="20"/>
                <w:szCs w:val="20"/>
                <w:color w:val="auto"/>
              </w:rPr>
            </w:pPr>
            <w:r>
              <w:rPr>
                <w:rFonts w:ascii="Calibri" w:cs="Calibri" w:eastAsia="Calibri" w:hAnsi="Calibri"/>
                <w:sz w:val="18"/>
                <w:szCs w:val="18"/>
                <w:color w:val="51555C"/>
              </w:rPr>
              <w:t>Cost of recurring</w:t>
            </w:r>
          </w:p>
        </w:tc>
        <w:tc>
          <w:tcPr>
            <w:tcW w:w="460" w:type="dxa"/>
            <w:vAlign w:val="bottom"/>
          </w:tcPr>
          <w:p>
            <w:pPr>
              <w:jc w:val="right"/>
              <w:ind w:right="270"/>
              <w:spacing w:after="0"/>
              <w:rPr>
                <w:sz w:val="20"/>
                <w:szCs w:val="20"/>
                <w:color w:val="auto"/>
              </w:rPr>
            </w:pPr>
            <w:r>
              <w:rPr>
                <w:rFonts w:ascii="Calibri" w:cs="Calibri" w:eastAsia="Calibri" w:hAnsi="Calibri"/>
                <w:sz w:val="18"/>
                <w:szCs w:val="18"/>
                <w:color w:val="51555C"/>
                <w:w w:val="87"/>
              </w:rPr>
              <w:t>$</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14,052</w:t>
            </w:r>
          </w:p>
        </w:tc>
        <w:tc>
          <w:tcPr>
            <w:tcW w:w="480" w:type="dxa"/>
            <w:vAlign w:val="bottom"/>
          </w:tcPr>
          <w:p>
            <w:pPr>
              <w:jc w:val="right"/>
              <w:ind w:right="270"/>
              <w:spacing w:after="0"/>
              <w:rPr>
                <w:sz w:val="20"/>
                <w:szCs w:val="20"/>
                <w:color w:val="auto"/>
              </w:rPr>
            </w:pPr>
            <w:r>
              <w:rPr>
                <w:rFonts w:ascii="Calibri" w:cs="Calibri" w:eastAsia="Calibri" w:hAnsi="Calibri"/>
                <w:sz w:val="18"/>
                <w:szCs w:val="18"/>
                <w:color w:val="51555C"/>
              </w:rPr>
              <w:t>$</w:t>
            </w: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11,258</w:t>
            </w:r>
          </w:p>
        </w:tc>
        <w:tc>
          <w:tcPr>
            <w:tcW w:w="460" w:type="dxa"/>
            <w:vAlign w:val="bottom"/>
          </w:tcPr>
          <w:p>
            <w:pPr>
              <w:jc w:val="right"/>
              <w:ind w:right="250"/>
              <w:spacing w:after="0"/>
              <w:rPr>
                <w:sz w:val="20"/>
                <w:szCs w:val="20"/>
                <w:color w:val="auto"/>
              </w:rPr>
            </w:pPr>
            <w:r>
              <w:rPr>
                <w:rFonts w:ascii="Calibri" w:cs="Calibri" w:eastAsia="Calibri" w:hAnsi="Calibri"/>
                <w:sz w:val="18"/>
                <w:szCs w:val="18"/>
                <w:color w:val="51555C"/>
              </w:rPr>
              <w:t>$</w:t>
            </w: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12,405</w:t>
            </w:r>
          </w:p>
        </w:tc>
      </w:tr>
      <w:tr>
        <w:trPr>
          <w:trHeight w:val="50"/>
        </w:trPr>
        <w:tc>
          <w:tcPr>
            <w:tcW w:w="6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680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8"/>
                <w:szCs w:val="18"/>
                <w:color w:val="51555C"/>
              </w:rPr>
              <w:t>Cost of one-tme services and other</w:t>
            </w:r>
          </w:p>
        </w:tc>
        <w:tc>
          <w:tcPr>
            <w:tcW w:w="46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2,606</w:t>
            </w:r>
          </w:p>
        </w:tc>
        <w:tc>
          <w:tcPr>
            <w:tcW w:w="48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3,178</w:t>
            </w:r>
          </w:p>
        </w:tc>
        <w:tc>
          <w:tcPr>
            <w:tcW w:w="46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7,547</w:t>
            </w:r>
          </w:p>
        </w:tc>
      </w:tr>
      <w:tr>
        <w:trPr>
          <w:trHeight w:val="213"/>
        </w:trPr>
        <w:tc>
          <w:tcPr>
            <w:tcW w:w="6800" w:type="dxa"/>
            <w:vAlign w:val="bottom"/>
          </w:tcPr>
          <w:p>
            <w:pPr>
              <w:ind w:left="360"/>
              <w:spacing w:after="0" w:line="199" w:lineRule="exact"/>
              <w:rPr>
                <w:sz w:val="20"/>
                <w:szCs w:val="20"/>
                <w:color w:val="auto"/>
              </w:rPr>
            </w:pPr>
            <w:r>
              <w:rPr>
                <w:rFonts w:ascii="Calibri" w:cs="Calibri" w:eastAsia="Calibri" w:hAnsi="Calibri"/>
                <w:sz w:val="18"/>
                <w:szCs w:val="18"/>
                <w:color w:val="51555C"/>
              </w:rPr>
              <w:t>Total included in cost of revenue</w:t>
            </w:r>
          </w:p>
        </w:tc>
        <w:tc>
          <w:tcPr>
            <w:tcW w:w="460" w:type="dxa"/>
            <w:vAlign w:val="bottom"/>
            <w:tcBorders>
              <w:top w:val="single" w:sz="8" w:color="51555C"/>
            </w:tcBorders>
          </w:tcPr>
          <w:p>
            <w:pPr>
              <w:spacing w:after="0"/>
              <w:rPr>
                <w:sz w:val="18"/>
                <w:szCs w:val="18"/>
                <w:color w:val="auto"/>
              </w:rPr>
            </w:pP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16,658</w:t>
            </w:r>
          </w:p>
        </w:tc>
        <w:tc>
          <w:tcPr>
            <w:tcW w:w="480" w:type="dxa"/>
            <w:vAlign w:val="bottom"/>
            <w:tcBorders>
              <w:top w:val="single" w:sz="8" w:color="51555C"/>
            </w:tcBorders>
          </w:tcPr>
          <w:p>
            <w:pPr>
              <w:spacing w:after="0"/>
              <w:rPr>
                <w:sz w:val="18"/>
                <w:szCs w:val="18"/>
                <w:color w:val="auto"/>
              </w:rPr>
            </w:pP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14,436</w:t>
            </w:r>
          </w:p>
        </w:tc>
        <w:tc>
          <w:tcPr>
            <w:tcW w:w="460" w:type="dxa"/>
            <w:vAlign w:val="bottom"/>
            <w:tcBorders>
              <w:top w:val="single" w:sz="8" w:color="51555C"/>
            </w:tcBorders>
          </w:tcPr>
          <w:p>
            <w:pPr>
              <w:spacing w:after="0"/>
              <w:rPr>
                <w:sz w:val="18"/>
                <w:szCs w:val="18"/>
                <w:color w:val="auto"/>
              </w:rPr>
            </w:pPr>
          </w:p>
        </w:tc>
        <w:tc>
          <w:tcPr>
            <w:tcW w:w="10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19,952</w:t>
            </w:r>
          </w:p>
        </w:tc>
      </w:tr>
      <w:tr>
        <w:trPr>
          <w:trHeight w:val="50"/>
        </w:trPr>
        <w:tc>
          <w:tcPr>
            <w:tcW w:w="6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68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Included in operatng expenses:</w:t>
            </w:r>
          </w:p>
        </w:tc>
        <w:tc>
          <w:tcPr>
            <w:tcW w:w="4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r>
      <w:tr>
        <w:trPr>
          <w:trHeight w:val="220"/>
        </w:trPr>
        <w:tc>
          <w:tcPr>
            <w:tcW w:w="6800" w:type="dxa"/>
            <w:vAlign w:val="bottom"/>
          </w:tcPr>
          <w:p>
            <w:pPr>
              <w:ind w:left="240"/>
              <w:spacing w:after="0"/>
              <w:rPr>
                <w:sz w:val="20"/>
                <w:szCs w:val="20"/>
                <w:color w:val="auto"/>
              </w:rPr>
            </w:pPr>
            <w:r>
              <w:rPr>
                <w:rFonts w:ascii="Calibri" w:cs="Calibri" w:eastAsia="Calibri" w:hAnsi="Calibri"/>
                <w:sz w:val="18"/>
                <w:szCs w:val="18"/>
                <w:color w:val="51555C"/>
              </w:rPr>
              <w:t>Sales, marketng and customer success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24,892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21,409</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20,283</w:t>
            </w:r>
          </w:p>
        </w:tc>
      </w:tr>
      <w:tr>
        <w:trPr>
          <w:trHeight w:val="50"/>
        </w:trPr>
        <w:tc>
          <w:tcPr>
            <w:tcW w:w="6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680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8"/>
                <w:szCs w:val="18"/>
                <w:color w:val="51555C"/>
              </w:rPr>
              <w:t>Research and development</w:t>
            </w:r>
          </w:p>
        </w:tc>
        <w:tc>
          <w:tcPr>
            <w:tcW w:w="46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30,780</w:t>
            </w:r>
          </w:p>
        </w:tc>
        <w:tc>
          <w:tcPr>
            <w:tcW w:w="48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24,207</w:t>
            </w:r>
          </w:p>
        </w:tc>
        <w:tc>
          <w:tcPr>
            <w:tcW w:w="46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27,080</w:t>
            </w:r>
          </w:p>
        </w:tc>
      </w:tr>
      <w:tr>
        <w:trPr>
          <w:trHeight w:val="220"/>
        </w:trPr>
        <w:tc>
          <w:tcPr>
            <w:tcW w:w="6800" w:type="dxa"/>
            <w:vAlign w:val="bottom"/>
          </w:tcPr>
          <w:p>
            <w:pPr>
              <w:ind w:left="240"/>
              <w:spacing w:after="0"/>
              <w:rPr>
                <w:sz w:val="20"/>
                <w:szCs w:val="20"/>
                <w:color w:val="auto"/>
              </w:rPr>
            </w:pPr>
            <w:r>
              <w:rPr>
                <w:rFonts w:ascii="Calibri" w:cs="Calibri" w:eastAsia="Calibri" w:hAnsi="Calibri"/>
                <w:sz w:val="18"/>
                <w:szCs w:val="18"/>
                <w:color w:val="51555C"/>
              </w:rPr>
              <w:t>General and administratve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55,432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50,242</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51555C"/>
              </w:rPr>
              <w:t>53,064</w:t>
            </w:r>
          </w:p>
        </w:tc>
      </w:tr>
      <w:tr>
        <w:trPr>
          <w:trHeight w:val="50"/>
        </w:trPr>
        <w:tc>
          <w:tcPr>
            <w:tcW w:w="6800" w:type="dxa"/>
            <w:vAlign w:val="bottom"/>
            <w:tcBorders>
              <w:bottom w:val="single" w:sz="8" w:color="EBFBFF"/>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48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460" w:type="dxa"/>
            <w:vAlign w:val="bottom"/>
            <w:tcBorders>
              <w:bottom w:val="single" w:sz="8" w:color="51555C"/>
            </w:tcBorders>
          </w:tcPr>
          <w:p>
            <w:pPr>
              <w:spacing w:after="0"/>
              <w:rPr>
                <w:sz w:val="4"/>
                <w:szCs w:val="4"/>
                <w:color w:val="auto"/>
              </w:rPr>
            </w:pPr>
          </w:p>
        </w:tc>
        <w:tc>
          <w:tcPr>
            <w:tcW w:w="1020" w:type="dxa"/>
            <w:vAlign w:val="bottom"/>
            <w:tcBorders>
              <w:bottom w:val="single" w:sz="8" w:color="51555C"/>
            </w:tcBorders>
          </w:tcPr>
          <w:p>
            <w:pPr>
              <w:spacing w:after="0"/>
              <w:rPr>
                <w:sz w:val="4"/>
                <w:szCs w:val="4"/>
                <w:color w:val="auto"/>
              </w:rPr>
            </w:pPr>
          </w:p>
        </w:tc>
      </w:tr>
      <w:tr>
        <w:trPr>
          <w:trHeight w:val="263"/>
        </w:trPr>
        <w:tc>
          <w:tcPr>
            <w:tcW w:w="6800" w:type="dxa"/>
            <w:vAlign w:val="bottom"/>
            <w:tcBorders>
              <w:bottom w:val="single" w:sz="8" w:color="EBFBFF"/>
            </w:tcBorders>
            <w:shd w:val="clear" w:color="auto" w:fill="EBFBFF"/>
          </w:tcPr>
          <w:p>
            <w:pPr>
              <w:ind w:left="360"/>
              <w:spacing w:after="0" w:line="199" w:lineRule="exact"/>
              <w:rPr>
                <w:sz w:val="20"/>
                <w:szCs w:val="20"/>
                <w:color w:val="auto"/>
              </w:rPr>
            </w:pPr>
            <w:r>
              <w:rPr>
                <w:rFonts w:ascii="Calibri" w:cs="Calibri" w:eastAsia="Calibri" w:hAnsi="Calibri"/>
                <w:sz w:val="18"/>
                <w:szCs w:val="18"/>
                <w:color w:val="51555C"/>
              </w:rPr>
              <w:t>Total included in operatng expenses</w:t>
            </w:r>
          </w:p>
        </w:tc>
        <w:tc>
          <w:tcPr>
            <w:tcW w:w="460" w:type="dxa"/>
            <w:vAlign w:val="bottom"/>
            <w:tcBorders>
              <w:bottom w:val="single" w:sz="8" w:color="EBFBFF"/>
            </w:tcBorders>
            <w:shd w:val="clear" w:color="auto" w:fill="EBFBFF"/>
          </w:tcPr>
          <w:p>
            <w:pPr>
              <w:spacing w:after="0"/>
              <w:rPr>
                <w:sz w:val="22"/>
                <w:szCs w:val="22"/>
                <w:color w:val="auto"/>
              </w:rPr>
            </w:pPr>
          </w:p>
        </w:tc>
        <w:tc>
          <w:tcPr>
            <w:tcW w:w="10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111,104</w:t>
            </w:r>
          </w:p>
        </w:tc>
        <w:tc>
          <w:tcPr>
            <w:tcW w:w="480" w:type="dxa"/>
            <w:vAlign w:val="bottom"/>
            <w:tcBorders>
              <w:bottom w:val="single" w:sz="8" w:color="EBFBFF"/>
            </w:tcBorders>
            <w:shd w:val="clear" w:color="auto" w:fill="EBFBFF"/>
          </w:tcPr>
          <w:p>
            <w:pPr>
              <w:spacing w:after="0"/>
              <w:rPr>
                <w:sz w:val="22"/>
                <w:szCs w:val="22"/>
                <w:color w:val="auto"/>
              </w:rPr>
            </w:pPr>
          </w:p>
        </w:tc>
        <w:tc>
          <w:tcPr>
            <w:tcW w:w="10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95,858</w:t>
            </w:r>
          </w:p>
        </w:tc>
        <w:tc>
          <w:tcPr>
            <w:tcW w:w="46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100,427</w:t>
            </w:r>
          </w:p>
        </w:tc>
      </w:tr>
      <w:tr>
        <w:trPr>
          <w:trHeight w:val="213"/>
        </w:trPr>
        <w:tc>
          <w:tcPr>
            <w:tcW w:w="6800" w:type="dxa"/>
            <w:vAlign w:val="bottom"/>
          </w:tcPr>
          <w:p>
            <w:pPr>
              <w:ind w:left="440"/>
              <w:spacing w:after="0" w:line="199" w:lineRule="exact"/>
              <w:rPr>
                <w:sz w:val="20"/>
                <w:szCs w:val="20"/>
                <w:color w:val="auto"/>
              </w:rPr>
            </w:pPr>
            <w:r>
              <w:rPr>
                <w:rFonts w:ascii="Calibri" w:cs="Calibri" w:eastAsia="Calibri" w:hAnsi="Calibri"/>
                <w:sz w:val="18"/>
                <w:szCs w:val="18"/>
                <w:color w:val="51555C"/>
              </w:rPr>
              <w:t>Total stock-based compensaton expense</w:t>
            </w:r>
          </w:p>
        </w:tc>
        <w:tc>
          <w:tcPr>
            <w:tcW w:w="460" w:type="dxa"/>
            <w:vAlign w:val="bottom"/>
            <w:tcBorders>
              <w:top w:val="single" w:sz="8" w:color="51555C"/>
            </w:tcBorders>
          </w:tcPr>
          <w:p>
            <w:pPr>
              <w:jc w:val="right"/>
              <w:ind w:right="270"/>
              <w:spacing w:after="0" w:line="213" w:lineRule="exact"/>
              <w:rPr>
                <w:sz w:val="20"/>
                <w:szCs w:val="20"/>
                <w:color w:val="auto"/>
              </w:rPr>
            </w:pPr>
            <w:r>
              <w:rPr>
                <w:rFonts w:ascii="Calibri" w:cs="Calibri" w:eastAsia="Calibri" w:hAnsi="Calibri"/>
                <w:sz w:val="18"/>
                <w:szCs w:val="18"/>
                <w:color w:val="51555C"/>
                <w:w w:val="87"/>
              </w:rPr>
              <w:t>$</w:t>
            </w: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127,762</w:t>
            </w:r>
          </w:p>
        </w:tc>
        <w:tc>
          <w:tcPr>
            <w:tcW w:w="480" w:type="dxa"/>
            <w:vAlign w:val="bottom"/>
            <w:tcBorders>
              <w:top w:val="single" w:sz="8" w:color="51555C"/>
            </w:tcBorders>
          </w:tcPr>
          <w:p>
            <w:pPr>
              <w:jc w:val="right"/>
              <w:ind w:right="270"/>
              <w:spacing w:after="0" w:line="213" w:lineRule="exact"/>
              <w:rPr>
                <w:sz w:val="20"/>
                <w:szCs w:val="20"/>
                <w:color w:val="auto"/>
              </w:rPr>
            </w:pPr>
            <w:r>
              <w:rPr>
                <w:rFonts w:ascii="Calibri" w:cs="Calibri" w:eastAsia="Calibri" w:hAnsi="Calibri"/>
                <w:sz w:val="18"/>
                <w:szCs w:val="18"/>
                <w:color w:val="51555C"/>
              </w:rPr>
              <w:t>$</w:t>
            </w:r>
          </w:p>
        </w:tc>
        <w:tc>
          <w:tcPr>
            <w:tcW w:w="100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110,294</w:t>
            </w:r>
          </w:p>
        </w:tc>
        <w:tc>
          <w:tcPr>
            <w:tcW w:w="460" w:type="dxa"/>
            <w:vAlign w:val="bottom"/>
            <w:tcBorders>
              <w:top w:val="single" w:sz="8" w:color="51555C"/>
            </w:tcBorders>
          </w:tcPr>
          <w:p>
            <w:pPr>
              <w:jc w:val="right"/>
              <w:ind w:right="250"/>
              <w:spacing w:after="0" w:line="213" w:lineRule="exact"/>
              <w:rPr>
                <w:sz w:val="20"/>
                <w:szCs w:val="20"/>
                <w:color w:val="auto"/>
              </w:rPr>
            </w:pPr>
            <w:r>
              <w:rPr>
                <w:rFonts w:ascii="Calibri" w:cs="Calibri" w:eastAsia="Calibri" w:hAnsi="Calibri"/>
                <w:sz w:val="18"/>
                <w:szCs w:val="18"/>
                <w:color w:val="51555C"/>
              </w:rPr>
              <w:t>$</w:t>
            </w:r>
          </w:p>
        </w:tc>
        <w:tc>
          <w:tcPr>
            <w:tcW w:w="10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120,379</w:t>
            </w:r>
          </w:p>
        </w:tc>
      </w:tr>
      <w:tr>
        <w:trPr>
          <w:trHeight w:val="50"/>
        </w:trPr>
        <w:tc>
          <w:tcPr>
            <w:tcW w:w="680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000" w:type="dxa"/>
            <w:vAlign w:val="bottom"/>
            <w:tcBorders>
              <w:bottom w:val="single" w:sz="8" w:color="0CD973"/>
            </w:tcBorders>
          </w:tcPr>
          <w:p>
            <w:pPr>
              <w:spacing w:after="0"/>
              <w:rPr>
                <w:sz w:val="4"/>
                <w:szCs w:val="4"/>
                <w:color w:val="auto"/>
              </w:rPr>
            </w:pPr>
          </w:p>
        </w:tc>
        <w:tc>
          <w:tcPr>
            <w:tcW w:w="480" w:type="dxa"/>
            <w:vAlign w:val="bottom"/>
            <w:tcBorders>
              <w:bottom w:val="single" w:sz="8" w:color="0CD973"/>
            </w:tcBorders>
          </w:tcPr>
          <w:p>
            <w:pPr>
              <w:spacing w:after="0"/>
              <w:rPr>
                <w:sz w:val="4"/>
                <w:szCs w:val="4"/>
                <w:color w:val="auto"/>
              </w:rPr>
            </w:pPr>
          </w:p>
        </w:tc>
        <w:tc>
          <w:tcPr>
            <w:tcW w:w="1000" w:type="dxa"/>
            <w:vAlign w:val="bottom"/>
            <w:tcBorders>
              <w:bottom w:val="single" w:sz="8" w:color="0CD973"/>
            </w:tcBorders>
          </w:tcPr>
          <w:p>
            <w:pPr>
              <w:spacing w:after="0"/>
              <w:rPr>
                <w:sz w:val="4"/>
                <w:szCs w:val="4"/>
                <w:color w:val="auto"/>
              </w:rPr>
            </w:pPr>
          </w:p>
        </w:tc>
        <w:tc>
          <w:tcPr>
            <w:tcW w:w="460" w:type="dxa"/>
            <w:vAlign w:val="bottom"/>
            <w:tcBorders>
              <w:bottom w:val="single" w:sz="8" w:color="0CD973"/>
            </w:tcBorders>
          </w:tcPr>
          <w:p>
            <w:pPr>
              <w:spacing w:after="0"/>
              <w:rPr>
                <w:sz w:val="4"/>
                <w:szCs w:val="4"/>
                <w:color w:val="auto"/>
              </w:rPr>
            </w:pPr>
          </w:p>
        </w:tc>
        <w:tc>
          <w:tcPr>
            <w:tcW w:w="1020" w:type="dxa"/>
            <w:vAlign w:val="bottom"/>
            <w:tcBorders>
              <w:bottom w:val="single" w:sz="8" w:color="0CD973"/>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-1911350</wp:posOffset>
            </wp:positionV>
            <wp:extent cx="28117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0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amount of compensaton cost related to unvested awards not recognized was $77.4 million at December 31, 2023. It is expected that this amount will be recognized over a weighted average period of 1.2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229870</wp:posOffset>
            </wp:positionV>
            <wp:extent cx="728980" cy="1885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105</w:t>
            </w:r>
          </w:p>
        </w:tc>
      </w:tr>
      <w:tr>
        <w:trPr>
          <w:trHeight w:val="338"/>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Restricted stock awards</w:t>
      </w:r>
    </w:p>
    <w:p>
      <w:pPr>
        <w:spacing w:after="0" w:line="163" w:lineRule="exact"/>
        <w:rPr>
          <w:sz w:val="20"/>
          <w:szCs w:val="20"/>
          <w:color w:val="auto"/>
        </w:rPr>
      </w:pPr>
    </w:p>
    <w:p>
      <w:pPr>
        <w:jc w:val="both"/>
        <w:ind w:right="20"/>
        <w:spacing w:after="0" w:line="251" w:lineRule="auto"/>
        <w:rPr>
          <w:sz w:val="20"/>
          <w:szCs w:val="20"/>
          <w:color w:val="auto"/>
        </w:rPr>
      </w:pPr>
      <w:r>
        <w:rPr>
          <w:rFonts w:ascii="Calibri" w:cs="Calibri" w:eastAsia="Calibri" w:hAnsi="Calibri"/>
          <w:sz w:val="17"/>
          <w:szCs w:val="17"/>
          <w:color w:val="51555C"/>
        </w:rPr>
        <w:t>We have granted shares of common stock subject to certain restrictons under the 2016 Equity Plan. Restricted stock awards granted to employees vest in equal annual installments generally over three years from the grant date subject to the recipient’s contnued employment with us. Restricted stock awards granted to non-employee directors vest afer one year from the date of grant or, if earlier, immediately prior to the next annual electon of directors, provided the non-employee director is serving as a director at that tme. The fair market value of the stock at the tme of the grant is amortzed on a straight-line basis to expense over the period of vestng. Recipients of restricted stock awards have the right to vote such shares and receive dividends, if declared.</w:t>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our unvested restricted stock awards as of December 31, 2023, and changes during the year then ended: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shd w:val="clear" w:color="auto" w:fill="004054"/>
          </w:tcPr>
          <w:p>
            <w:pPr>
              <w:spacing w:after="0"/>
              <w:rPr>
                <w:sz w:val="16"/>
                <w:szCs w:val="16"/>
                <w:color w:val="auto"/>
              </w:rPr>
            </w:pPr>
          </w:p>
        </w:tc>
        <w:tc>
          <w:tcPr>
            <w:tcW w:w="152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Weighted</w:t>
            </w:r>
          </w:p>
        </w:tc>
        <w:tc>
          <w:tcPr>
            <w:tcW w:w="530" w:type="dxa"/>
            <w:vAlign w:val="bottom"/>
            <w:shd w:val="clear" w:color="auto" w:fill="004054"/>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00" w:type="dxa"/>
            <w:vAlign w:val="bottom"/>
            <w:shd w:val="clear" w:color="auto" w:fill="004054"/>
          </w:tcPr>
          <w:p>
            <w:pPr>
              <w:spacing w:after="0"/>
              <w:rPr>
                <w:sz w:val="14"/>
                <w:szCs w:val="14"/>
                <w:color w:val="auto"/>
              </w:rPr>
            </w:pPr>
          </w:p>
        </w:tc>
        <w:tc>
          <w:tcPr>
            <w:tcW w:w="15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Restricted</w:t>
            </w: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ind w:left="440"/>
              <w:spacing w:after="0" w:line="169" w:lineRule="exact"/>
              <w:rPr>
                <w:sz w:val="20"/>
                <w:szCs w:val="20"/>
                <w:color w:val="auto"/>
              </w:rPr>
            </w:pPr>
            <w:r>
              <w:rPr>
                <w:rFonts w:ascii="Calibri" w:cs="Calibri" w:eastAsia="Calibri" w:hAnsi="Calibri"/>
                <w:sz w:val="14"/>
                <w:szCs w:val="14"/>
                <w:b w:val="1"/>
                <w:bCs w:val="1"/>
                <w:color w:val="FFFFFF"/>
              </w:rPr>
              <w:t>average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Aggregate</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00" w:type="dxa"/>
            <w:vAlign w:val="bottom"/>
            <w:shd w:val="clear" w:color="auto" w:fill="004054"/>
          </w:tcPr>
          <w:p>
            <w:pPr>
              <w:spacing w:after="0"/>
              <w:rPr>
                <w:sz w:val="14"/>
                <w:szCs w:val="14"/>
                <w:color w:val="auto"/>
              </w:rPr>
            </w:pPr>
          </w:p>
        </w:tc>
        <w:tc>
          <w:tcPr>
            <w:tcW w:w="1520" w:type="dxa"/>
            <w:vAlign w:val="bottom"/>
            <w:vMerge w:val="continue"/>
            <w:shd w:val="clear" w:color="auto" w:fill="004054"/>
          </w:tcPr>
          <w:p>
            <w:pPr>
              <w:spacing w:after="0"/>
              <w:rPr>
                <w:sz w:val="14"/>
                <w:szCs w:val="14"/>
                <w:color w:val="auto"/>
              </w:rPr>
            </w:pP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grant-date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intrinsic value</w:t>
            </w:r>
            <w:r>
              <w:rPr>
                <w:rFonts w:ascii="Calibri" w:cs="Calibri" w:eastAsia="Calibri" w:hAnsi="Calibri"/>
                <w:sz w:val="18"/>
                <w:szCs w:val="18"/>
                <w:b w:val="1"/>
                <w:bCs w:val="1"/>
                <w:color w:val="FFFFFF"/>
                <w:vertAlign w:val="superscript"/>
              </w:rPr>
              <w:t>(1)</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0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stock awards</w:t>
            </w:r>
          </w:p>
        </w:tc>
        <w:tc>
          <w:tcPr>
            <w:tcW w:w="400" w:type="dxa"/>
            <w:vAlign w:val="bottom"/>
            <w:shd w:val="clear" w:color="auto" w:fill="004054"/>
          </w:tcPr>
          <w:p>
            <w:pPr>
              <w:spacing w:after="0"/>
              <w:rPr>
                <w:sz w:val="15"/>
                <w:szCs w:val="15"/>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fair value</w:t>
            </w:r>
          </w:p>
        </w:tc>
        <w:tc>
          <w:tcPr>
            <w:tcW w:w="53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thousands)</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6500" w:type="dxa"/>
            <w:vAlign w:val="bottom"/>
            <w:shd w:val="clear" w:color="auto" w:fill="004054"/>
          </w:tcPr>
          <w:p>
            <w:pPr>
              <w:spacing w:after="0"/>
              <w:rPr>
                <w:sz w:val="5"/>
                <w:szCs w:val="5"/>
                <w:color w:val="auto"/>
              </w:rPr>
            </w:pPr>
          </w:p>
        </w:tc>
        <w:tc>
          <w:tcPr>
            <w:tcW w:w="1520" w:type="dxa"/>
            <w:vAlign w:val="bottom"/>
            <w:shd w:val="clear" w:color="auto" w:fill="004054"/>
          </w:tcPr>
          <w:p>
            <w:pPr>
              <w:spacing w:after="0"/>
              <w:rPr>
                <w:sz w:val="5"/>
                <w:szCs w:val="5"/>
                <w:color w:val="auto"/>
              </w:rPr>
            </w:pPr>
          </w:p>
        </w:tc>
        <w:tc>
          <w:tcPr>
            <w:tcW w:w="400" w:type="dxa"/>
            <w:vAlign w:val="bottom"/>
            <w:shd w:val="clear" w:color="auto" w:fill="004054"/>
          </w:tcPr>
          <w:p>
            <w:pPr>
              <w:spacing w:after="0"/>
              <w:rPr>
                <w:sz w:val="5"/>
                <w:szCs w:val="5"/>
                <w:color w:val="auto"/>
              </w:rPr>
            </w:pPr>
          </w:p>
        </w:tc>
        <w:tc>
          <w:tcPr>
            <w:tcW w:w="970" w:type="dxa"/>
            <w:vAlign w:val="bottom"/>
            <w:shd w:val="clear" w:color="auto" w:fill="004054"/>
          </w:tcPr>
          <w:p>
            <w:pPr>
              <w:spacing w:after="0"/>
              <w:rPr>
                <w:sz w:val="5"/>
                <w:szCs w:val="5"/>
                <w:color w:val="auto"/>
              </w:rPr>
            </w:pPr>
          </w:p>
        </w:tc>
        <w:tc>
          <w:tcPr>
            <w:tcW w:w="530" w:type="dxa"/>
            <w:vAlign w:val="bottom"/>
            <w:shd w:val="clear" w:color="auto" w:fill="004054"/>
          </w:tcPr>
          <w:p>
            <w:pPr>
              <w:spacing w:after="0"/>
              <w:rPr>
                <w:sz w:val="5"/>
                <w:szCs w:val="5"/>
                <w:color w:val="auto"/>
              </w:rPr>
            </w:pPr>
          </w:p>
        </w:tc>
        <w:tc>
          <w:tcPr>
            <w:tcW w:w="132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Unvested at January 1, 2023</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1,345,608</w:t>
            </w:r>
          </w:p>
        </w:tc>
        <w:tc>
          <w:tcPr>
            <w:tcW w:w="400" w:type="dxa"/>
            <w:vAlign w:val="bottom"/>
            <w:tcBorders>
              <w:bottom w:val="single" w:sz="8" w:color="EBFBFF"/>
            </w:tcBorders>
            <w:shd w:val="clear" w:color="auto" w:fill="EBFBFF"/>
          </w:tcPr>
          <w:p>
            <w:pPr>
              <w:jc w:val="right"/>
              <w:ind w:right="210"/>
              <w:spacing w:after="0"/>
              <w:rPr>
                <w:sz w:val="20"/>
                <w:szCs w:val="20"/>
                <w:color w:val="auto"/>
              </w:rPr>
            </w:pPr>
            <w:r>
              <w:rPr>
                <w:rFonts w:ascii="Calibri" w:cs="Calibri" w:eastAsia="Calibri" w:hAnsi="Calibri"/>
                <w:sz w:val="18"/>
                <w:szCs w:val="18"/>
                <w:color w:val="51555C"/>
                <w:w w:val="87"/>
              </w:rPr>
              <w:t>$</w:t>
            </w: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68.09</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Calibri" w:cs="Calibri" w:eastAsia="Calibri" w:hAnsi="Calibri"/>
                <w:sz w:val="18"/>
                <w:szCs w:val="18"/>
                <w:color w:val="51555C"/>
              </w:rPr>
              <w:t>Granted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473,341</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62.59</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70" w:type="dxa"/>
            <w:vAlign w:val="bottom"/>
          </w:tcPr>
          <w:p>
            <w:pPr>
              <w:spacing w:after="0"/>
              <w:rPr>
                <w:sz w:val="4"/>
                <w:szCs w:val="4"/>
                <w:color w:val="auto"/>
              </w:rPr>
            </w:pPr>
          </w:p>
        </w:tc>
        <w:tc>
          <w:tcPr>
            <w:tcW w:w="53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Forfeited</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(106,634)</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66.37</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Calibri" w:cs="Calibri" w:eastAsia="Calibri" w:hAnsi="Calibri"/>
                <w:sz w:val="18"/>
                <w:szCs w:val="18"/>
                <w:color w:val="51555C"/>
              </w:rPr>
              <w:t>Vested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(610,613)</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69.86</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00" w:type="dxa"/>
            <w:vAlign w:val="bottom"/>
            <w:tcBorders>
              <w:bottom w:val="single" w:sz="8" w:color="EBFBFF"/>
            </w:tcBorders>
          </w:tcPr>
          <w:p>
            <w:pPr>
              <w:spacing w:after="0"/>
              <w:rPr>
                <w:sz w:val="4"/>
                <w:szCs w:val="4"/>
                <w:color w:val="auto"/>
              </w:rPr>
            </w:pPr>
          </w:p>
        </w:tc>
        <w:tc>
          <w:tcPr>
            <w:tcW w:w="1520" w:type="dxa"/>
            <w:vAlign w:val="bottom"/>
            <w:tcBorders>
              <w:bottom w:val="single" w:sz="8" w:color="51555C"/>
            </w:tcBorders>
          </w:tcPr>
          <w:p>
            <w:pPr>
              <w:spacing w:after="0"/>
              <w:rPr>
                <w:sz w:val="4"/>
                <w:szCs w:val="4"/>
                <w:color w:val="auto"/>
              </w:rPr>
            </w:pPr>
          </w:p>
        </w:tc>
        <w:tc>
          <w:tcPr>
            <w:tcW w:w="400" w:type="dxa"/>
            <w:vAlign w:val="bottom"/>
            <w:tcBorders>
              <w:bottom w:val="single" w:sz="8" w:color="EBFBFF"/>
            </w:tcBorders>
          </w:tcPr>
          <w:p>
            <w:pPr>
              <w:spacing w:after="0"/>
              <w:rPr>
                <w:sz w:val="4"/>
                <w:szCs w:val="4"/>
                <w:color w:val="auto"/>
              </w:rPr>
            </w:pPr>
          </w:p>
        </w:tc>
        <w:tc>
          <w:tcPr>
            <w:tcW w:w="970" w:type="dxa"/>
            <w:vAlign w:val="bottom"/>
            <w:tcBorders>
              <w:bottom w:val="single" w:sz="8" w:color="EBFBFF"/>
            </w:tcBorders>
          </w:tcPr>
          <w:p>
            <w:pPr>
              <w:spacing w:after="0"/>
              <w:rPr>
                <w:sz w:val="4"/>
                <w:szCs w:val="4"/>
                <w:color w:val="auto"/>
              </w:rPr>
            </w:pPr>
          </w:p>
        </w:tc>
        <w:tc>
          <w:tcPr>
            <w:tcW w:w="530" w:type="dxa"/>
            <w:vAlign w:val="bottom"/>
            <w:tcBorders>
              <w:bottom w:val="single" w:sz="8" w:color="EBFBFF"/>
            </w:tcBorders>
          </w:tcPr>
          <w:p>
            <w:pPr>
              <w:spacing w:after="0"/>
              <w:rPr>
                <w:sz w:val="4"/>
                <w:szCs w:val="4"/>
                <w:color w:val="auto"/>
              </w:rPr>
            </w:pPr>
          </w:p>
        </w:tc>
        <w:tc>
          <w:tcPr>
            <w:tcW w:w="1320" w:type="dxa"/>
            <w:vAlign w:val="bottom"/>
            <w:tcBorders>
              <w:bottom w:val="single" w:sz="8" w:color="EBFB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color w:val="51555C"/>
              </w:rPr>
              <w:t>Unvested at December 31, 2023</w:t>
            </w:r>
          </w:p>
        </w:tc>
        <w:tc>
          <w:tcPr>
            <w:tcW w:w="15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1,101,702</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line="213" w:lineRule="exact"/>
              <w:rPr>
                <w:sz w:val="20"/>
                <w:szCs w:val="20"/>
                <w:color w:val="auto"/>
              </w:rPr>
            </w:pPr>
            <w:r>
              <w:rPr>
                <w:rFonts w:ascii="Calibri" w:cs="Calibri" w:eastAsia="Calibri" w:hAnsi="Calibri"/>
                <w:sz w:val="18"/>
                <w:szCs w:val="18"/>
                <w:color w:val="51555C"/>
              </w:rPr>
              <w:t>64.92</w:t>
            </w:r>
          </w:p>
        </w:tc>
        <w:tc>
          <w:tcPr>
            <w:tcW w:w="530" w:type="dxa"/>
            <w:vAlign w:val="bottom"/>
            <w:tcBorders>
              <w:bottom w:val="single" w:sz="8" w:color="EBFBFF"/>
            </w:tcBorders>
            <w:shd w:val="clear" w:color="auto" w:fill="EBFBFF"/>
          </w:tcPr>
          <w:p>
            <w:pPr>
              <w:jc w:val="right"/>
              <w:ind w:right="270"/>
              <w:spacing w:after="0" w:line="213" w:lineRule="exact"/>
              <w:rPr>
                <w:sz w:val="20"/>
                <w:szCs w:val="20"/>
                <w:color w:val="auto"/>
              </w:rPr>
            </w:pPr>
            <w:r>
              <w:rPr>
                <w:rFonts w:ascii="Calibri" w:cs="Calibri" w:eastAsia="Calibri" w:hAnsi="Calibri"/>
                <w:sz w:val="18"/>
                <w:szCs w:val="18"/>
                <w:color w:val="51555C"/>
              </w:rPr>
              <w:t>$</w:t>
            </w:r>
          </w:p>
        </w:tc>
        <w:tc>
          <w:tcPr>
            <w:tcW w:w="13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95,518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00" w:type="dxa"/>
            <w:vAlign w:val="bottom"/>
            <w:shd w:val="clear" w:color="auto" w:fill="0CD973"/>
          </w:tcPr>
          <w:p>
            <w:pPr>
              <w:spacing w:after="0" w:line="20" w:lineRule="exact"/>
              <w:rPr>
                <w:sz w:val="1"/>
                <w:szCs w:val="1"/>
                <w:color w:val="auto"/>
              </w:rPr>
            </w:pPr>
          </w:p>
        </w:tc>
        <w:tc>
          <w:tcPr>
            <w:tcW w:w="152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970" w:type="dxa"/>
            <w:vAlign w:val="bottom"/>
            <w:shd w:val="clear" w:color="auto" w:fill="0CD973"/>
          </w:tcPr>
          <w:p>
            <w:pPr>
              <w:spacing w:after="0" w:line="20" w:lineRule="exact"/>
              <w:rPr>
                <w:sz w:val="1"/>
                <w:szCs w:val="1"/>
                <w:color w:val="auto"/>
              </w:rPr>
            </w:pPr>
          </w:p>
        </w:tc>
        <w:tc>
          <w:tcPr>
            <w:tcW w:w="53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40" w:hanging="332"/>
        <w:spacing w:after="0"/>
        <w:tabs>
          <w:tab w:leader="none" w:pos="340" w:val="left"/>
        </w:tabs>
        <w:numPr>
          <w:ilvl w:val="0"/>
          <w:numId w:val="56"/>
        </w:numPr>
        <w:rPr>
          <w:rFonts w:ascii="Calibri" w:cs="Calibri" w:eastAsia="Calibri" w:hAnsi="Calibri"/>
          <w:sz w:val="14"/>
          <w:szCs w:val="14"/>
          <w:color w:val="51555C"/>
        </w:rPr>
      </w:pPr>
      <w:r>
        <w:rPr>
          <w:rFonts w:ascii="Calibri" w:cs="Calibri" w:eastAsia="Calibri" w:hAnsi="Calibri"/>
          <w:sz w:val="14"/>
          <w:szCs w:val="14"/>
          <w:color w:val="51555C"/>
        </w:rPr>
        <w:t>The intrinsic value is calculated as the market value as of the end of the fscal period.</w:t>
      </w:r>
    </w:p>
    <w:p>
      <w:pPr>
        <w:spacing w:after="0" w:line="16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fair value of restricted stock awards that vested during the years ended December 31, 2023, 2022 and 2021 was $42.7 million, $41.0 million and $38.5 million, respectvely. The weighted average grant-date fair value of restricted stock awards granted during the years ended December 31, 2022 and 2021 was $60.90 and $77.39, respectvely.</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Restricted stock units</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have also granted restricted stock units subject to certain restrictons under the 2016 Equity Plan. Restricted stock units granted to employees vest in equal annual installments generally over three years from the grant date subject to the recipient’s contnued employment with us. We have also granted restricted stock units for which vestng is subject to meetng certain performance conditons. The fair market value of the stock at the tme of the grant is amortzed to expense on a straight-line basis over the period of vestng except for awards with performance conditons, which are amortzed on an accelerated basis over the period of vestng.</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summarizes our unvested, tme-based restricted stock units as of December 31, 2023, and changes during the year then ended: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shd w:val="clear" w:color="auto" w:fill="004054"/>
          </w:tcPr>
          <w:p>
            <w:pPr>
              <w:spacing w:after="0"/>
              <w:rPr>
                <w:sz w:val="16"/>
                <w:szCs w:val="16"/>
                <w:color w:val="auto"/>
              </w:rPr>
            </w:pPr>
          </w:p>
        </w:tc>
        <w:tc>
          <w:tcPr>
            <w:tcW w:w="152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Weighted</w:t>
            </w:r>
          </w:p>
        </w:tc>
        <w:tc>
          <w:tcPr>
            <w:tcW w:w="530" w:type="dxa"/>
            <w:vAlign w:val="bottom"/>
            <w:shd w:val="clear" w:color="auto" w:fill="004054"/>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500" w:type="dxa"/>
            <w:vAlign w:val="bottom"/>
            <w:shd w:val="clear" w:color="auto" w:fill="004054"/>
          </w:tcPr>
          <w:p>
            <w:pPr>
              <w:spacing w:after="0"/>
              <w:rPr>
                <w:sz w:val="14"/>
                <w:szCs w:val="14"/>
                <w:color w:val="auto"/>
              </w:rPr>
            </w:pPr>
          </w:p>
        </w:tc>
        <w:tc>
          <w:tcPr>
            <w:tcW w:w="152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Time-based restricted</w:t>
            </w: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ind w:left="440"/>
              <w:spacing w:after="0"/>
              <w:rPr>
                <w:sz w:val="20"/>
                <w:szCs w:val="20"/>
                <w:color w:val="auto"/>
              </w:rPr>
            </w:pPr>
            <w:r>
              <w:rPr>
                <w:rFonts w:ascii="Calibri" w:cs="Calibri" w:eastAsia="Calibri" w:hAnsi="Calibri"/>
                <w:sz w:val="14"/>
                <w:szCs w:val="14"/>
                <w:b w:val="1"/>
                <w:bCs w:val="1"/>
                <w:color w:val="FFFFFF"/>
              </w:rPr>
              <w:t>average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Aggregate</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00" w:type="dxa"/>
            <w:vAlign w:val="bottom"/>
            <w:shd w:val="clear" w:color="auto" w:fill="004054"/>
          </w:tcPr>
          <w:p>
            <w:pPr>
              <w:spacing w:after="0"/>
              <w:rPr>
                <w:sz w:val="14"/>
                <w:szCs w:val="14"/>
                <w:color w:val="auto"/>
              </w:rPr>
            </w:pPr>
          </w:p>
        </w:tc>
        <w:tc>
          <w:tcPr>
            <w:tcW w:w="1520" w:type="dxa"/>
            <w:vAlign w:val="bottom"/>
            <w:vMerge w:val="continue"/>
            <w:shd w:val="clear" w:color="auto" w:fill="004054"/>
          </w:tcPr>
          <w:p>
            <w:pPr>
              <w:spacing w:after="0"/>
              <w:rPr>
                <w:sz w:val="14"/>
                <w:szCs w:val="14"/>
                <w:color w:val="auto"/>
              </w:rPr>
            </w:pP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grant-date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intrinsic value</w:t>
            </w:r>
            <w:r>
              <w:rPr>
                <w:rFonts w:ascii="Calibri" w:cs="Calibri" w:eastAsia="Calibri" w:hAnsi="Calibri"/>
                <w:sz w:val="18"/>
                <w:szCs w:val="18"/>
                <w:b w:val="1"/>
                <w:bCs w:val="1"/>
                <w:color w:val="FFFFFF"/>
                <w:vertAlign w:val="superscript"/>
              </w:rPr>
              <w:t>(1)</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0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stock units</w:t>
            </w:r>
          </w:p>
        </w:tc>
        <w:tc>
          <w:tcPr>
            <w:tcW w:w="400" w:type="dxa"/>
            <w:vAlign w:val="bottom"/>
            <w:shd w:val="clear" w:color="auto" w:fill="004054"/>
          </w:tcPr>
          <w:p>
            <w:pPr>
              <w:spacing w:after="0"/>
              <w:rPr>
                <w:sz w:val="15"/>
                <w:szCs w:val="15"/>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fair value</w:t>
            </w:r>
          </w:p>
        </w:tc>
        <w:tc>
          <w:tcPr>
            <w:tcW w:w="53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thousands)</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6500" w:type="dxa"/>
            <w:vAlign w:val="bottom"/>
            <w:shd w:val="clear" w:color="auto" w:fill="004054"/>
          </w:tcPr>
          <w:p>
            <w:pPr>
              <w:spacing w:after="0"/>
              <w:rPr>
                <w:sz w:val="5"/>
                <w:szCs w:val="5"/>
                <w:color w:val="auto"/>
              </w:rPr>
            </w:pPr>
          </w:p>
        </w:tc>
        <w:tc>
          <w:tcPr>
            <w:tcW w:w="1520" w:type="dxa"/>
            <w:vAlign w:val="bottom"/>
            <w:shd w:val="clear" w:color="auto" w:fill="004054"/>
          </w:tcPr>
          <w:p>
            <w:pPr>
              <w:spacing w:after="0"/>
              <w:rPr>
                <w:sz w:val="5"/>
                <w:szCs w:val="5"/>
                <w:color w:val="auto"/>
              </w:rPr>
            </w:pPr>
          </w:p>
        </w:tc>
        <w:tc>
          <w:tcPr>
            <w:tcW w:w="400" w:type="dxa"/>
            <w:vAlign w:val="bottom"/>
            <w:shd w:val="clear" w:color="auto" w:fill="004054"/>
          </w:tcPr>
          <w:p>
            <w:pPr>
              <w:spacing w:after="0"/>
              <w:rPr>
                <w:sz w:val="5"/>
                <w:szCs w:val="5"/>
                <w:color w:val="auto"/>
              </w:rPr>
            </w:pPr>
          </w:p>
        </w:tc>
        <w:tc>
          <w:tcPr>
            <w:tcW w:w="970" w:type="dxa"/>
            <w:vAlign w:val="bottom"/>
            <w:shd w:val="clear" w:color="auto" w:fill="004054"/>
          </w:tcPr>
          <w:p>
            <w:pPr>
              <w:spacing w:after="0"/>
              <w:rPr>
                <w:sz w:val="5"/>
                <w:szCs w:val="5"/>
                <w:color w:val="auto"/>
              </w:rPr>
            </w:pPr>
          </w:p>
        </w:tc>
        <w:tc>
          <w:tcPr>
            <w:tcW w:w="530" w:type="dxa"/>
            <w:vAlign w:val="bottom"/>
            <w:shd w:val="clear" w:color="auto" w:fill="004054"/>
          </w:tcPr>
          <w:p>
            <w:pPr>
              <w:spacing w:after="0"/>
              <w:rPr>
                <w:sz w:val="5"/>
                <w:szCs w:val="5"/>
                <w:color w:val="auto"/>
              </w:rPr>
            </w:pPr>
          </w:p>
        </w:tc>
        <w:tc>
          <w:tcPr>
            <w:tcW w:w="132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Unvested at January 1, 2023</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455,708</w:t>
            </w:r>
          </w:p>
        </w:tc>
        <w:tc>
          <w:tcPr>
            <w:tcW w:w="400" w:type="dxa"/>
            <w:vAlign w:val="bottom"/>
            <w:tcBorders>
              <w:bottom w:val="single" w:sz="8" w:color="EBFBFF"/>
            </w:tcBorders>
            <w:shd w:val="clear" w:color="auto" w:fill="EBFBFF"/>
          </w:tcPr>
          <w:p>
            <w:pPr>
              <w:jc w:val="right"/>
              <w:ind w:right="210"/>
              <w:spacing w:after="0"/>
              <w:rPr>
                <w:sz w:val="20"/>
                <w:szCs w:val="20"/>
                <w:color w:val="auto"/>
              </w:rPr>
            </w:pPr>
            <w:r>
              <w:rPr>
                <w:rFonts w:ascii="Calibri" w:cs="Calibri" w:eastAsia="Calibri" w:hAnsi="Calibri"/>
                <w:sz w:val="18"/>
                <w:szCs w:val="18"/>
                <w:color w:val="51555C"/>
                <w:w w:val="87"/>
              </w:rPr>
              <w:t>$</w:t>
            </w: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68.81</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Calibri" w:cs="Calibri" w:eastAsia="Calibri" w:hAnsi="Calibri"/>
                <w:sz w:val="18"/>
                <w:szCs w:val="18"/>
                <w:color w:val="51555C"/>
              </w:rPr>
              <w:t>Granted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367,913</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61.37</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70" w:type="dxa"/>
            <w:vAlign w:val="bottom"/>
          </w:tcPr>
          <w:p>
            <w:pPr>
              <w:spacing w:after="0"/>
              <w:rPr>
                <w:sz w:val="4"/>
                <w:szCs w:val="4"/>
                <w:color w:val="auto"/>
              </w:rPr>
            </w:pPr>
          </w:p>
        </w:tc>
        <w:tc>
          <w:tcPr>
            <w:tcW w:w="53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Forfeited</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(24,686)</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64.57</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Calibri" w:cs="Calibri" w:eastAsia="Calibri" w:hAnsi="Calibri"/>
                <w:sz w:val="18"/>
                <w:szCs w:val="18"/>
                <w:color w:val="51555C"/>
              </w:rPr>
              <w:t>Vested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(191,835)</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70.53</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500" w:type="dxa"/>
            <w:vAlign w:val="bottom"/>
            <w:tcBorders>
              <w:bottom w:val="single" w:sz="8" w:color="EBFBFF"/>
            </w:tcBorders>
          </w:tcPr>
          <w:p>
            <w:pPr>
              <w:spacing w:after="0"/>
              <w:rPr>
                <w:sz w:val="4"/>
                <w:szCs w:val="4"/>
                <w:color w:val="auto"/>
              </w:rPr>
            </w:pPr>
          </w:p>
        </w:tc>
        <w:tc>
          <w:tcPr>
            <w:tcW w:w="1520" w:type="dxa"/>
            <w:vAlign w:val="bottom"/>
            <w:tcBorders>
              <w:bottom w:val="single" w:sz="8" w:color="51555C"/>
            </w:tcBorders>
          </w:tcPr>
          <w:p>
            <w:pPr>
              <w:spacing w:after="0"/>
              <w:rPr>
                <w:sz w:val="4"/>
                <w:szCs w:val="4"/>
                <w:color w:val="auto"/>
              </w:rPr>
            </w:pPr>
          </w:p>
        </w:tc>
        <w:tc>
          <w:tcPr>
            <w:tcW w:w="400" w:type="dxa"/>
            <w:vAlign w:val="bottom"/>
            <w:tcBorders>
              <w:bottom w:val="single" w:sz="8" w:color="EBFBFF"/>
            </w:tcBorders>
          </w:tcPr>
          <w:p>
            <w:pPr>
              <w:spacing w:after="0"/>
              <w:rPr>
                <w:sz w:val="4"/>
                <w:szCs w:val="4"/>
                <w:color w:val="auto"/>
              </w:rPr>
            </w:pPr>
          </w:p>
        </w:tc>
        <w:tc>
          <w:tcPr>
            <w:tcW w:w="970" w:type="dxa"/>
            <w:vAlign w:val="bottom"/>
            <w:tcBorders>
              <w:bottom w:val="single" w:sz="8" w:color="EBFBFF"/>
            </w:tcBorders>
          </w:tcPr>
          <w:p>
            <w:pPr>
              <w:spacing w:after="0"/>
              <w:rPr>
                <w:sz w:val="4"/>
                <w:szCs w:val="4"/>
                <w:color w:val="auto"/>
              </w:rPr>
            </w:pPr>
          </w:p>
        </w:tc>
        <w:tc>
          <w:tcPr>
            <w:tcW w:w="530" w:type="dxa"/>
            <w:vAlign w:val="bottom"/>
            <w:tcBorders>
              <w:bottom w:val="single" w:sz="8" w:color="EBFBFF"/>
            </w:tcBorders>
          </w:tcPr>
          <w:p>
            <w:pPr>
              <w:spacing w:after="0"/>
              <w:rPr>
                <w:sz w:val="4"/>
                <w:szCs w:val="4"/>
                <w:color w:val="auto"/>
              </w:rPr>
            </w:pPr>
          </w:p>
        </w:tc>
        <w:tc>
          <w:tcPr>
            <w:tcW w:w="1320" w:type="dxa"/>
            <w:vAlign w:val="bottom"/>
            <w:tcBorders>
              <w:bottom w:val="single" w:sz="8" w:color="EBFB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50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color w:val="51555C"/>
              </w:rPr>
              <w:t>Unvested at December 31, 2023</w:t>
            </w:r>
          </w:p>
        </w:tc>
        <w:tc>
          <w:tcPr>
            <w:tcW w:w="15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607,100</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line="213" w:lineRule="exact"/>
              <w:rPr>
                <w:sz w:val="20"/>
                <w:szCs w:val="20"/>
                <w:color w:val="auto"/>
              </w:rPr>
            </w:pPr>
            <w:r>
              <w:rPr>
                <w:rFonts w:ascii="Calibri" w:cs="Calibri" w:eastAsia="Calibri" w:hAnsi="Calibri"/>
                <w:sz w:val="18"/>
                <w:szCs w:val="18"/>
                <w:color w:val="51555C"/>
              </w:rPr>
              <w:t>64.01</w:t>
            </w:r>
          </w:p>
        </w:tc>
        <w:tc>
          <w:tcPr>
            <w:tcW w:w="530" w:type="dxa"/>
            <w:vAlign w:val="bottom"/>
            <w:tcBorders>
              <w:bottom w:val="single" w:sz="8" w:color="EBFBFF"/>
            </w:tcBorders>
            <w:shd w:val="clear" w:color="auto" w:fill="EBFBFF"/>
          </w:tcPr>
          <w:p>
            <w:pPr>
              <w:jc w:val="right"/>
              <w:ind w:right="270"/>
              <w:spacing w:after="0" w:line="213" w:lineRule="exact"/>
              <w:rPr>
                <w:sz w:val="20"/>
                <w:szCs w:val="20"/>
                <w:color w:val="auto"/>
              </w:rPr>
            </w:pPr>
            <w:r>
              <w:rPr>
                <w:rFonts w:ascii="Calibri" w:cs="Calibri" w:eastAsia="Calibri" w:hAnsi="Calibri"/>
                <w:sz w:val="18"/>
                <w:szCs w:val="18"/>
                <w:color w:val="51555C"/>
              </w:rPr>
              <w:t>$</w:t>
            </w:r>
          </w:p>
        </w:tc>
        <w:tc>
          <w:tcPr>
            <w:tcW w:w="13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52,636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00" w:type="dxa"/>
            <w:vAlign w:val="bottom"/>
            <w:shd w:val="clear" w:color="auto" w:fill="0CD973"/>
          </w:tcPr>
          <w:p>
            <w:pPr>
              <w:spacing w:after="0" w:line="20" w:lineRule="exact"/>
              <w:rPr>
                <w:sz w:val="1"/>
                <w:szCs w:val="1"/>
                <w:color w:val="auto"/>
              </w:rPr>
            </w:pPr>
          </w:p>
        </w:tc>
        <w:tc>
          <w:tcPr>
            <w:tcW w:w="152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970" w:type="dxa"/>
            <w:vAlign w:val="bottom"/>
            <w:shd w:val="clear" w:color="auto" w:fill="0CD973"/>
          </w:tcPr>
          <w:p>
            <w:pPr>
              <w:spacing w:after="0" w:line="20" w:lineRule="exact"/>
              <w:rPr>
                <w:sz w:val="1"/>
                <w:szCs w:val="1"/>
                <w:color w:val="auto"/>
              </w:rPr>
            </w:pPr>
          </w:p>
        </w:tc>
        <w:tc>
          <w:tcPr>
            <w:tcW w:w="53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340" w:hanging="332"/>
        <w:spacing w:after="0"/>
        <w:tabs>
          <w:tab w:leader="none" w:pos="340" w:val="left"/>
        </w:tabs>
        <w:numPr>
          <w:ilvl w:val="0"/>
          <w:numId w:val="57"/>
        </w:numPr>
        <w:rPr>
          <w:rFonts w:ascii="Calibri" w:cs="Calibri" w:eastAsia="Calibri" w:hAnsi="Calibri"/>
          <w:sz w:val="14"/>
          <w:szCs w:val="14"/>
          <w:color w:val="51555C"/>
        </w:rPr>
      </w:pPr>
      <w:r>
        <w:rPr>
          <w:rFonts w:ascii="Calibri" w:cs="Calibri" w:eastAsia="Calibri" w:hAnsi="Calibri"/>
          <w:sz w:val="14"/>
          <w:szCs w:val="14"/>
          <w:color w:val="51555C"/>
        </w:rPr>
        <w:t>The intrinsic value is calculated as the market value as of the end of the fscal period.</w:t>
      </w:r>
    </w:p>
    <w:p>
      <w:pPr>
        <w:spacing w:after="0" w:line="17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fair value of tme-based restricted stock units that vested during the years ended December 31, 2023, 2022 and 2021 was $13.5 million, $9.3 million and $9.4 million, respectvely. The weighted average grant date fair value of tme-based restricted stock units granted for the years ended December 31, 2022 and 2021 was $62.38 and $77.74, respectvely.</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106</w:t>
      </w:r>
      <w:r>
        <w:rPr>
          <w:sz w:val="20"/>
          <w:szCs w:val="20"/>
          <w:color w:val="auto"/>
        </w:rPr>
        <w:tab/>
      </w:r>
      <w:r>
        <w:rPr>
          <w:sz w:val="1"/>
          <w:szCs w:val="1"/>
          <w:color w:val="auto"/>
        </w:rPr>
        <w:drawing>
          <wp:inline distT="0" distB="0" distL="0" distR="0">
            <wp:extent cx="728345" cy="188595"/>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alibri" w:cs="Calibri" w:eastAsia="Calibri" w:hAnsi="Calibri"/>
          <w:sz w:val="17"/>
          <w:szCs w:val="17"/>
          <w:color w:val="51555C"/>
        </w:rPr>
        <w:t>The following table summarizes our unvested, performance-based restricted stock units as of December 31, 2023, and changes during the year then ended: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00" w:type="dxa"/>
            <w:vAlign w:val="bottom"/>
            <w:shd w:val="clear" w:color="auto" w:fill="004054"/>
          </w:tcPr>
          <w:p>
            <w:pPr>
              <w:spacing w:after="0"/>
              <w:rPr>
                <w:sz w:val="16"/>
                <w:szCs w:val="16"/>
                <w:color w:val="auto"/>
              </w:rPr>
            </w:pPr>
          </w:p>
        </w:tc>
        <w:tc>
          <w:tcPr>
            <w:tcW w:w="152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Weighted</w:t>
            </w:r>
          </w:p>
        </w:tc>
        <w:tc>
          <w:tcPr>
            <w:tcW w:w="530" w:type="dxa"/>
            <w:vAlign w:val="bottom"/>
            <w:shd w:val="clear" w:color="auto" w:fill="004054"/>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169"/>
        </w:trPr>
        <w:tc>
          <w:tcPr>
            <w:tcW w:w="6500" w:type="dxa"/>
            <w:vAlign w:val="bottom"/>
            <w:shd w:val="clear" w:color="auto" w:fill="004054"/>
          </w:tcPr>
          <w:p>
            <w:pPr>
              <w:spacing w:after="0"/>
              <w:rPr>
                <w:sz w:val="14"/>
                <w:szCs w:val="14"/>
                <w:color w:val="auto"/>
              </w:rPr>
            </w:pPr>
          </w:p>
        </w:tc>
        <w:tc>
          <w:tcPr>
            <w:tcW w:w="152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Performance-based</w:t>
            </w: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ind w:left="440"/>
              <w:spacing w:after="0" w:line="169" w:lineRule="exact"/>
              <w:rPr>
                <w:sz w:val="20"/>
                <w:szCs w:val="20"/>
                <w:color w:val="auto"/>
              </w:rPr>
            </w:pPr>
            <w:r>
              <w:rPr>
                <w:rFonts w:ascii="Calibri" w:cs="Calibri" w:eastAsia="Calibri" w:hAnsi="Calibri"/>
                <w:sz w:val="14"/>
                <w:szCs w:val="14"/>
                <w:b w:val="1"/>
                <w:bCs w:val="1"/>
                <w:color w:val="FFFFFF"/>
              </w:rPr>
              <w:t>average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Aggregate</w:t>
            </w:r>
          </w:p>
        </w:tc>
        <w:tc>
          <w:tcPr>
            <w:tcW w:w="20" w:type="dxa"/>
            <w:vAlign w:val="bottom"/>
            <w:shd w:val="clear" w:color="auto" w:fill="004054"/>
          </w:tcPr>
          <w:p>
            <w:pPr>
              <w:spacing w:after="0"/>
              <w:rPr>
                <w:sz w:val="14"/>
                <w:szCs w:val="14"/>
                <w:color w:val="auto"/>
              </w:rPr>
            </w:pPr>
          </w:p>
        </w:tc>
      </w:tr>
      <w:tr>
        <w:trPr>
          <w:trHeight w:val="168"/>
        </w:trPr>
        <w:tc>
          <w:tcPr>
            <w:tcW w:w="6500" w:type="dxa"/>
            <w:vAlign w:val="bottom"/>
            <w:shd w:val="clear" w:color="auto" w:fill="004054"/>
          </w:tcPr>
          <w:p>
            <w:pPr>
              <w:spacing w:after="0"/>
              <w:rPr>
                <w:sz w:val="14"/>
                <w:szCs w:val="14"/>
                <w:color w:val="auto"/>
              </w:rPr>
            </w:pPr>
          </w:p>
        </w:tc>
        <w:tc>
          <w:tcPr>
            <w:tcW w:w="152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restricted</w:t>
            </w:r>
          </w:p>
        </w:tc>
        <w:tc>
          <w:tcPr>
            <w:tcW w:w="400" w:type="dxa"/>
            <w:vAlign w:val="bottom"/>
            <w:shd w:val="clear" w:color="auto" w:fill="004054"/>
          </w:tcPr>
          <w:p>
            <w:pPr>
              <w:spacing w:after="0"/>
              <w:rPr>
                <w:sz w:val="14"/>
                <w:szCs w:val="14"/>
                <w:color w:val="auto"/>
              </w:rPr>
            </w:pPr>
          </w:p>
        </w:tc>
        <w:tc>
          <w:tcPr>
            <w:tcW w:w="970" w:type="dxa"/>
            <w:vAlign w:val="bottom"/>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grant-date</w:t>
            </w:r>
          </w:p>
        </w:tc>
        <w:tc>
          <w:tcPr>
            <w:tcW w:w="530" w:type="dxa"/>
            <w:vAlign w:val="bottom"/>
            <w:shd w:val="clear" w:color="auto" w:fill="004054"/>
          </w:tcPr>
          <w:p>
            <w:pPr>
              <w:spacing w:after="0"/>
              <w:rPr>
                <w:sz w:val="14"/>
                <w:szCs w:val="14"/>
                <w:color w:val="auto"/>
              </w:rPr>
            </w:pPr>
          </w:p>
        </w:tc>
        <w:tc>
          <w:tcPr>
            <w:tcW w:w="132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intrinsic value</w:t>
            </w:r>
            <w:r>
              <w:rPr>
                <w:rFonts w:ascii="Calibri" w:cs="Calibri" w:eastAsia="Calibri" w:hAnsi="Calibri"/>
                <w:sz w:val="18"/>
                <w:szCs w:val="18"/>
                <w:b w:val="1"/>
                <w:bCs w:val="1"/>
                <w:color w:val="FFFFFF"/>
                <w:vertAlign w:val="superscript"/>
              </w:rPr>
              <w:t>(1)</w:t>
            </w:r>
          </w:p>
        </w:tc>
        <w:tc>
          <w:tcPr>
            <w:tcW w:w="20" w:type="dxa"/>
            <w:vAlign w:val="bottom"/>
            <w:shd w:val="clear" w:color="auto" w:fill="004054"/>
          </w:tcPr>
          <w:p>
            <w:pPr>
              <w:spacing w:after="0"/>
              <w:rPr>
                <w:sz w:val="14"/>
                <w:szCs w:val="14"/>
                <w:color w:val="auto"/>
              </w:rPr>
            </w:pPr>
          </w:p>
        </w:tc>
      </w:tr>
      <w:tr>
        <w:trPr>
          <w:trHeight w:val="183"/>
        </w:trPr>
        <w:tc>
          <w:tcPr>
            <w:tcW w:w="6500" w:type="dxa"/>
            <w:vAlign w:val="bottom"/>
            <w:shd w:val="clear" w:color="auto" w:fill="004054"/>
          </w:tcPr>
          <w:p>
            <w:pPr>
              <w:spacing w:after="0"/>
              <w:rPr>
                <w:sz w:val="15"/>
                <w:szCs w:val="15"/>
                <w:color w:val="auto"/>
              </w:rPr>
            </w:pPr>
          </w:p>
        </w:tc>
        <w:tc>
          <w:tcPr>
            <w:tcW w:w="15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stock units</w:t>
            </w:r>
          </w:p>
        </w:tc>
        <w:tc>
          <w:tcPr>
            <w:tcW w:w="400" w:type="dxa"/>
            <w:vAlign w:val="bottom"/>
            <w:shd w:val="clear" w:color="auto" w:fill="004054"/>
          </w:tcPr>
          <w:p>
            <w:pPr>
              <w:spacing w:after="0"/>
              <w:rPr>
                <w:sz w:val="15"/>
                <w:szCs w:val="15"/>
                <w:color w:val="auto"/>
              </w:rPr>
            </w:pPr>
          </w:p>
        </w:tc>
        <w:tc>
          <w:tcPr>
            <w:tcW w:w="97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fair value</w:t>
            </w:r>
          </w:p>
        </w:tc>
        <w:tc>
          <w:tcPr>
            <w:tcW w:w="53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(in thousands)</w:t>
            </w:r>
          </w:p>
        </w:tc>
        <w:tc>
          <w:tcPr>
            <w:tcW w:w="20" w:type="dxa"/>
            <w:vAlign w:val="bottom"/>
            <w:shd w:val="clear" w:color="auto" w:fill="004054"/>
          </w:tcPr>
          <w:p>
            <w:pPr>
              <w:spacing w:after="0"/>
              <w:rPr>
                <w:sz w:val="15"/>
                <w:szCs w:val="15"/>
                <w:color w:val="auto"/>
              </w:rPr>
            </w:pPr>
          </w:p>
        </w:tc>
      </w:tr>
      <w:tr>
        <w:trPr>
          <w:trHeight w:val="61"/>
        </w:trPr>
        <w:tc>
          <w:tcPr>
            <w:tcW w:w="6500" w:type="dxa"/>
            <w:vAlign w:val="bottom"/>
            <w:shd w:val="clear" w:color="auto" w:fill="004054"/>
          </w:tcPr>
          <w:p>
            <w:pPr>
              <w:spacing w:after="0"/>
              <w:rPr>
                <w:sz w:val="5"/>
                <w:szCs w:val="5"/>
                <w:color w:val="auto"/>
              </w:rPr>
            </w:pPr>
          </w:p>
        </w:tc>
        <w:tc>
          <w:tcPr>
            <w:tcW w:w="1520" w:type="dxa"/>
            <w:vAlign w:val="bottom"/>
            <w:shd w:val="clear" w:color="auto" w:fill="004054"/>
          </w:tcPr>
          <w:p>
            <w:pPr>
              <w:spacing w:after="0"/>
              <w:rPr>
                <w:sz w:val="5"/>
                <w:szCs w:val="5"/>
                <w:color w:val="auto"/>
              </w:rPr>
            </w:pPr>
          </w:p>
        </w:tc>
        <w:tc>
          <w:tcPr>
            <w:tcW w:w="400" w:type="dxa"/>
            <w:vAlign w:val="bottom"/>
            <w:shd w:val="clear" w:color="auto" w:fill="004054"/>
          </w:tcPr>
          <w:p>
            <w:pPr>
              <w:spacing w:after="0"/>
              <w:rPr>
                <w:sz w:val="5"/>
                <w:szCs w:val="5"/>
                <w:color w:val="auto"/>
              </w:rPr>
            </w:pPr>
          </w:p>
        </w:tc>
        <w:tc>
          <w:tcPr>
            <w:tcW w:w="970" w:type="dxa"/>
            <w:vAlign w:val="bottom"/>
            <w:shd w:val="clear" w:color="auto" w:fill="004054"/>
          </w:tcPr>
          <w:p>
            <w:pPr>
              <w:spacing w:after="0"/>
              <w:rPr>
                <w:sz w:val="5"/>
                <w:szCs w:val="5"/>
                <w:color w:val="auto"/>
              </w:rPr>
            </w:pPr>
          </w:p>
        </w:tc>
        <w:tc>
          <w:tcPr>
            <w:tcW w:w="530" w:type="dxa"/>
            <w:vAlign w:val="bottom"/>
            <w:shd w:val="clear" w:color="auto" w:fill="004054"/>
          </w:tcPr>
          <w:p>
            <w:pPr>
              <w:spacing w:after="0"/>
              <w:rPr>
                <w:sz w:val="5"/>
                <w:szCs w:val="5"/>
                <w:color w:val="auto"/>
              </w:rPr>
            </w:pPr>
          </w:p>
        </w:tc>
        <w:tc>
          <w:tcPr>
            <w:tcW w:w="132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Unvested at January 1, 2023</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1,104,260</w:t>
            </w:r>
          </w:p>
        </w:tc>
        <w:tc>
          <w:tcPr>
            <w:tcW w:w="400" w:type="dxa"/>
            <w:vAlign w:val="bottom"/>
            <w:tcBorders>
              <w:bottom w:val="single" w:sz="8" w:color="EBFBFF"/>
            </w:tcBorders>
            <w:shd w:val="clear" w:color="auto" w:fill="EBFBFF"/>
          </w:tcPr>
          <w:p>
            <w:pPr>
              <w:jc w:val="right"/>
              <w:ind w:right="210"/>
              <w:spacing w:after="0"/>
              <w:rPr>
                <w:sz w:val="20"/>
                <w:szCs w:val="20"/>
                <w:color w:val="auto"/>
              </w:rPr>
            </w:pPr>
            <w:r>
              <w:rPr>
                <w:rFonts w:ascii="Calibri" w:cs="Calibri" w:eastAsia="Calibri" w:hAnsi="Calibri"/>
                <w:sz w:val="18"/>
                <w:szCs w:val="18"/>
                <w:color w:val="51555C"/>
                <w:w w:val="87"/>
              </w:rPr>
              <w:t>$</w:t>
            </w: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64.94</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19"/>
        </w:trPr>
        <w:tc>
          <w:tcPr>
            <w:tcW w:w="6500" w:type="dxa"/>
            <w:vAlign w:val="bottom"/>
          </w:tcPr>
          <w:p>
            <w:pPr>
              <w:ind w:left="20"/>
              <w:spacing w:after="0"/>
              <w:rPr>
                <w:sz w:val="20"/>
                <w:szCs w:val="20"/>
                <w:color w:val="auto"/>
              </w:rPr>
            </w:pPr>
            <w:r>
              <w:rPr>
                <w:rFonts w:ascii="Calibri" w:cs="Calibri" w:eastAsia="Calibri" w:hAnsi="Calibri"/>
                <w:sz w:val="18"/>
                <w:szCs w:val="18"/>
                <w:color w:val="51555C"/>
              </w:rPr>
              <w:t>Granted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967,252</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59.62</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65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70" w:type="dxa"/>
            <w:vAlign w:val="bottom"/>
          </w:tcPr>
          <w:p>
            <w:pPr>
              <w:spacing w:after="0"/>
              <w:rPr>
                <w:sz w:val="4"/>
                <w:szCs w:val="4"/>
                <w:color w:val="auto"/>
              </w:rPr>
            </w:pPr>
          </w:p>
        </w:tc>
        <w:tc>
          <w:tcPr>
            <w:tcW w:w="53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65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Forfeited</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(72,428)</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rPr>
                <w:sz w:val="20"/>
                <w:szCs w:val="20"/>
                <w:color w:val="auto"/>
              </w:rPr>
            </w:pPr>
            <w:r>
              <w:rPr>
                <w:rFonts w:ascii="Calibri" w:cs="Calibri" w:eastAsia="Calibri" w:hAnsi="Calibri"/>
                <w:sz w:val="18"/>
                <w:szCs w:val="18"/>
                <w:color w:val="51555C"/>
              </w:rPr>
              <w:t>60.12</w:t>
            </w:r>
          </w:p>
        </w:tc>
        <w:tc>
          <w:tcPr>
            <w:tcW w:w="53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19"/>
        </w:trPr>
        <w:tc>
          <w:tcPr>
            <w:tcW w:w="6500" w:type="dxa"/>
            <w:vAlign w:val="bottom"/>
          </w:tcPr>
          <w:p>
            <w:pPr>
              <w:ind w:left="20"/>
              <w:spacing w:after="0"/>
              <w:rPr>
                <w:sz w:val="20"/>
                <w:szCs w:val="20"/>
                <w:color w:val="auto"/>
              </w:rPr>
            </w:pPr>
            <w:r>
              <w:rPr>
                <w:rFonts w:ascii="Calibri" w:cs="Calibri" w:eastAsia="Calibri" w:hAnsi="Calibri"/>
                <w:sz w:val="18"/>
                <w:szCs w:val="18"/>
                <w:color w:val="51555C"/>
              </w:rPr>
              <w:t>Vested</w:t>
            </w:r>
          </w:p>
        </w:tc>
        <w:tc>
          <w:tcPr>
            <w:tcW w:w="1520" w:type="dxa"/>
            <w:vAlign w:val="bottom"/>
          </w:tcPr>
          <w:p>
            <w:pPr>
              <w:jc w:val="right"/>
              <w:spacing w:after="0"/>
              <w:rPr>
                <w:sz w:val="20"/>
                <w:szCs w:val="20"/>
                <w:color w:val="auto"/>
              </w:rPr>
            </w:pPr>
            <w:r>
              <w:rPr>
                <w:rFonts w:ascii="Calibri" w:cs="Calibri" w:eastAsia="Calibri" w:hAnsi="Calibri"/>
                <w:sz w:val="18"/>
                <w:szCs w:val="18"/>
                <w:color w:val="51555C"/>
              </w:rPr>
              <w:t>(789,569)</w:t>
            </w:r>
          </w:p>
        </w:tc>
        <w:tc>
          <w:tcPr>
            <w:tcW w:w="400" w:type="dxa"/>
            <w:vAlign w:val="bottom"/>
          </w:tcPr>
          <w:p>
            <w:pPr>
              <w:spacing w:after="0"/>
              <w:rPr>
                <w:sz w:val="19"/>
                <w:szCs w:val="19"/>
                <w:color w:val="auto"/>
              </w:rPr>
            </w:pPr>
          </w:p>
        </w:tc>
        <w:tc>
          <w:tcPr>
            <w:tcW w:w="970" w:type="dxa"/>
            <w:vAlign w:val="bottom"/>
          </w:tcPr>
          <w:p>
            <w:pPr>
              <w:ind w:left="460"/>
              <w:spacing w:after="0"/>
              <w:rPr>
                <w:sz w:val="20"/>
                <w:szCs w:val="20"/>
                <w:color w:val="auto"/>
              </w:rPr>
            </w:pPr>
            <w:r>
              <w:rPr>
                <w:rFonts w:ascii="Calibri" w:cs="Calibri" w:eastAsia="Calibri" w:hAnsi="Calibri"/>
                <w:sz w:val="18"/>
                <w:szCs w:val="18"/>
                <w:color w:val="51555C"/>
              </w:rPr>
              <w:t>64.45</w:t>
            </w:r>
          </w:p>
        </w:tc>
        <w:tc>
          <w:tcPr>
            <w:tcW w:w="53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6500" w:type="dxa"/>
            <w:vAlign w:val="bottom"/>
            <w:tcBorders>
              <w:bottom w:val="single" w:sz="8" w:color="EBFBFF"/>
            </w:tcBorders>
          </w:tcPr>
          <w:p>
            <w:pPr>
              <w:spacing w:after="0"/>
              <w:rPr>
                <w:sz w:val="4"/>
                <w:szCs w:val="4"/>
                <w:color w:val="auto"/>
              </w:rPr>
            </w:pPr>
          </w:p>
        </w:tc>
        <w:tc>
          <w:tcPr>
            <w:tcW w:w="1520" w:type="dxa"/>
            <w:vAlign w:val="bottom"/>
            <w:tcBorders>
              <w:bottom w:val="single" w:sz="8" w:color="51555C"/>
            </w:tcBorders>
          </w:tcPr>
          <w:p>
            <w:pPr>
              <w:spacing w:after="0"/>
              <w:rPr>
                <w:sz w:val="4"/>
                <w:szCs w:val="4"/>
                <w:color w:val="auto"/>
              </w:rPr>
            </w:pPr>
          </w:p>
        </w:tc>
        <w:tc>
          <w:tcPr>
            <w:tcW w:w="400" w:type="dxa"/>
            <w:vAlign w:val="bottom"/>
            <w:tcBorders>
              <w:bottom w:val="single" w:sz="8" w:color="EBFBFF"/>
            </w:tcBorders>
          </w:tcPr>
          <w:p>
            <w:pPr>
              <w:spacing w:after="0"/>
              <w:rPr>
                <w:sz w:val="4"/>
                <w:szCs w:val="4"/>
                <w:color w:val="auto"/>
              </w:rPr>
            </w:pPr>
          </w:p>
        </w:tc>
        <w:tc>
          <w:tcPr>
            <w:tcW w:w="970" w:type="dxa"/>
            <w:vAlign w:val="bottom"/>
            <w:tcBorders>
              <w:bottom w:val="single" w:sz="8" w:color="EBFBFF"/>
            </w:tcBorders>
          </w:tcPr>
          <w:p>
            <w:pPr>
              <w:spacing w:after="0"/>
              <w:rPr>
                <w:sz w:val="4"/>
                <w:szCs w:val="4"/>
                <w:color w:val="auto"/>
              </w:rPr>
            </w:pPr>
          </w:p>
        </w:tc>
        <w:tc>
          <w:tcPr>
            <w:tcW w:w="530" w:type="dxa"/>
            <w:vAlign w:val="bottom"/>
            <w:tcBorders>
              <w:bottom w:val="single" w:sz="8" w:color="EBFBFF"/>
            </w:tcBorders>
          </w:tcPr>
          <w:p>
            <w:pPr>
              <w:spacing w:after="0"/>
              <w:rPr>
                <w:sz w:val="4"/>
                <w:szCs w:val="4"/>
                <w:color w:val="auto"/>
              </w:rPr>
            </w:pPr>
          </w:p>
        </w:tc>
        <w:tc>
          <w:tcPr>
            <w:tcW w:w="1320" w:type="dxa"/>
            <w:vAlign w:val="bottom"/>
            <w:tcBorders>
              <w:bottom w:val="single" w:sz="8" w:color="EBFBFF"/>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500" w:type="dxa"/>
            <w:vAlign w:val="bottom"/>
            <w:tcBorders>
              <w:bottom w:val="single" w:sz="8" w:color="EBFBFF"/>
            </w:tcBorders>
            <w:shd w:val="clear" w:color="auto" w:fill="EBFBFF"/>
          </w:tcPr>
          <w:p>
            <w:pPr>
              <w:ind w:left="20"/>
              <w:spacing w:after="0" w:line="199" w:lineRule="exact"/>
              <w:rPr>
                <w:sz w:val="20"/>
                <w:szCs w:val="20"/>
                <w:color w:val="auto"/>
              </w:rPr>
            </w:pPr>
            <w:r>
              <w:rPr>
                <w:rFonts w:ascii="Calibri" w:cs="Calibri" w:eastAsia="Calibri" w:hAnsi="Calibri"/>
                <w:sz w:val="18"/>
                <w:szCs w:val="18"/>
                <w:color w:val="51555C"/>
              </w:rPr>
              <w:t>Unvested at December 31, 2023</w:t>
            </w:r>
          </w:p>
        </w:tc>
        <w:tc>
          <w:tcPr>
            <w:tcW w:w="15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1,209,515</w:t>
            </w:r>
          </w:p>
        </w:tc>
        <w:tc>
          <w:tcPr>
            <w:tcW w:w="400" w:type="dxa"/>
            <w:vAlign w:val="bottom"/>
            <w:tcBorders>
              <w:bottom w:val="single" w:sz="8" w:color="EBFBFF"/>
            </w:tcBorders>
            <w:shd w:val="clear" w:color="auto" w:fill="EBFBFF"/>
          </w:tcPr>
          <w:p>
            <w:pPr>
              <w:spacing w:after="0"/>
              <w:rPr>
                <w:sz w:val="21"/>
                <w:szCs w:val="21"/>
                <w:color w:val="auto"/>
              </w:rPr>
            </w:pPr>
          </w:p>
        </w:tc>
        <w:tc>
          <w:tcPr>
            <w:tcW w:w="970" w:type="dxa"/>
            <w:vAlign w:val="bottom"/>
            <w:tcBorders>
              <w:bottom w:val="single" w:sz="8" w:color="EBFBFF"/>
            </w:tcBorders>
            <w:shd w:val="clear" w:color="auto" w:fill="EBFBFF"/>
          </w:tcPr>
          <w:p>
            <w:pPr>
              <w:ind w:left="460"/>
              <w:spacing w:after="0" w:line="213" w:lineRule="exact"/>
              <w:rPr>
                <w:sz w:val="20"/>
                <w:szCs w:val="20"/>
                <w:color w:val="auto"/>
              </w:rPr>
            </w:pPr>
            <w:r>
              <w:rPr>
                <w:rFonts w:ascii="Calibri" w:cs="Calibri" w:eastAsia="Calibri" w:hAnsi="Calibri"/>
                <w:sz w:val="18"/>
                <w:szCs w:val="18"/>
                <w:color w:val="51555C"/>
              </w:rPr>
              <w:t>61.29</w:t>
            </w:r>
          </w:p>
        </w:tc>
        <w:tc>
          <w:tcPr>
            <w:tcW w:w="530" w:type="dxa"/>
            <w:vAlign w:val="bottom"/>
            <w:tcBorders>
              <w:bottom w:val="single" w:sz="8" w:color="EBFBFF"/>
            </w:tcBorders>
            <w:shd w:val="clear" w:color="auto" w:fill="EBFBFF"/>
          </w:tcPr>
          <w:p>
            <w:pPr>
              <w:jc w:val="right"/>
              <w:ind w:right="270"/>
              <w:spacing w:after="0" w:line="213" w:lineRule="exact"/>
              <w:rPr>
                <w:sz w:val="20"/>
                <w:szCs w:val="20"/>
                <w:color w:val="auto"/>
              </w:rPr>
            </w:pPr>
            <w:r>
              <w:rPr>
                <w:rFonts w:ascii="Calibri" w:cs="Calibri" w:eastAsia="Calibri" w:hAnsi="Calibri"/>
                <w:sz w:val="18"/>
                <w:szCs w:val="18"/>
                <w:color w:val="51555C"/>
              </w:rPr>
              <w:t>$</w:t>
            </w:r>
          </w:p>
        </w:tc>
        <w:tc>
          <w:tcPr>
            <w:tcW w:w="13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104,849</w:t>
            </w:r>
          </w:p>
        </w:tc>
        <w:tc>
          <w:tcPr>
            <w:tcW w:w="20" w:type="dxa"/>
            <w:vAlign w:val="bottom"/>
          </w:tcPr>
          <w:p>
            <w:pPr>
              <w:spacing w:after="0"/>
              <w:rPr>
                <w:sz w:val="21"/>
                <w:szCs w:val="21"/>
                <w:color w:val="auto"/>
              </w:rPr>
            </w:pPr>
          </w:p>
        </w:tc>
      </w:tr>
      <w:tr>
        <w:trPr>
          <w:trHeight w:val="20"/>
        </w:trPr>
        <w:tc>
          <w:tcPr>
            <w:tcW w:w="6500" w:type="dxa"/>
            <w:vAlign w:val="bottom"/>
            <w:shd w:val="clear" w:color="auto" w:fill="0CD973"/>
          </w:tcPr>
          <w:p>
            <w:pPr>
              <w:spacing w:after="0" w:line="20" w:lineRule="exact"/>
              <w:rPr>
                <w:sz w:val="1"/>
                <w:szCs w:val="1"/>
                <w:color w:val="auto"/>
              </w:rPr>
            </w:pPr>
          </w:p>
        </w:tc>
        <w:tc>
          <w:tcPr>
            <w:tcW w:w="152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970" w:type="dxa"/>
            <w:vAlign w:val="bottom"/>
            <w:shd w:val="clear" w:color="auto" w:fill="0CD973"/>
          </w:tcPr>
          <w:p>
            <w:pPr>
              <w:spacing w:after="0" w:line="20" w:lineRule="exact"/>
              <w:rPr>
                <w:sz w:val="1"/>
                <w:szCs w:val="1"/>
                <w:color w:val="auto"/>
              </w:rPr>
            </w:pPr>
          </w:p>
        </w:tc>
        <w:tc>
          <w:tcPr>
            <w:tcW w:w="53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6" w:lineRule="exact"/>
        <w:rPr>
          <w:sz w:val="20"/>
          <w:szCs w:val="20"/>
          <w:color w:val="auto"/>
        </w:rPr>
      </w:pPr>
    </w:p>
    <w:p>
      <w:pPr>
        <w:ind w:left="340" w:hanging="332"/>
        <w:spacing w:after="0"/>
        <w:tabs>
          <w:tab w:leader="none" w:pos="340" w:val="left"/>
        </w:tabs>
        <w:numPr>
          <w:ilvl w:val="0"/>
          <w:numId w:val="58"/>
        </w:numPr>
        <w:rPr>
          <w:rFonts w:ascii="Calibri" w:cs="Calibri" w:eastAsia="Calibri" w:hAnsi="Calibri"/>
          <w:sz w:val="14"/>
          <w:szCs w:val="14"/>
          <w:color w:val="51555C"/>
        </w:rPr>
      </w:pPr>
      <w:r>
        <w:rPr>
          <w:rFonts w:ascii="Calibri" w:cs="Calibri" w:eastAsia="Calibri" w:hAnsi="Calibri"/>
          <w:sz w:val="14"/>
          <w:szCs w:val="14"/>
          <w:color w:val="51555C"/>
        </w:rPr>
        <w:t>The intrinsic value is calculated as the market value as of the end of the fscal period.</w:t>
      </w:r>
    </w:p>
    <w:p>
      <w:pPr>
        <w:spacing w:after="0" w:line="16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total fair value of performance-based restricted stock units that vested during the years ended December 31, 2023, 2022 and 2021 was $50.9 million, $50.5 million, and $44.9 million, respectvely. The weighted average grant date fair value of performance-based restricted stock units granted for the years ended December 31, 2022 and 2021 was $61.79 and $71.91, respectvely.</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14.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Preferred stock</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Our Board of Directors may fx the relatve rights and preferences of each series of preferred stock in a resoluton of the Board of Directors.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Stock repurchase program</w:t>
      </w:r>
    </w:p>
    <w:p>
      <w:pPr>
        <w:spacing w:after="0" w:line="16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Under our stock repurchase program, we are authorized to repurchase shares from tme to tme in accordance with applicable laws both on the open market, including under trading plans established pursuant to Rule 10b5-1 under the Securites Exchange Act of 1934, as amended, and in privately negotated transactons. The tming and amount of repurchases depends on several factors, including market and business conditons, the trading price of our common stock and the nature of other investment opportunites. The repurchase program does not have an expiraton date and may be limited, suspended or discontnued at any tme without prior notce. Under the 2020 Credit Facility, we have restrictons on our ability to repurchase shares of our common stock, which are summarized on page 56 in this report.</w:t>
      </w:r>
    </w:p>
    <w:p>
      <w:pPr>
        <w:spacing w:after="0" w:line="167" w:lineRule="exact"/>
        <w:rPr>
          <w:sz w:val="20"/>
          <w:szCs w:val="20"/>
          <w:color w:val="auto"/>
        </w:rPr>
      </w:pPr>
    </w:p>
    <w:p>
      <w:pPr>
        <w:jc w:val="both"/>
        <w:ind w:right="20"/>
        <w:spacing w:after="0" w:line="258" w:lineRule="auto"/>
        <w:rPr>
          <w:sz w:val="20"/>
          <w:szCs w:val="20"/>
          <w:color w:val="auto"/>
        </w:rPr>
      </w:pPr>
      <w:r>
        <w:rPr>
          <w:rFonts w:ascii="Calibri" w:cs="Calibri" w:eastAsia="Calibri" w:hAnsi="Calibri"/>
          <w:sz w:val="17"/>
          <w:szCs w:val="17"/>
          <w:color w:val="51555C"/>
        </w:rPr>
        <w:t>We account for purchases of treasury stock under the cost method. During the year ended December 31, 2023, we repurchased 221,836 shares for $18.8 million. The remaining amount available to purchase stock under the then approved stock repurchase program was $231.2 million as of December 31, 2023.</w:t>
      </w:r>
    </w:p>
    <w:p>
      <w:pPr>
        <w:spacing w:after="0" w:line="148" w:lineRule="exact"/>
        <w:rPr>
          <w:sz w:val="20"/>
          <w:szCs w:val="20"/>
          <w:color w:val="auto"/>
        </w:rPr>
      </w:pPr>
    </w:p>
    <w:p>
      <w:pPr>
        <w:jc w:val="both"/>
        <w:ind w:right="20"/>
        <w:spacing w:after="0" w:line="252" w:lineRule="auto"/>
        <w:rPr>
          <w:sz w:val="20"/>
          <w:szCs w:val="20"/>
          <w:color w:val="auto"/>
        </w:rPr>
      </w:pPr>
      <w:r>
        <w:rPr>
          <w:rFonts w:ascii="Calibri" w:cs="Calibri" w:eastAsia="Calibri" w:hAnsi="Calibri"/>
          <w:sz w:val="17"/>
          <w:szCs w:val="17"/>
          <w:color w:val="51555C"/>
        </w:rPr>
        <w:t>On January 17, 2024, our Board of Directors reauthorized, expanded and replenished our stock repurchase program by expanding the total capacity under the program from $250.0 million to $500.0 million available for purchase. Between January 1, 2024 and January 17, 2024, we repurchased $22.3 million under the prior authorizaton. Between January 18, 2024 and February 16, 2024, we repurchased an additonal 7,114 shares for $0.6 million under the new authorizaton. The remaining amount available to purchase stock under the stock repurchase program was $499.4 million as of February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215265</wp:posOffset>
            </wp:positionV>
            <wp:extent cx="728980" cy="1885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107</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51555C"/>
        </w:rPr>
        <w:t>Blackbaud, Inc.</w:t>
      </w:r>
    </w:p>
    <w:p>
      <w:pPr>
        <w:jc w:val="center"/>
        <w:ind w:right="-19"/>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Changes in accumulated other comprehensive income (loss) by component</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changes in accumulated other comprehensive income (loss) by component,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84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206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 December 31,</w:t>
            </w:r>
          </w:p>
        </w:tc>
      </w:tr>
      <w:tr>
        <w:trPr>
          <w:trHeight w:val="236"/>
        </w:trPr>
        <w:tc>
          <w:tcPr>
            <w:tcW w:w="76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360" w:type="dxa"/>
            <w:vAlign w:val="bottom"/>
            <w:shd w:val="clear" w:color="auto" w:fill="004054"/>
          </w:tcPr>
          <w:p>
            <w:pPr>
              <w:spacing w:after="0"/>
              <w:rPr>
                <w:sz w:val="20"/>
                <w:szCs w:val="20"/>
                <w:color w:val="auto"/>
              </w:rPr>
            </w:pPr>
          </w:p>
        </w:tc>
        <w:tc>
          <w:tcPr>
            <w:tcW w:w="8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360" w:type="dxa"/>
            <w:vAlign w:val="bottom"/>
            <w:shd w:val="clear" w:color="auto" w:fill="004054"/>
          </w:tcPr>
          <w:p>
            <w:pPr>
              <w:spacing w:after="0"/>
              <w:rPr>
                <w:sz w:val="20"/>
                <w:szCs w:val="20"/>
                <w:color w:val="auto"/>
              </w:rPr>
            </w:pPr>
          </w:p>
        </w:tc>
        <w:tc>
          <w:tcPr>
            <w:tcW w:w="8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380" w:type="dxa"/>
            <w:vAlign w:val="bottom"/>
            <w:shd w:val="clear" w:color="auto" w:fill="004054"/>
          </w:tcPr>
          <w:p>
            <w:pPr>
              <w:spacing w:after="0"/>
              <w:rPr>
                <w:sz w:val="20"/>
                <w:szCs w:val="20"/>
                <w:color w:val="auto"/>
              </w:rPr>
            </w:pPr>
          </w:p>
        </w:tc>
        <w:tc>
          <w:tcPr>
            <w:tcW w:w="8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r>
      <w:tr>
        <w:trPr>
          <w:trHeight w:val="74"/>
        </w:trPr>
        <w:tc>
          <w:tcPr>
            <w:tcW w:w="760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84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86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820" w:type="dxa"/>
            <w:vAlign w:val="bottom"/>
            <w:shd w:val="clear" w:color="auto" w:fill="004054"/>
          </w:tcPr>
          <w:p>
            <w:pPr>
              <w:spacing w:after="0"/>
              <w:rPr>
                <w:sz w:val="6"/>
                <w:szCs w:val="6"/>
                <w:color w:val="auto"/>
              </w:rPr>
            </w:pPr>
          </w:p>
        </w:tc>
      </w:tr>
      <w:tr>
        <w:trPr>
          <w:trHeight w:val="250"/>
        </w:trPr>
        <w:tc>
          <w:tcPr>
            <w:tcW w:w="760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b w:val="1"/>
                <w:bCs w:val="1"/>
                <w:color w:val="51555C"/>
              </w:rPr>
              <w:t>Accumulated other comprehensive income (loss), beginning of period</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8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8,938</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6,522</w:t>
            </w:r>
          </w:p>
        </w:tc>
        <w:tc>
          <w:tcPr>
            <w:tcW w:w="380" w:type="dxa"/>
            <w:vAlign w:val="bottom"/>
            <w:tcBorders>
              <w:bottom w:val="single" w:sz="8" w:color="EBFBFF"/>
            </w:tcBorders>
            <w:shd w:val="clear" w:color="auto" w:fill="EBFBFF"/>
          </w:tcPr>
          <w:p>
            <w:pPr>
              <w:jc w:val="right"/>
              <w:ind w:right="190"/>
              <w:spacing w:after="0"/>
              <w:rPr>
                <w:sz w:val="20"/>
                <w:szCs w:val="20"/>
                <w:color w:val="auto"/>
              </w:rPr>
            </w:pPr>
            <w:r>
              <w:rPr>
                <w:rFonts w:ascii="Calibri" w:cs="Calibri" w:eastAsia="Calibri" w:hAnsi="Calibri"/>
                <w:sz w:val="18"/>
                <w:szCs w:val="18"/>
                <w:color w:val="51555C"/>
                <w:w w:val="87"/>
              </w:rPr>
              <w:t>$</w:t>
            </w: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(2,497)</w:t>
            </w:r>
          </w:p>
        </w:tc>
      </w:tr>
      <w:tr>
        <w:trPr>
          <w:trHeight w:val="220"/>
        </w:trPr>
        <w:tc>
          <w:tcPr>
            <w:tcW w:w="7600" w:type="dxa"/>
            <w:vAlign w:val="bottom"/>
          </w:tcPr>
          <w:p>
            <w:pPr>
              <w:ind w:left="20"/>
              <w:spacing w:after="0"/>
              <w:rPr>
                <w:sz w:val="20"/>
                <w:szCs w:val="20"/>
                <w:color w:val="auto"/>
              </w:rPr>
            </w:pPr>
            <w:r>
              <w:rPr>
                <w:rFonts w:ascii="Calibri" w:cs="Calibri" w:eastAsia="Calibri" w:hAnsi="Calibri"/>
                <w:sz w:val="18"/>
                <w:szCs w:val="18"/>
                <w:b w:val="1"/>
                <w:bCs w:val="1"/>
                <w:color w:val="51555C"/>
              </w:rPr>
              <w:t>By component:</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50"/>
        </w:trPr>
        <w:tc>
          <w:tcPr>
            <w:tcW w:w="7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60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b w:val="1"/>
                <w:bCs w:val="1"/>
                <w:color w:val="51555C"/>
              </w:rPr>
              <w:t>Gains and losses on cash fow hedges:</w:t>
            </w:r>
          </w:p>
        </w:tc>
        <w:tc>
          <w:tcPr>
            <w:tcW w:w="360" w:type="dxa"/>
            <w:vAlign w:val="bottom"/>
            <w:tcBorders>
              <w:bottom w:val="single" w:sz="8" w:color="EBFBFF"/>
            </w:tcBorders>
            <w:shd w:val="clear" w:color="auto" w:fill="EBFBFF"/>
          </w:tcPr>
          <w:p>
            <w:pPr>
              <w:spacing w:after="0"/>
              <w:rPr>
                <w:sz w:val="21"/>
                <w:szCs w:val="21"/>
                <w:color w:val="auto"/>
              </w:rPr>
            </w:pPr>
          </w:p>
        </w:tc>
        <w:tc>
          <w:tcPr>
            <w:tcW w:w="84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spacing w:after="0"/>
              <w:rPr>
                <w:sz w:val="21"/>
                <w:szCs w:val="21"/>
                <w:color w:val="auto"/>
              </w:rPr>
            </w:pPr>
          </w:p>
        </w:tc>
      </w:tr>
      <w:tr>
        <w:trPr>
          <w:trHeight w:val="220"/>
        </w:trPr>
        <w:tc>
          <w:tcPr>
            <w:tcW w:w="7600" w:type="dxa"/>
            <w:vAlign w:val="bottom"/>
          </w:tcPr>
          <w:p>
            <w:pPr>
              <w:ind w:left="240"/>
              <w:spacing w:after="0"/>
              <w:rPr>
                <w:sz w:val="20"/>
                <w:szCs w:val="20"/>
                <w:color w:val="auto"/>
              </w:rPr>
            </w:pPr>
            <w:r>
              <w:rPr>
                <w:rFonts w:ascii="Calibri" w:cs="Calibri" w:eastAsia="Calibri" w:hAnsi="Calibri"/>
                <w:sz w:val="18"/>
                <w:szCs w:val="18"/>
                <w:color w:val="51555C"/>
              </w:rPr>
              <w:t>Accumulated other comprehensive income (loss) balance, beginning of period</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840" w:type="dxa"/>
            <w:vAlign w:val="bottom"/>
          </w:tcPr>
          <w:p>
            <w:pPr>
              <w:jc w:val="right"/>
              <w:spacing w:after="0"/>
              <w:rPr>
                <w:sz w:val="20"/>
                <w:szCs w:val="20"/>
                <w:color w:val="auto"/>
              </w:rPr>
            </w:pPr>
            <w:r>
              <w:rPr>
                <w:rFonts w:ascii="Calibri" w:cs="Calibri" w:eastAsia="Calibri" w:hAnsi="Calibri"/>
                <w:sz w:val="18"/>
                <w:szCs w:val="18"/>
                <w:color w:val="51555C"/>
              </w:rPr>
              <w:t>23,833</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860" w:type="dxa"/>
            <w:vAlign w:val="bottom"/>
          </w:tcPr>
          <w:p>
            <w:pPr>
              <w:jc w:val="right"/>
              <w:spacing w:after="0"/>
              <w:rPr>
                <w:sz w:val="20"/>
                <w:szCs w:val="20"/>
                <w:color w:val="auto"/>
              </w:rPr>
            </w:pPr>
            <w:r>
              <w:rPr>
                <w:rFonts w:ascii="Calibri" w:cs="Calibri" w:eastAsia="Calibri" w:hAnsi="Calibri"/>
                <w:sz w:val="18"/>
                <w:szCs w:val="18"/>
                <w:color w:val="51555C"/>
              </w:rPr>
              <w:t>5,257</w:t>
            </w: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51555C"/>
                <w:w w:val="87"/>
              </w:rPr>
              <w:t>$</w:t>
            </w:r>
          </w:p>
        </w:tc>
        <w:tc>
          <w:tcPr>
            <w:tcW w:w="820" w:type="dxa"/>
            <w:vAlign w:val="bottom"/>
          </w:tcPr>
          <w:p>
            <w:pPr>
              <w:jc w:val="right"/>
              <w:spacing w:after="0"/>
              <w:rPr>
                <w:sz w:val="20"/>
                <w:szCs w:val="20"/>
                <w:color w:val="auto"/>
              </w:rPr>
            </w:pPr>
            <w:r>
              <w:rPr>
                <w:rFonts w:ascii="Calibri" w:cs="Calibri" w:eastAsia="Calibri" w:hAnsi="Calibri"/>
                <w:sz w:val="18"/>
                <w:szCs w:val="18"/>
                <w:color w:val="51555C"/>
              </w:rPr>
              <w:t>(3,101)</w:t>
            </w:r>
          </w:p>
        </w:tc>
      </w:tr>
      <w:tr>
        <w:trPr>
          <w:trHeight w:val="50"/>
        </w:trPr>
        <w:tc>
          <w:tcPr>
            <w:tcW w:w="7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4"/>
        </w:trPr>
        <w:tc>
          <w:tcPr>
            <w:tcW w:w="7600" w:type="dxa"/>
            <w:vAlign w:val="bottom"/>
            <w:shd w:val="clear" w:color="auto" w:fill="EBFBFF"/>
          </w:tcPr>
          <w:p>
            <w:pPr>
              <w:ind w:left="360"/>
              <w:spacing w:after="0"/>
              <w:rPr>
                <w:sz w:val="20"/>
                <w:szCs w:val="20"/>
                <w:color w:val="auto"/>
              </w:rPr>
            </w:pPr>
            <w:r>
              <w:rPr>
                <w:rFonts w:ascii="Calibri" w:cs="Calibri" w:eastAsia="Calibri" w:hAnsi="Calibri"/>
                <w:sz w:val="18"/>
                <w:szCs w:val="18"/>
                <w:color w:val="51555C"/>
              </w:rPr>
              <w:t>Other comprehensive (loss) income before reclassifcatons, net of tax efects of $201, $(8,068) and</w:t>
            </w:r>
          </w:p>
        </w:tc>
        <w:tc>
          <w:tcPr>
            <w:tcW w:w="360" w:type="dxa"/>
            <w:vAlign w:val="bottom"/>
            <w:shd w:val="clear" w:color="auto" w:fill="EBFBFF"/>
          </w:tcPr>
          <w:p>
            <w:pPr>
              <w:spacing w:after="0"/>
              <w:rPr>
                <w:sz w:val="23"/>
                <w:szCs w:val="23"/>
                <w:color w:val="auto"/>
              </w:rPr>
            </w:pPr>
          </w:p>
        </w:tc>
        <w:tc>
          <w:tcPr>
            <w:tcW w:w="840" w:type="dxa"/>
            <w:vAlign w:val="bottom"/>
            <w:shd w:val="clear" w:color="auto" w:fill="EBFBFF"/>
          </w:tcPr>
          <w:p>
            <w:pPr>
              <w:spacing w:after="0"/>
              <w:rPr>
                <w:sz w:val="23"/>
                <w:szCs w:val="23"/>
                <w:color w:val="auto"/>
              </w:rPr>
            </w:pPr>
          </w:p>
        </w:tc>
        <w:tc>
          <w:tcPr>
            <w:tcW w:w="360" w:type="dxa"/>
            <w:vAlign w:val="bottom"/>
            <w:shd w:val="clear" w:color="auto" w:fill="EBFBFF"/>
          </w:tcPr>
          <w:p>
            <w:pPr>
              <w:spacing w:after="0"/>
              <w:rPr>
                <w:sz w:val="23"/>
                <w:szCs w:val="23"/>
                <w:color w:val="auto"/>
              </w:rPr>
            </w:pPr>
          </w:p>
        </w:tc>
        <w:tc>
          <w:tcPr>
            <w:tcW w:w="860" w:type="dxa"/>
            <w:vAlign w:val="bottom"/>
            <w:shd w:val="clear" w:color="auto" w:fill="EBFBFF"/>
          </w:tcPr>
          <w:p>
            <w:pPr>
              <w:spacing w:after="0"/>
              <w:rPr>
                <w:sz w:val="23"/>
                <w:szCs w:val="23"/>
                <w:color w:val="auto"/>
              </w:rPr>
            </w:pPr>
          </w:p>
        </w:tc>
        <w:tc>
          <w:tcPr>
            <w:tcW w:w="380" w:type="dxa"/>
            <w:vAlign w:val="bottom"/>
            <w:shd w:val="clear" w:color="auto" w:fill="EBFBFF"/>
          </w:tcPr>
          <w:p>
            <w:pPr>
              <w:spacing w:after="0"/>
              <w:rPr>
                <w:sz w:val="23"/>
                <w:szCs w:val="23"/>
                <w:color w:val="auto"/>
              </w:rPr>
            </w:pPr>
          </w:p>
        </w:tc>
        <w:tc>
          <w:tcPr>
            <w:tcW w:w="820" w:type="dxa"/>
            <w:vAlign w:val="bottom"/>
            <w:shd w:val="clear" w:color="auto" w:fill="EBFBFF"/>
          </w:tcPr>
          <w:p>
            <w:pPr>
              <w:spacing w:after="0"/>
              <w:rPr>
                <w:sz w:val="23"/>
                <w:szCs w:val="23"/>
                <w:color w:val="auto"/>
              </w:rPr>
            </w:pPr>
          </w:p>
        </w:tc>
      </w:tr>
      <w:tr>
        <w:trPr>
          <w:trHeight w:val="246"/>
        </w:trPr>
        <w:tc>
          <w:tcPr>
            <w:tcW w:w="7600" w:type="dxa"/>
            <w:vAlign w:val="bottom"/>
            <w:tcBorders>
              <w:bottom w:val="single" w:sz="8" w:color="EBFBFF"/>
            </w:tcBorders>
            <w:shd w:val="clear" w:color="auto" w:fill="EBFBFF"/>
          </w:tcPr>
          <w:p>
            <w:pPr>
              <w:ind w:left="360"/>
              <w:spacing w:after="0" w:line="216" w:lineRule="exact"/>
              <w:rPr>
                <w:sz w:val="20"/>
                <w:szCs w:val="20"/>
                <w:color w:val="auto"/>
              </w:rPr>
            </w:pPr>
            <w:r>
              <w:rPr>
                <w:rFonts w:ascii="Calibri" w:cs="Calibri" w:eastAsia="Calibri" w:hAnsi="Calibri"/>
                <w:sz w:val="18"/>
                <w:szCs w:val="18"/>
                <w:color w:val="51555C"/>
              </w:rPr>
              <w:t>$(1,982)</w:t>
            </w:r>
          </w:p>
        </w:tc>
        <w:tc>
          <w:tcPr>
            <w:tcW w:w="360" w:type="dxa"/>
            <w:vAlign w:val="bottom"/>
            <w:tcBorders>
              <w:bottom w:val="single" w:sz="8" w:color="EBFBFF"/>
            </w:tcBorders>
            <w:shd w:val="clear" w:color="auto" w:fill="EBFBFF"/>
          </w:tcPr>
          <w:p>
            <w:pPr>
              <w:spacing w:after="0"/>
              <w:rPr>
                <w:sz w:val="21"/>
                <w:szCs w:val="21"/>
                <w:color w:val="auto"/>
              </w:rPr>
            </w:pPr>
          </w:p>
        </w:tc>
        <w:tc>
          <w:tcPr>
            <w:tcW w:w="84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(271)</w:t>
            </w:r>
          </w:p>
        </w:tc>
        <w:tc>
          <w:tcPr>
            <w:tcW w:w="36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22,772</w:t>
            </w:r>
          </w:p>
        </w:tc>
        <w:tc>
          <w:tcPr>
            <w:tcW w:w="38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jc w:val="right"/>
              <w:spacing w:after="0" w:line="216" w:lineRule="exact"/>
              <w:rPr>
                <w:sz w:val="20"/>
                <w:szCs w:val="20"/>
                <w:color w:val="auto"/>
              </w:rPr>
            </w:pPr>
            <w:r>
              <w:rPr>
                <w:rFonts w:ascii="Calibri" w:cs="Calibri" w:eastAsia="Calibri" w:hAnsi="Calibri"/>
                <w:sz w:val="18"/>
                <w:szCs w:val="18"/>
                <w:color w:val="51555C"/>
              </w:rPr>
              <w:t>5,617</w:t>
            </w:r>
          </w:p>
        </w:tc>
      </w:tr>
      <w:tr>
        <w:trPr>
          <w:trHeight w:val="220"/>
        </w:trPr>
        <w:tc>
          <w:tcPr>
            <w:tcW w:w="7600" w:type="dxa"/>
            <w:vAlign w:val="bottom"/>
          </w:tcPr>
          <w:p>
            <w:pPr>
              <w:ind w:left="560"/>
              <w:spacing w:after="0"/>
              <w:rPr>
                <w:sz w:val="20"/>
                <w:szCs w:val="20"/>
                <w:color w:val="auto"/>
              </w:rPr>
            </w:pPr>
            <w:r>
              <w:rPr>
                <w:rFonts w:ascii="Calibri" w:cs="Calibri" w:eastAsia="Calibri" w:hAnsi="Calibri"/>
                <w:sz w:val="18"/>
                <w:szCs w:val="18"/>
                <w:color w:val="51555C"/>
              </w:rPr>
              <w:t>Amounts reclassifed from accumulated other comprehensive (loss) income</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Calibri" w:cs="Calibri" w:eastAsia="Calibri" w:hAnsi="Calibri"/>
                <w:sz w:val="18"/>
                <w:szCs w:val="18"/>
                <w:color w:val="51555C"/>
              </w:rPr>
              <w:t>(20,806)</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51555C"/>
              </w:rPr>
              <w:t>(5,685)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Calibri" w:cs="Calibri" w:eastAsia="Calibri" w:hAnsi="Calibri"/>
                <w:sz w:val="18"/>
                <w:szCs w:val="18"/>
                <w:color w:val="51555C"/>
              </w:rPr>
              <w:t>3,714</w:t>
            </w:r>
          </w:p>
        </w:tc>
      </w:tr>
      <w:tr>
        <w:trPr>
          <w:trHeight w:val="50"/>
        </w:trPr>
        <w:tc>
          <w:tcPr>
            <w:tcW w:w="7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7600" w:type="dxa"/>
            <w:vAlign w:val="bottom"/>
            <w:tcBorders>
              <w:bottom w:val="single" w:sz="8" w:color="EBFBFF"/>
            </w:tcBorders>
            <w:shd w:val="clear" w:color="auto" w:fill="EBFBFF"/>
          </w:tcPr>
          <w:p>
            <w:pPr>
              <w:ind w:left="560"/>
              <w:spacing w:after="0"/>
              <w:rPr>
                <w:sz w:val="20"/>
                <w:szCs w:val="20"/>
                <w:color w:val="auto"/>
              </w:rPr>
            </w:pPr>
            <w:r>
              <w:rPr>
                <w:rFonts w:ascii="Calibri" w:cs="Calibri" w:eastAsia="Calibri" w:hAnsi="Calibri"/>
                <w:sz w:val="18"/>
                <w:szCs w:val="18"/>
                <w:color w:val="51555C"/>
              </w:rPr>
              <w:t>Tax expense (beneft) included in provision for income taxes</w:t>
            </w:r>
          </w:p>
        </w:tc>
        <w:tc>
          <w:tcPr>
            <w:tcW w:w="360" w:type="dxa"/>
            <w:vAlign w:val="bottom"/>
            <w:tcBorders>
              <w:bottom w:val="single" w:sz="8" w:color="EBFBFF"/>
            </w:tcBorders>
            <w:shd w:val="clear" w:color="auto" w:fill="EBFBFF"/>
          </w:tcPr>
          <w:p>
            <w:pPr>
              <w:spacing w:after="0"/>
              <w:rPr>
                <w:sz w:val="23"/>
                <w:szCs w:val="23"/>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5,402</w:t>
            </w:r>
          </w:p>
        </w:tc>
        <w:tc>
          <w:tcPr>
            <w:tcW w:w="36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1,489</w:t>
            </w:r>
          </w:p>
        </w:tc>
        <w:tc>
          <w:tcPr>
            <w:tcW w:w="380" w:type="dxa"/>
            <w:vAlign w:val="bottom"/>
            <w:tcBorders>
              <w:bottom w:val="single" w:sz="8" w:color="EBFBFF"/>
            </w:tcBorders>
            <w:shd w:val="clear" w:color="auto" w:fill="EBFBFF"/>
          </w:tcPr>
          <w:p>
            <w:pPr>
              <w:spacing w:after="0"/>
              <w:rPr>
                <w:sz w:val="23"/>
                <w:szCs w:val="2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(973)</w:t>
            </w:r>
          </w:p>
        </w:tc>
      </w:tr>
      <w:tr>
        <w:trPr>
          <w:trHeight w:val="213"/>
        </w:trPr>
        <w:tc>
          <w:tcPr>
            <w:tcW w:w="7600" w:type="dxa"/>
            <w:vAlign w:val="bottom"/>
          </w:tcPr>
          <w:p>
            <w:pPr>
              <w:ind w:left="360"/>
              <w:spacing w:after="0" w:line="213" w:lineRule="exact"/>
              <w:rPr>
                <w:sz w:val="20"/>
                <w:szCs w:val="20"/>
                <w:color w:val="auto"/>
              </w:rPr>
            </w:pPr>
            <w:r>
              <w:rPr>
                <w:rFonts w:ascii="Calibri" w:cs="Calibri" w:eastAsia="Calibri" w:hAnsi="Calibri"/>
                <w:sz w:val="18"/>
                <w:szCs w:val="18"/>
                <w:color w:val="51555C"/>
              </w:rPr>
              <w:t>Total amounts reclassifed from accumulated other comprehensive (loss) income</w:t>
            </w:r>
          </w:p>
        </w:tc>
        <w:tc>
          <w:tcPr>
            <w:tcW w:w="360" w:type="dxa"/>
            <w:vAlign w:val="bottom"/>
            <w:tcBorders>
              <w:top w:val="single" w:sz="8" w:color="51555C"/>
            </w:tcBorders>
          </w:tcPr>
          <w:p>
            <w:pPr>
              <w:spacing w:after="0"/>
              <w:rPr>
                <w:sz w:val="18"/>
                <w:szCs w:val="18"/>
                <w:color w:val="auto"/>
              </w:rPr>
            </w:pPr>
          </w:p>
        </w:tc>
        <w:tc>
          <w:tcPr>
            <w:tcW w:w="8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(15,404)</w:t>
            </w:r>
          </w:p>
        </w:tc>
        <w:tc>
          <w:tcPr>
            <w:tcW w:w="360" w:type="dxa"/>
            <w:vAlign w:val="bottom"/>
            <w:tcBorders>
              <w:top w:val="single" w:sz="8" w:color="51555C"/>
            </w:tcBorders>
          </w:tcPr>
          <w:p>
            <w:pPr>
              <w:spacing w:after="0"/>
              <w:rPr>
                <w:sz w:val="18"/>
                <w:szCs w:val="18"/>
                <w:color w:val="auto"/>
              </w:rPr>
            </w:pPr>
          </w:p>
        </w:tc>
        <w:tc>
          <w:tcPr>
            <w:tcW w:w="8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(4,196)</w:t>
            </w:r>
          </w:p>
        </w:tc>
        <w:tc>
          <w:tcPr>
            <w:tcW w:w="380" w:type="dxa"/>
            <w:vAlign w:val="bottom"/>
            <w:tcBorders>
              <w:top w:val="single" w:sz="8" w:color="51555C"/>
            </w:tcBorders>
          </w:tcPr>
          <w:p>
            <w:pPr>
              <w:spacing w:after="0"/>
              <w:rPr>
                <w:sz w:val="18"/>
                <w:szCs w:val="18"/>
                <w:color w:val="auto"/>
              </w:rPr>
            </w:pPr>
          </w:p>
        </w:tc>
        <w:tc>
          <w:tcPr>
            <w:tcW w:w="8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2,741</w:t>
            </w:r>
          </w:p>
        </w:tc>
      </w:tr>
      <w:tr>
        <w:trPr>
          <w:trHeight w:val="50"/>
        </w:trPr>
        <w:tc>
          <w:tcPr>
            <w:tcW w:w="760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40" w:type="dxa"/>
            <w:vAlign w:val="bottom"/>
            <w:tcBorders>
              <w:bottom w:val="single" w:sz="8" w:color="51555C"/>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r>
      <w:tr>
        <w:trPr>
          <w:trHeight w:val="263"/>
        </w:trPr>
        <w:tc>
          <w:tcPr>
            <w:tcW w:w="7600" w:type="dxa"/>
            <w:vAlign w:val="bottom"/>
            <w:tcBorders>
              <w:bottom w:val="single" w:sz="8" w:color="EBFBFF"/>
            </w:tcBorders>
            <w:shd w:val="clear" w:color="auto" w:fill="EBFBFF"/>
          </w:tcPr>
          <w:p>
            <w:pPr>
              <w:ind w:left="240"/>
              <w:spacing w:after="0" w:line="213" w:lineRule="exact"/>
              <w:rPr>
                <w:sz w:val="20"/>
                <w:szCs w:val="20"/>
                <w:color w:val="auto"/>
              </w:rPr>
            </w:pPr>
            <w:r>
              <w:rPr>
                <w:rFonts w:ascii="Calibri" w:cs="Calibri" w:eastAsia="Calibri" w:hAnsi="Calibri"/>
                <w:sz w:val="18"/>
                <w:szCs w:val="18"/>
                <w:color w:val="51555C"/>
              </w:rPr>
              <w:t>Net current-period other comprehensive (loss) income</w:t>
            </w:r>
          </w:p>
        </w:tc>
        <w:tc>
          <w:tcPr>
            <w:tcW w:w="360" w:type="dxa"/>
            <w:vAlign w:val="bottom"/>
            <w:tcBorders>
              <w:bottom w:val="single" w:sz="8" w:color="EBFBFF"/>
            </w:tcBorders>
            <w:shd w:val="clear" w:color="auto" w:fill="EBFBFF"/>
          </w:tcPr>
          <w:p>
            <w:pPr>
              <w:spacing w:after="0"/>
              <w:rPr>
                <w:sz w:val="22"/>
                <w:szCs w:val="22"/>
                <w:color w:val="auto"/>
              </w:rPr>
            </w:pPr>
          </w:p>
        </w:tc>
        <w:tc>
          <w:tcPr>
            <w:tcW w:w="8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(15,675)</w:t>
            </w:r>
          </w:p>
        </w:tc>
        <w:tc>
          <w:tcPr>
            <w:tcW w:w="360" w:type="dxa"/>
            <w:vAlign w:val="bottom"/>
            <w:tcBorders>
              <w:bottom w:val="single" w:sz="8" w:color="EBFBFF"/>
            </w:tcBorders>
            <w:shd w:val="clear" w:color="auto" w:fill="EBFBFF"/>
          </w:tcPr>
          <w:p>
            <w:pPr>
              <w:spacing w:after="0"/>
              <w:rPr>
                <w:sz w:val="22"/>
                <w:szCs w:val="22"/>
                <w:color w:val="auto"/>
              </w:rPr>
            </w:pPr>
          </w:p>
        </w:tc>
        <w:tc>
          <w:tcPr>
            <w:tcW w:w="8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18,576</w:t>
            </w:r>
          </w:p>
        </w:tc>
        <w:tc>
          <w:tcPr>
            <w:tcW w:w="380" w:type="dxa"/>
            <w:vAlign w:val="bottom"/>
            <w:tcBorders>
              <w:bottom w:val="single" w:sz="8" w:color="EBFBFF"/>
            </w:tcBorders>
            <w:shd w:val="clear" w:color="auto" w:fill="EBFBFF"/>
          </w:tcPr>
          <w:p>
            <w:pPr>
              <w:spacing w:after="0"/>
              <w:rPr>
                <w:sz w:val="22"/>
                <w:szCs w:val="22"/>
                <w:color w:val="auto"/>
              </w:rPr>
            </w:pPr>
          </w:p>
        </w:tc>
        <w:tc>
          <w:tcPr>
            <w:tcW w:w="8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8,358</w:t>
            </w:r>
          </w:p>
        </w:tc>
      </w:tr>
      <w:tr>
        <w:trPr>
          <w:trHeight w:val="213"/>
        </w:trPr>
        <w:tc>
          <w:tcPr>
            <w:tcW w:w="7600" w:type="dxa"/>
            <w:vAlign w:val="bottom"/>
          </w:tcPr>
          <w:p>
            <w:pPr>
              <w:ind w:left="240"/>
              <w:spacing w:after="0" w:line="213" w:lineRule="exact"/>
              <w:rPr>
                <w:sz w:val="20"/>
                <w:szCs w:val="20"/>
                <w:color w:val="auto"/>
              </w:rPr>
            </w:pPr>
            <w:r>
              <w:rPr>
                <w:rFonts w:ascii="Calibri" w:cs="Calibri" w:eastAsia="Calibri" w:hAnsi="Calibri"/>
                <w:sz w:val="18"/>
                <w:szCs w:val="18"/>
                <w:color w:val="51555C"/>
              </w:rPr>
              <w:t>Accumulated other comprehensive income balance, end of period</w:t>
            </w:r>
          </w:p>
        </w:tc>
        <w:tc>
          <w:tcPr>
            <w:tcW w:w="360" w:type="dxa"/>
            <w:vAlign w:val="bottom"/>
            <w:tcBorders>
              <w:top w:val="single" w:sz="8" w:color="51555C"/>
            </w:tcBorders>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8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8,158</w:t>
            </w:r>
          </w:p>
        </w:tc>
        <w:tc>
          <w:tcPr>
            <w:tcW w:w="360" w:type="dxa"/>
            <w:vAlign w:val="bottom"/>
            <w:tcBorders>
              <w:top w:val="single" w:sz="8" w:color="51555C"/>
            </w:tcBorders>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8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23,833</w:t>
            </w:r>
          </w:p>
        </w:tc>
        <w:tc>
          <w:tcPr>
            <w:tcW w:w="380" w:type="dxa"/>
            <w:vAlign w:val="bottom"/>
            <w:tcBorders>
              <w:top w:val="single" w:sz="8" w:color="51555C"/>
            </w:tcBorders>
          </w:tcPr>
          <w:p>
            <w:pPr>
              <w:jc w:val="right"/>
              <w:ind w:right="190"/>
              <w:spacing w:after="0" w:line="213" w:lineRule="exact"/>
              <w:rPr>
                <w:sz w:val="20"/>
                <w:szCs w:val="20"/>
                <w:color w:val="auto"/>
              </w:rPr>
            </w:pPr>
            <w:r>
              <w:rPr>
                <w:rFonts w:ascii="Calibri" w:cs="Calibri" w:eastAsia="Calibri" w:hAnsi="Calibri"/>
                <w:sz w:val="18"/>
                <w:szCs w:val="18"/>
                <w:color w:val="51555C"/>
                <w:w w:val="87"/>
              </w:rPr>
              <w:t>$</w:t>
            </w:r>
          </w:p>
        </w:tc>
        <w:tc>
          <w:tcPr>
            <w:tcW w:w="8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5,257</w:t>
            </w:r>
          </w:p>
        </w:tc>
      </w:tr>
      <w:tr>
        <w:trPr>
          <w:trHeight w:val="51"/>
        </w:trPr>
        <w:tc>
          <w:tcPr>
            <w:tcW w:w="760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40" w:type="dxa"/>
            <w:vAlign w:val="bottom"/>
            <w:tcBorders>
              <w:bottom w:val="single" w:sz="8" w:color="51555C"/>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r>
      <w:tr>
        <w:trPr>
          <w:trHeight w:val="230"/>
        </w:trPr>
        <w:tc>
          <w:tcPr>
            <w:tcW w:w="760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b w:val="1"/>
                <w:bCs w:val="1"/>
                <w:color w:val="51555C"/>
              </w:rPr>
              <w:t>Foreign currency translaton adjustment:</w:t>
            </w:r>
          </w:p>
        </w:tc>
        <w:tc>
          <w:tcPr>
            <w:tcW w:w="360" w:type="dxa"/>
            <w:vAlign w:val="bottom"/>
            <w:tcBorders>
              <w:bottom w:val="single" w:sz="8" w:color="EBFBFF"/>
            </w:tcBorders>
            <w:shd w:val="clear" w:color="auto" w:fill="EBFBFF"/>
          </w:tcPr>
          <w:p>
            <w:pPr>
              <w:spacing w:after="0"/>
              <w:rPr>
                <w:sz w:val="20"/>
                <w:szCs w:val="20"/>
                <w:color w:val="auto"/>
              </w:rPr>
            </w:pPr>
          </w:p>
        </w:tc>
        <w:tc>
          <w:tcPr>
            <w:tcW w:w="840" w:type="dxa"/>
            <w:vAlign w:val="bottom"/>
            <w:tcBorders>
              <w:bottom w:val="single" w:sz="8" w:color="EBFBFF"/>
            </w:tcBorders>
            <w:shd w:val="clear" w:color="auto" w:fill="EBFBFF"/>
          </w:tcPr>
          <w:p>
            <w:pPr>
              <w:spacing w:after="0"/>
              <w:rPr>
                <w:sz w:val="20"/>
                <w:szCs w:val="20"/>
                <w:color w:val="auto"/>
              </w:rPr>
            </w:pPr>
          </w:p>
        </w:tc>
        <w:tc>
          <w:tcPr>
            <w:tcW w:w="360" w:type="dxa"/>
            <w:vAlign w:val="bottom"/>
            <w:tcBorders>
              <w:bottom w:val="single" w:sz="8" w:color="EBFBFF"/>
            </w:tcBorders>
            <w:shd w:val="clear" w:color="auto" w:fill="EBFBFF"/>
          </w:tcPr>
          <w:p>
            <w:pPr>
              <w:spacing w:after="0"/>
              <w:rPr>
                <w:sz w:val="20"/>
                <w:szCs w:val="20"/>
                <w:color w:val="auto"/>
              </w:rPr>
            </w:pPr>
          </w:p>
        </w:tc>
        <w:tc>
          <w:tcPr>
            <w:tcW w:w="860" w:type="dxa"/>
            <w:vAlign w:val="bottom"/>
            <w:tcBorders>
              <w:bottom w:val="single" w:sz="8" w:color="EBFBFF"/>
            </w:tcBorders>
            <w:shd w:val="clear" w:color="auto" w:fill="EBFBFF"/>
          </w:tcPr>
          <w:p>
            <w:pPr>
              <w:spacing w:after="0"/>
              <w:rPr>
                <w:sz w:val="20"/>
                <w:szCs w:val="20"/>
                <w:color w:val="auto"/>
              </w:rPr>
            </w:pPr>
          </w:p>
        </w:tc>
        <w:tc>
          <w:tcPr>
            <w:tcW w:w="380" w:type="dxa"/>
            <w:vAlign w:val="bottom"/>
            <w:tcBorders>
              <w:bottom w:val="single" w:sz="8" w:color="EBFBFF"/>
            </w:tcBorders>
            <w:shd w:val="clear" w:color="auto" w:fill="EBFBFF"/>
          </w:tcPr>
          <w:p>
            <w:pPr>
              <w:spacing w:after="0"/>
              <w:rPr>
                <w:sz w:val="20"/>
                <w:szCs w:val="20"/>
                <w:color w:val="auto"/>
              </w:rPr>
            </w:pPr>
          </w:p>
        </w:tc>
        <w:tc>
          <w:tcPr>
            <w:tcW w:w="820" w:type="dxa"/>
            <w:vAlign w:val="bottom"/>
            <w:tcBorders>
              <w:bottom w:val="single" w:sz="8" w:color="EBFBFF"/>
            </w:tcBorders>
            <w:shd w:val="clear" w:color="auto" w:fill="EBFBFF"/>
          </w:tcPr>
          <w:p>
            <w:pPr>
              <w:spacing w:after="0"/>
              <w:rPr>
                <w:sz w:val="20"/>
                <w:szCs w:val="20"/>
                <w:color w:val="auto"/>
              </w:rPr>
            </w:pPr>
          </w:p>
        </w:tc>
      </w:tr>
      <w:tr>
        <w:trPr>
          <w:trHeight w:val="219"/>
        </w:trPr>
        <w:tc>
          <w:tcPr>
            <w:tcW w:w="7600" w:type="dxa"/>
            <w:vAlign w:val="bottom"/>
          </w:tcPr>
          <w:p>
            <w:pPr>
              <w:ind w:left="240"/>
              <w:spacing w:after="0"/>
              <w:rPr>
                <w:sz w:val="20"/>
                <w:szCs w:val="20"/>
                <w:color w:val="auto"/>
              </w:rPr>
            </w:pPr>
            <w:r>
              <w:rPr>
                <w:rFonts w:ascii="Calibri" w:cs="Calibri" w:eastAsia="Calibri" w:hAnsi="Calibri"/>
                <w:sz w:val="18"/>
                <w:szCs w:val="18"/>
                <w:color w:val="51555C"/>
              </w:rPr>
              <w:t>Accumulated other comprehensive (loss) income balance, beginning of period</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840" w:type="dxa"/>
            <w:vAlign w:val="bottom"/>
          </w:tcPr>
          <w:p>
            <w:pPr>
              <w:jc w:val="right"/>
              <w:spacing w:after="0"/>
              <w:rPr>
                <w:sz w:val="20"/>
                <w:szCs w:val="20"/>
                <w:color w:val="auto"/>
              </w:rPr>
            </w:pPr>
            <w:r>
              <w:rPr>
                <w:rFonts w:ascii="Calibri" w:cs="Calibri" w:eastAsia="Calibri" w:hAnsi="Calibri"/>
                <w:sz w:val="18"/>
                <w:szCs w:val="18"/>
                <w:color w:val="51555C"/>
              </w:rPr>
              <w:t>(14,895)</w:t>
            </w:r>
          </w:p>
        </w:tc>
        <w:tc>
          <w:tcPr>
            <w:tcW w:w="360" w:type="dxa"/>
            <w:vAlign w:val="bottom"/>
          </w:tcPr>
          <w:p>
            <w:pPr>
              <w:jc w:val="right"/>
              <w:ind w:right="150"/>
              <w:spacing w:after="0"/>
              <w:rPr>
                <w:sz w:val="20"/>
                <w:szCs w:val="20"/>
                <w:color w:val="auto"/>
              </w:rPr>
            </w:pPr>
            <w:r>
              <w:rPr>
                <w:rFonts w:ascii="Calibri" w:cs="Calibri" w:eastAsia="Calibri" w:hAnsi="Calibri"/>
                <w:sz w:val="18"/>
                <w:szCs w:val="18"/>
                <w:color w:val="51555C"/>
              </w:rPr>
              <w:t>$</w:t>
            </w:r>
          </w:p>
        </w:tc>
        <w:tc>
          <w:tcPr>
            <w:tcW w:w="860" w:type="dxa"/>
            <w:vAlign w:val="bottom"/>
          </w:tcPr>
          <w:p>
            <w:pPr>
              <w:jc w:val="right"/>
              <w:spacing w:after="0"/>
              <w:rPr>
                <w:sz w:val="20"/>
                <w:szCs w:val="20"/>
                <w:color w:val="auto"/>
              </w:rPr>
            </w:pPr>
            <w:r>
              <w:rPr>
                <w:rFonts w:ascii="Calibri" w:cs="Calibri" w:eastAsia="Calibri" w:hAnsi="Calibri"/>
                <w:sz w:val="18"/>
                <w:szCs w:val="18"/>
                <w:color w:val="51555C"/>
              </w:rPr>
              <w:t>1,265</w:t>
            </w:r>
          </w:p>
        </w:tc>
        <w:tc>
          <w:tcPr>
            <w:tcW w:w="380" w:type="dxa"/>
            <w:vAlign w:val="bottom"/>
          </w:tcPr>
          <w:p>
            <w:pPr>
              <w:jc w:val="right"/>
              <w:ind w:right="190"/>
              <w:spacing w:after="0"/>
              <w:rPr>
                <w:sz w:val="20"/>
                <w:szCs w:val="20"/>
                <w:color w:val="auto"/>
              </w:rPr>
            </w:pPr>
            <w:r>
              <w:rPr>
                <w:rFonts w:ascii="Calibri" w:cs="Calibri" w:eastAsia="Calibri" w:hAnsi="Calibri"/>
                <w:sz w:val="18"/>
                <w:szCs w:val="18"/>
                <w:color w:val="51555C"/>
                <w:w w:val="87"/>
              </w:rPr>
              <w:t>$</w:t>
            </w:r>
          </w:p>
        </w:tc>
        <w:tc>
          <w:tcPr>
            <w:tcW w:w="820" w:type="dxa"/>
            <w:vAlign w:val="bottom"/>
          </w:tcPr>
          <w:p>
            <w:pPr>
              <w:jc w:val="right"/>
              <w:spacing w:after="0"/>
              <w:rPr>
                <w:sz w:val="20"/>
                <w:szCs w:val="20"/>
                <w:color w:val="auto"/>
              </w:rPr>
            </w:pPr>
            <w:r>
              <w:rPr>
                <w:rFonts w:ascii="Calibri" w:cs="Calibri" w:eastAsia="Calibri" w:hAnsi="Calibri"/>
                <w:sz w:val="18"/>
                <w:szCs w:val="18"/>
                <w:color w:val="51555C"/>
              </w:rPr>
              <w:t>604</w:t>
            </w:r>
          </w:p>
        </w:tc>
      </w:tr>
      <w:tr>
        <w:trPr>
          <w:trHeight w:val="51"/>
        </w:trPr>
        <w:tc>
          <w:tcPr>
            <w:tcW w:w="7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7600" w:type="dxa"/>
            <w:vAlign w:val="bottom"/>
            <w:tcBorders>
              <w:bottom w:val="single" w:sz="8" w:color="EBFBFF"/>
            </w:tcBorders>
            <w:shd w:val="clear" w:color="auto" w:fill="EBFBFF"/>
          </w:tcPr>
          <w:p>
            <w:pPr>
              <w:ind w:left="240"/>
              <w:spacing w:after="0"/>
              <w:rPr>
                <w:sz w:val="20"/>
                <w:szCs w:val="20"/>
                <w:color w:val="auto"/>
              </w:rPr>
            </w:pPr>
            <w:r>
              <w:rPr>
                <w:rFonts w:ascii="Calibri" w:cs="Calibri" w:eastAsia="Calibri" w:hAnsi="Calibri"/>
                <w:sz w:val="18"/>
                <w:szCs w:val="18"/>
                <w:color w:val="51555C"/>
              </w:rPr>
              <w:t>Translaton adjustment</w:t>
            </w:r>
          </w:p>
        </w:tc>
        <w:tc>
          <w:tcPr>
            <w:tcW w:w="360" w:type="dxa"/>
            <w:vAlign w:val="bottom"/>
            <w:tcBorders>
              <w:bottom w:val="single" w:sz="8" w:color="EBFBFF"/>
            </w:tcBorders>
            <w:shd w:val="clear" w:color="auto" w:fill="EBFBFF"/>
          </w:tcPr>
          <w:p>
            <w:pPr>
              <w:spacing w:after="0"/>
              <w:rPr>
                <w:sz w:val="23"/>
                <w:szCs w:val="23"/>
                <w:color w:val="auto"/>
              </w:rPr>
            </w:pPr>
          </w:p>
        </w:tc>
        <w:tc>
          <w:tcPr>
            <w:tcW w:w="8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5,049</w:t>
            </w:r>
          </w:p>
        </w:tc>
        <w:tc>
          <w:tcPr>
            <w:tcW w:w="36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(16,160)</w:t>
            </w:r>
          </w:p>
        </w:tc>
        <w:tc>
          <w:tcPr>
            <w:tcW w:w="380" w:type="dxa"/>
            <w:vAlign w:val="bottom"/>
            <w:tcBorders>
              <w:bottom w:val="single" w:sz="8" w:color="EBFBFF"/>
            </w:tcBorders>
            <w:shd w:val="clear" w:color="auto" w:fill="EBFBFF"/>
          </w:tcPr>
          <w:p>
            <w:pPr>
              <w:spacing w:after="0"/>
              <w:rPr>
                <w:sz w:val="23"/>
                <w:szCs w:val="23"/>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661</w:t>
            </w:r>
          </w:p>
        </w:tc>
      </w:tr>
      <w:tr>
        <w:trPr>
          <w:trHeight w:val="213"/>
        </w:trPr>
        <w:tc>
          <w:tcPr>
            <w:tcW w:w="7600" w:type="dxa"/>
            <w:vAlign w:val="bottom"/>
          </w:tcPr>
          <w:p>
            <w:pPr>
              <w:ind w:left="240"/>
              <w:spacing w:after="0" w:line="213" w:lineRule="exact"/>
              <w:rPr>
                <w:sz w:val="20"/>
                <w:szCs w:val="20"/>
                <w:color w:val="auto"/>
              </w:rPr>
            </w:pPr>
            <w:r>
              <w:rPr>
                <w:rFonts w:ascii="Calibri" w:cs="Calibri" w:eastAsia="Calibri" w:hAnsi="Calibri"/>
                <w:sz w:val="18"/>
                <w:szCs w:val="18"/>
                <w:color w:val="51555C"/>
              </w:rPr>
              <w:t>Accumulated other comprehensive (loss) income balance, end of period</w:t>
            </w:r>
          </w:p>
        </w:tc>
        <w:tc>
          <w:tcPr>
            <w:tcW w:w="360" w:type="dxa"/>
            <w:vAlign w:val="bottom"/>
            <w:tcBorders>
              <w:top w:val="single" w:sz="8" w:color="51555C"/>
            </w:tcBorders>
          </w:tcPr>
          <w:p>
            <w:pPr>
              <w:spacing w:after="0"/>
              <w:rPr>
                <w:sz w:val="18"/>
                <w:szCs w:val="18"/>
                <w:color w:val="auto"/>
              </w:rPr>
            </w:pPr>
          </w:p>
        </w:tc>
        <w:tc>
          <w:tcPr>
            <w:tcW w:w="8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(9,846)</w:t>
            </w:r>
          </w:p>
        </w:tc>
        <w:tc>
          <w:tcPr>
            <w:tcW w:w="360" w:type="dxa"/>
            <w:vAlign w:val="bottom"/>
            <w:tcBorders>
              <w:top w:val="single" w:sz="8" w:color="51555C"/>
            </w:tcBorders>
          </w:tcPr>
          <w:p>
            <w:pPr>
              <w:spacing w:after="0"/>
              <w:rPr>
                <w:sz w:val="18"/>
                <w:szCs w:val="18"/>
                <w:color w:val="auto"/>
              </w:rPr>
            </w:pPr>
          </w:p>
        </w:tc>
        <w:tc>
          <w:tcPr>
            <w:tcW w:w="8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(14,895)</w:t>
            </w:r>
          </w:p>
        </w:tc>
        <w:tc>
          <w:tcPr>
            <w:tcW w:w="380" w:type="dxa"/>
            <w:vAlign w:val="bottom"/>
            <w:tcBorders>
              <w:top w:val="single" w:sz="8" w:color="51555C"/>
            </w:tcBorders>
          </w:tcPr>
          <w:p>
            <w:pPr>
              <w:spacing w:after="0"/>
              <w:rPr>
                <w:sz w:val="18"/>
                <w:szCs w:val="18"/>
                <w:color w:val="auto"/>
              </w:rPr>
            </w:pPr>
          </w:p>
        </w:tc>
        <w:tc>
          <w:tcPr>
            <w:tcW w:w="8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1,265</w:t>
            </w:r>
          </w:p>
        </w:tc>
      </w:tr>
      <w:tr>
        <w:trPr>
          <w:trHeight w:val="50"/>
        </w:trPr>
        <w:tc>
          <w:tcPr>
            <w:tcW w:w="760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40" w:type="dxa"/>
            <w:vAlign w:val="bottom"/>
            <w:tcBorders>
              <w:bottom w:val="single" w:sz="8" w:color="51555C"/>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c>
          <w:tcPr>
            <w:tcW w:w="380" w:type="dxa"/>
            <w:vAlign w:val="bottom"/>
            <w:tcBorders>
              <w:bottom w:val="single" w:sz="8" w:color="51555C"/>
            </w:tcBorders>
          </w:tcPr>
          <w:p>
            <w:pPr>
              <w:spacing w:after="0"/>
              <w:rPr>
                <w:sz w:val="4"/>
                <w:szCs w:val="4"/>
                <w:color w:val="auto"/>
              </w:rPr>
            </w:pPr>
          </w:p>
        </w:tc>
        <w:tc>
          <w:tcPr>
            <w:tcW w:w="820" w:type="dxa"/>
            <w:vAlign w:val="bottom"/>
            <w:tcBorders>
              <w:bottom w:val="single" w:sz="8" w:color="51555C"/>
            </w:tcBorders>
          </w:tcPr>
          <w:p>
            <w:pPr>
              <w:spacing w:after="0"/>
              <w:rPr>
                <w:sz w:val="4"/>
                <w:szCs w:val="4"/>
                <w:color w:val="auto"/>
              </w:rPr>
            </w:pPr>
          </w:p>
        </w:tc>
      </w:tr>
      <w:tr>
        <w:trPr>
          <w:trHeight w:val="244"/>
        </w:trPr>
        <w:tc>
          <w:tcPr>
            <w:tcW w:w="7600" w:type="dxa"/>
            <w:vAlign w:val="bottom"/>
            <w:tcBorders>
              <w:bottom w:val="single" w:sz="8" w:color="EBFBFF"/>
            </w:tcBorders>
            <w:shd w:val="clear" w:color="auto" w:fill="EBFBFF"/>
          </w:tcPr>
          <w:p>
            <w:pPr>
              <w:ind w:left="20"/>
              <w:spacing w:after="0" w:line="213" w:lineRule="exact"/>
              <w:rPr>
                <w:sz w:val="20"/>
                <w:szCs w:val="20"/>
                <w:color w:val="auto"/>
              </w:rPr>
            </w:pPr>
            <w:r>
              <w:rPr>
                <w:rFonts w:ascii="Calibri" w:cs="Calibri" w:eastAsia="Calibri" w:hAnsi="Calibri"/>
                <w:sz w:val="18"/>
                <w:szCs w:val="18"/>
                <w:b w:val="1"/>
                <w:bCs w:val="1"/>
                <w:color w:val="51555C"/>
              </w:rPr>
              <w:t>Accumulated other comprehensive (loss) income, end of period</w:t>
            </w:r>
          </w:p>
        </w:tc>
        <w:tc>
          <w:tcPr>
            <w:tcW w:w="360" w:type="dxa"/>
            <w:vAlign w:val="bottom"/>
            <w:tcBorders>
              <w:bottom w:val="single" w:sz="8" w:color="EBFBFF"/>
            </w:tcBorders>
            <w:shd w:val="clear" w:color="auto" w:fill="EBFBFF"/>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8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(1,688)</w:t>
            </w:r>
          </w:p>
        </w:tc>
        <w:tc>
          <w:tcPr>
            <w:tcW w:w="360" w:type="dxa"/>
            <w:vAlign w:val="bottom"/>
            <w:tcBorders>
              <w:bottom w:val="single" w:sz="8" w:color="EBFBFF"/>
            </w:tcBorders>
            <w:shd w:val="clear" w:color="auto" w:fill="EBFBFF"/>
          </w:tcPr>
          <w:p>
            <w:pPr>
              <w:jc w:val="right"/>
              <w:ind w:right="150"/>
              <w:spacing w:after="0" w:line="213" w:lineRule="exact"/>
              <w:rPr>
                <w:sz w:val="20"/>
                <w:szCs w:val="20"/>
                <w:color w:val="auto"/>
              </w:rPr>
            </w:pPr>
            <w:r>
              <w:rPr>
                <w:rFonts w:ascii="Calibri" w:cs="Calibri" w:eastAsia="Calibri" w:hAnsi="Calibri"/>
                <w:sz w:val="18"/>
                <w:szCs w:val="18"/>
                <w:color w:val="51555C"/>
              </w:rPr>
              <w:t>$</w:t>
            </w:r>
          </w:p>
        </w:tc>
        <w:tc>
          <w:tcPr>
            <w:tcW w:w="8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8,938</w:t>
            </w:r>
          </w:p>
        </w:tc>
        <w:tc>
          <w:tcPr>
            <w:tcW w:w="380" w:type="dxa"/>
            <w:vAlign w:val="bottom"/>
            <w:tcBorders>
              <w:bottom w:val="single" w:sz="8" w:color="EBFBFF"/>
            </w:tcBorders>
            <w:shd w:val="clear" w:color="auto" w:fill="EBFBFF"/>
          </w:tcPr>
          <w:p>
            <w:pPr>
              <w:jc w:val="right"/>
              <w:ind w:right="190"/>
              <w:spacing w:after="0" w:line="213" w:lineRule="exact"/>
              <w:rPr>
                <w:sz w:val="20"/>
                <w:szCs w:val="20"/>
                <w:color w:val="auto"/>
              </w:rPr>
            </w:pPr>
            <w:r>
              <w:rPr>
                <w:rFonts w:ascii="Calibri" w:cs="Calibri" w:eastAsia="Calibri" w:hAnsi="Calibri"/>
                <w:sz w:val="18"/>
                <w:szCs w:val="18"/>
                <w:color w:val="51555C"/>
                <w:w w:val="87"/>
              </w:rPr>
              <w:t>$</w:t>
            </w:r>
          </w:p>
        </w:tc>
        <w:tc>
          <w:tcPr>
            <w:tcW w:w="8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6,522</w:t>
            </w:r>
          </w:p>
        </w:tc>
      </w:tr>
      <w:tr>
        <w:trPr>
          <w:trHeight w:val="20"/>
        </w:trPr>
        <w:tc>
          <w:tcPr>
            <w:tcW w:w="760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84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-2957195</wp:posOffset>
            </wp:positionV>
            <wp:extent cx="229743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15. Defned Contributon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We have a defned contributon 401(k) plan (the "401K Plan") covering substantally all employees. Employees were able to contribute between 1% and 75% of their salaries in 2023, 2022 and 2021. We match 50% of qualifed employees’ contributons up to 6% of their salary. The 401K Plan also provides for additonal employer contributons to be made at our discreton. Total matching contributons to the 401K Plan for the years ended December 31, 2023, 2022 and 2021 were $7.8 million, $9.3 million and $6.5 million, respectvely.</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There were no discretonary contributons by us to the 401K Plan in 2023, 2022 and 2021.</w:t>
      </w:r>
    </w:p>
    <w:p>
      <w:pPr>
        <w:spacing w:after="0" w:line="323"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108</w:t>
      </w:r>
      <w:r>
        <w:rPr>
          <w:sz w:val="20"/>
          <w:szCs w:val="20"/>
          <w:color w:val="auto"/>
        </w:rPr>
        <w:tab/>
      </w:r>
      <w:r>
        <w:rPr>
          <w:sz w:val="1"/>
          <w:szCs w:val="1"/>
          <w:color w:val="auto"/>
        </w:rPr>
        <w:drawing>
          <wp:inline distT="0" distB="0" distL="0" distR="0">
            <wp:extent cx="728345" cy="188595"/>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16. Segment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Our chief operatng decision maker is our chief executve ofcer ("CEO"). Our CEO uses consolidated fnancial informaton to make operatng decisions, assess fnancial performance and allocate resources. We have one operatng segment and one reportable segment.</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following table presents long-lived assets by geographic region based on the locaton of the assets. For purposes of this disclosure, long-lived assets includes property and equipment, net and operatng lease ROU assets.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720" w:type="dxa"/>
            <w:vAlign w:val="bottom"/>
            <w:shd w:val="clear" w:color="auto" w:fill="004054"/>
          </w:tcPr>
          <w:p>
            <w:pPr>
              <w:spacing w:after="0"/>
              <w:rPr>
                <w:sz w:val="15"/>
                <w:szCs w:val="15"/>
                <w:color w:val="auto"/>
              </w:rPr>
            </w:pPr>
          </w:p>
        </w:tc>
        <w:tc>
          <w:tcPr>
            <w:tcW w:w="360" w:type="dxa"/>
            <w:vAlign w:val="bottom"/>
            <w:shd w:val="clear" w:color="auto" w:fill="004054"/>
          </w:tcPr>
          <w:p>
            <w:pPr>
              <w:spacing w:after="0"/>
              <w:rPr>
                <w:sz w:val="15"/>
                <w:szCs w:val="15"/>
                <w:color w:val="auto"/>
              </w:rPr>
            </w:pPr>
          </w:p>
        </w:tc>
        <w:tc>
          <w:tcPr>
            <w:tcW w:w="90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w:t>
            </w:r>
          </w:p>
        </w:tc>
        <w:tc>
          <w:tcPr>
            <w:tcW w:w="20" w:type="dxa"/>
            <w:vAlign w:val="bottom"/>
            <w:shd w:val="clear" w:color="auto" w:fill="004054"/>
          </w:tcPr>
          <w:p>
            <w:pPr>
              <w:spacing w:after="0"/>
              <w:rPr>
                <w:sz w:val="15"/>
                <w:szCs w:val="15"/>
                <w:color w:val="auto"/>
              </w:rPr>
            </w:pPr>
          </w:p>
        </w:tc>
      </w:tr>
      <w:tr>
        <w:trPr>
          <w:trHeight w:val="170"/>
        </w:trPr>
        <w:tc>
          <w:tcPr>
            <w:tcW w:w="8720" w:type="dxa"/>
            <w:vAlign w:val="bottom"/>
            <w:shd w:val="clear" w:color="auto" w:fill="004054"/>
          </w:tcPr>
          <w:p>
            <w:pPr>
              <w:spacing w:after="0"/>
              <w:rPr>
                <w:sz w:val="14"/>
                <w:szCs w:val="14"/>
                <w:color w:val="auto"/>
              </w:rPr>
            </w:pPr>
          </w:p>
        </w:tc>
        <w:tc>
          <w:tcPr>
            <w:tcW w:w="360" w:type="dxa"/>
            <w:vAlign w:val="bottom"/>
            <w:shd w:val="clear" w:color="auto" w:fill="004054"/>
          </w:tcPr>
          <w:p>
            <w:pPr>
              <w:spacing w:after="0"/>
              <w:rPr>
                <w:sz w:val="14"/>
                <w:szCs w:val="14"/>
                <w:color w:val="auto"/>
              </w:rPr>
            </w:pPr>
          </w:p>
        </w:tc>
        <w:tc>
          <w:tcPr>
            <w:tcW w:w="900" w:type="dxa"/>
            <w:vAlign w:val="bottom"/>
            <w:shd w:val="clear" w:color="auto" w:fill="004054"/>
          </w:tcPr>
          <w:p>
            <w:pPr>
              <w:spacing w:after="0"/>
              <w:rPr>
                <w:sz w:val="14"/>
                <w:szCs w:val="14"/>
                <w:color w:val="auto"/>
              </w:rPr>
            </w:pPr>
          </w:p>
        </w:tc>
        <w:tc>
          <w:tcPr>
            <w:tcW w:w="260" w:type="dxa"/>
            <w:vAlign w:val="bottom"/>
            <w:shd w:val="clear" w:color="auto" w:fill="004054"/>
          </w:tcPr>
          <w:p>
            <w:pPr>
              <w:spacing w:after="0"/>
              <w:rPr>
                <w:sz w:val="14"/>
                <w:szCs w:val="14"/>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4"/>
                <w:szCs w:val="14"/>
                <w:color w:val="auto"/>
              </w:rPr>
            </w:pPr>
          </w:p>
        </w:tc>
      </w:tr>
      <w:tr>
        <w:trPr>
          <w:trHeight w:val="257"/>
        </w:trPr>
        <w:tc>
          <w:tcPr>
            <w:tcW w:w="872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360" w:type="dxa"/>
            <w:vAlign w:val="bottom"/>
            <w:shd w:val="clear" w:color="auto" w:fill="004054"/>
          </w:tcPr>
          <w:p>
            <w:pPr>
              <w:spacing w:after="0"/>
              <w:rPr>
                <w:sz w:val="22"/>
                <w:szCs w:val="22"/>
                <w:color w:val="auto"/>
              </w:rPr>
            </w:pPr>
          </w:p>
        </w:tc>
        <w:tc>
          <w:tcPr>
            <w:tcW w:w="9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60" w:type="dxa"/>
            <w:vAlign w:val="bottom"/>
            <w:shd w:val="clear" w:color="auto" w:fill="004054"/>
          </w:tcPr>
          <w:p>
            <w:pPr>
              <w:spacing w:after="0"/>
              <w:rPr>
                <w:sz w:val="22"/>
                <w:szCs w:val="22"/>
                <w:color w:val="auto"/>
              </w:rPr>
            </w:pPr>
          </w:p>
        </w:tc>
        <w:tc>
          <w:tcPr>
            <w:tcW w:w="10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22"/>
                <w:szCs w:val="22"/>
                <w:color w:val="auto"/>
              </w:rPr>
            </w:pPr>
          </w:p>
        </w:tc>
      </w:tr>
      <w:tr>
        <w:trPr>
          <w:trHeight w:val="74"/>
        </w:trPr>
        <w:tc>
          <w:tcPr>
            <w:tcW w:w="8720" w:type="dxa"/>
            <w:vAlign w:val="bottom"/>
            <w:shd w:val="clear" w:color="auto" w:fill="004054"/>
          </w:tcPr>
          <w:p>
            <w:pPr>
              <w:spacing w:after="0"/>
              <w:rPr>
                <w:sz w:val="6"/>
                <w:szCs w:val="6"/>
                <w:color w:val="auto"/>
              </w:rPr>
            </w:pPr>
          </w:p>
        </w:tc>
        <w:tc>
          <w:tcPr>
            <w:tcW w:w="36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10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872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United States</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134,316</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Calibri" w:cs="Calibri" w:eastAsia="Calibri" w:hAnsi="Calibri"/>
                <w:sz w:val="18"/>
                <w:szCs w:val="18"/>
                <w:color w:val="51555C"/>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151,656</w:t>
            </w:r>
          </w:p>
        </w:tc>
        <w:tc>
          <w:tcPr>
            <w:tcW w:w="20" w:type="dxa"/>
            <w:vAlign w:val="bottom"/>
          </w:tcPr>
          <w:p>
            <w:pPr>
              <w:spacing w:after="0"/>
              <w:rPr>
                <w:sz w:val="21"/>
                <w:szCs w:val="21"/>
                <w:color w:val="auto"/>
              </w:rPr>
            </w:pPr>
          </w:p>
        </w:tc>
      </w:tr>
      <w:tr>
        <w:trPr>
          <w:trHeight w:val="220"/>
        </w:trPr>
        <w:tc>
          <w:tcPr>
            <w:tcW w:w="8720" w:type="dxa"/>
            <w:vAlign w:val="bottom"/>
          </w:tcPr>
          <w:p>
            <w:pPr>
              <w:ind w:left="20"/>
              <w:spacing w:after="0"/>
              <w:rPr>
                <w:sz w:val="20"/>
                <w:szCs w:val="20"/>
                <w:color w:val="auto"/>
              </w:rPr>
            </w:pPr>
            <w:r>
              <w:rPr>
                <w:rFonts w:ascii="Calibri" w:cs="Calibri" w:eastAsia="Calibri" w:hAnsi="Calibri"/>
                <w:sz w:val="18"/>
                <w:szCs w:val="18"/>
                <w:color w:val="51555C"/>
              </w:rPr>
              <w:t>Other countries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1,300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51555C"/>
              </w:rPr>
              <w:t>1,669</w:t>
            </w:r>
          </w:p>
        </w:tc>
        <w:tc>
          <w:tcPr>
            <w:tcW w:w="20" w:type="dxa"/>
            <w:vAlign w:val="bottom"/>
          </w:tcPr>
          <w:p>
            <w:pPr>
              <w:spacing w:after="0"/>
              <w:rPr>
                <w:sz w:val="19"/>
                <w:szCs w:val="19"/>
                <w:color w:val="auto"/>
              </w:rPr>
            </w:pPr>
          </w:p>
        </w:tc>
      </w:tr>
      <w:tr>
        <w:trPr>
          <w:trHeight w:val="50"/>
        </w:trPr>
        <w:tc>
          <w:tcPr>
            <w:tcW w:w="8720" w:type="dxa"/>
            <w:vAlign w:val="bottom"/>
            <w:tcBorders>
              <w:bottom w:val="single" w:sz="8" w:color="EBFBFF"/>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90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100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8720" w:type="dxa"/>
            <w:vAlign w:val="bottom"/>
            <w:tcBorders>
              <w:bottom w:val="single" w:sz="8" w:color="EBFBFF"/>
            </w:tcBorders>
            <w:shd w:val="clear" w:color="auto" w:fill="EBFBFF"/>
          </w:tcPr>
          <w:p>
            <w:pPr>
              <w:ind w:left="140"/>
              <w:spacing w:after="0"/>
              <w:rPr>
                <w:sz w:val="20"/>
                <w:szCs w:val="20"/>
                <w:color w:val="auto"/>
              </w:rPr>
            </w:pPr>
            <w:r>
              <w:rPr>
                <w:rFonts w:ascii="Calibri" w:cs="Calibri" w:eastAsia="Calibri" w:hAnsi="Calibri"/>
                <w:sz w:val="18"/>
                <w:szCs w:val="18"/>
                <w:color w:val="51555C"/>
              </w:rPr>
              <w:t>Total long-lived assets</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Calibri" w:cs="Calibri" w:eastAsia="Calibri" w:hAnsi="Calibri"/>
                <w:sz w:val="18"/>
                <w:szCs w:val="18"/>
                <w:color w:val="51555C"/>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135,616</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Calibri" w:cs="Calibri" w:eastAsia="Calibri" w:hAnsi="Calibri"/>
                <w:sz w:val="18"/>
                <w:szCs w:val="18"/>
                <w:color w:val="51555C"/>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153,325</w:t>
            </w:r>
          </w:p>
        </w:tc>
        <w:tc>
          <w:tcPr>
            <w:tcW w:w="20" w:type="dxa"/>
            <w:vAlign w:val="bottom"/>
          </w:tcPr>
          <w:p>
            <w:pPr>
              <w:spacing w:after="0"/>
              <w:rPr>
                <w:sz w:val="24"/>
                <w:szCs w:val="24"/>
                <w:color w:val="auto"/>
              </w:rPr>
            </w:pPr>
          </w:p>
        </w:tc>
      </w:tr>
      <w:tr>
        <w:trPr>
          <w:trHeight w:val="20"/>
        </w:trPr>
        <w:tc>
          <w:tcPr>
            <w:tcW w:w="872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-719455</wp:posOffset>
            </wp:positionV>
            <wp:extent cx="160274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color w:val="51555C"/>
        </w:rPr>
        <w:t>See Note 17 to these consolidated fnancial statements for informaton about our revenues by geographic region.</w:t>
      </w:r>
    </w:p>
    <w:p>
      <w:pPr>
        <w:spacing w:after="0" w:line="198"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17. Revenue Recogniton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Transacton price allocated to the remaining performance obligatons</w:t>
      </w:r>
    </w:p>
    <w:p>
      <w:pPr>
        <w:spacing w:after="0" w:line="16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51555C"/>
        </w:rPr>
        <w:t>As of December 31, 2023, approximately $1.2 billion of revenue is expected to be recognized from remaining performance obligatons. We expect to recognize revenue on approximately 50% of these remaining performance obligatons over the next 12 months, with the remainder recognized thereafer.</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applied the practcal expedient in ASC 606-10-50-14 and have excluded the value of unsatsfed performance obligatons for (i) contracts with an original expected length of one year or less (one-tme services); and (ii) contracts for which we recognize revenue at the amount to which we have the right to invoice for services performed (transactonal revenue).</w:t>
      </w:r>
    </w:p>
    <w:p>
      <w:pPr>
        <w:spacing w:after="0" w:line="16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We also applied the practcal expedient in ASC 606-10-65-1-(f)(3), whereby the transacton price allocated to the remaining performance obligatons, or an explanaton of when we expect to recognize that amount as revenue for all reportng periods presented before the date of the inital applicaton, is not disclosed.</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Contract balances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Our contract assets as of December 31, 2023 and December 31, 2022 were insignifcant. Our closing balances of deferred revenue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460" w:type="dxa"/>
            <w:vAlign w:val="bottom"/>
            <w:shd w:val="clear" w:color="auto" w:fill="004054"/>
          </w:tcPr>
          <w:p>
            <w:pPr>
              <w:spacing w:after="0"/>
              <w:rPr>
                <w:sz w:val="16"/>
                <w:szCs w:val="16"/>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170"/>
        </w:trPr>
        <w:tc>
          <w:tcPr>
            <w:tcW w:w="79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(in thousands)</w:t>
            </w:r>
          </w:p>
        </w:tc>
        <w:tc>
          <w:tcPr>
            <w:tcW w:w="44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460" w:type="dxa"/>
            <w:vAlign w:val="bottom"/>
            <w:shd w:val="clear" w:color="auto" w:fill="004054"/>
          </w:tcPr>
          <w:p>
            <w:pPr>
              <w:spacing w:after="0"/>
              <w:rPr>
                <w:sz w:val="14"/>
                <w:szCs w:val="14"/>
                <w:color w:val="auto"/>
              </w:rPr>
            </w:pPr>
          </w:p>
        </w:tc>
        <w:tc>
          <w:tcPr>
            <w:tcW w:w="118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0" w:type="dxa"/>
            <w:vAlign w:val="bottom"/>
            <w:shd w:val="clear" w:color="auto" w:fill="004054"/>
          </w:tcPr>
          <w:p>
            <w:pPr>
              <w:spacing w:after="0"/>
              <w:rPr>
                <w:sz w:val="14"/>
                <w:szCs w:val="14"/>
                <w:color w:val="auto"/>
              </w:rPr>
            </w:pPr>
          </w:p>
        </w:tc>
      </w:tr>
      <w:tr>
        <w:trPr>
          <w:trHeight w:val="74"/>
        </w:trPr>
        <w:tc>
          <w:tcPr>
            <w:tcW w:w="7980" w:type="dxa"/>
            <w:vAlign w:val="bottom"/>
            <w:shd w:val="clear" w:color="auto" w:fill="004054"/>
          </w:tcPr>
          <w:p>
            <w:pPr>
              <w:spacing w:after="0"/>
              <w:rPr>
                <w:sz w:val="6"/>
                <w:szCs w:val="6"/>
                <w:color w:val="auto"/>
              </w:rPr>
            </w:pPr>
          </w:p>
        </w:tc>
        <w:tc>
          <w:tcPr>
            <w:tcW w:w="44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460" w:type="dxa"/>
            <w:vAlign w:val="bottom"/>
            <w:shd w:val="clear" w:color="auto" w:fill="004054"/>
          </w:tcPr>
          <w:p>
            <w:pPr>
              <w:spacing w:after="0"/>
              <w:rPr>
                <w:sz w:val="6"/>
                <w:szCs w:val="6"/>
                <w:color w:val="auto"/>
              </w:rPr>
            </w:pPr>
          </w:p>
        </w:tc>
        <w:tc>
          <w:tcPr>
            <w:tcW w:w="118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9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Total deferred revenue</w:t>
            </w:r>
          </w:p>
        </w:tc>
        <w:tc>
          <w:tcPr>
            <w:tcW w:w="44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w w:val="87"/>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394,927</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Calibri" w:cs="Calibri" w:eastAsia="Calibri" w:hAnsi="Calibri"/>
                <w:sz w:val="18"/>
                <w:szCs w:val="18"/>
                <w:color w:val="51555C"/>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385,236</w:t>
            </w:r>
          </w:p>
        </w:tc>
        <w:tc>
          <w:tcPr>
            <w:tcW w:w="20" w:type="dxa"/>
            <w:vAlign w:val="bottom"/>
          </w:tcPr>
          <w:p>
            <w:pPr>
              <w:spacing w:after="0"/>
              <w:rPr>
                <w:sz w:val="21"/>
                <w:szCs w:val="21"/>
                <w:color w:val="auto"/>
              </w:rPr>
            </w:pPr>
          </w:p>
        </w:tc>
      </w:tr>
      <w:tr>
        <w:trPr>
          <w:trHeight w:val="20"/>
        </w:trPr>
        <w:tc>
          <w:tcPr>
            <w:tcW w:w="798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increase in deferred revenue during 2023 was primarily due to new subscripton sales of our cloud solutons and progress in initatves to bring our pricing in line with the market. Historically, due to the tming of customer budget cycles, we have an increase in customer contract renewals at or near the beginning of our third quarter. Generally, our lowest balance of deferred revenue during the year is at the end of our frst quarter. The amount of revenue recognized during 2023 that was included in the deferred revenue balance at the beginning of the period was approximately $365 million. The amount of revenue recognized during 2023 from performance obligatons satsfed in prior periods was insignifcant.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222885</wp:posOffset>
            </wp:positionV>
            <wp:extent cx="728980" cy="1885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109</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jc w:val="center"/>
        <w:ind w:right="20"/>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Disaggregaton of revenue</w:t>
      </w:r>
    </w:p>
    <w:p>
      <w:pPr>
        <w:spacing w:after="0" w:line="163" w:lineRule="exact"/>
        <w:rPr>
          <w:sz w:val="20"/>
          <w:szCs w:val="20"/>
          <w:color w:val="auto"/>
        </w:rPr>
      </w:pPr>
    </w:p>
    <w:p>
      <w:pPr>
        <w:ind w:right="20"/>
        <w:spacing w:after="0" w:line="258" w:lineRule="auto"/>
        <w:rPr>
          <w:sz w:val="20"/>
          <w:szCs w:val="20"/>
          <w:color w:val="auto"/>
        </w:rPr>
      </w:pPr>
      <w:r>
        <w:rPr>
          <w:rFonts w:ascii="Calibri" w:cs="Calibri" w:eastAsia="Calibri" w:hAnsi="Calibri"/>
          <w:sz w:val="17"/>
          <w:szCs w:val="17"/>
          <w:color w:val="51555C"/>
        </w:rPr>
        <w:t>We sell our cloud solutons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94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92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w:t>
            </w:r>
          </w:p>
        </w:tc>
        <w:tc>
          <w:tcPr>
            <w:tcW w:w="20" w:type="dxa"/>
            <w:vAlign w:val="bottom"/>
            <w:shd w:val="clear" w:color="auto" w:fill="004054"/>
          </w:tcPr>
          <w:p>
            <w:pPr>
              <w:spacing w:after="0"/>
              <w:rPr>
                <w:sz w:val="16"/>
                <w:szCs w:val="16"/>
                <w:color w:val="auto"/>
              </w:rPr>
            </w:pPr>
          </w:p>
        </w:tc>
      </w:tr>
      <w:tr>
        <w:trPr>
          <w:trHeight w:val="170"/>
        </w:trPr>
        <w:tc>
          <w:tcPr>
            <w:tcW w:w="7680" w:type="dxa"/>
            <w:vAlign w:val="bottom"/>
            <w:shd w:val="clear" w:color="auto" w:fill="004054"/>
          </w:tcPr>
          <w:p>
            <w:pPr>
              <w:spacing w:after="0"/>
              <w:rPr>
                <w:sz w:val="14"/>
                <w:szCs w:val="14"/>
                <w:color w:val="auto"/>
              </w:rPr>
            </w:pPr>
          </w:p>
        </w:tc>
        <w:tc>
          <w:tcPr>
            <w:tcW w:w="260" w:type="dxa"/>
            <w:vAlign w:val="bottom"/>
            <w:shd w:val="clear" w:color="auto" w:fill="004054"/>
          </w:tcPr>
          <w:p>
            <w:pPr>
              <w:spacing w:after="0"/>
              <w:rPr>
                <w:sz w:val="14"/>
                <w:szCs w:val="14"/>
                <w:color w:val="auto"/>
              </w:rPr>
            </w:pPr>
          </w:p>
        </w:tc>
        <w:tc>
          <w:tcPr>
            <w:tcW w:w="940" w:type="dxa"/>
            <w:vAlign w:val="bottom"/>
            <w:shd w:val="clear" w:color="auto" w:fill="004054"/>
          </w:tcPr>
          <w:p>
            <w:pPr>
              <w:spacing w:after="0"/>
              <w:rPr>
                <w:sz w:val="14"/>
                <w:szCs w:val="14"/>
                <w:color w:val="auto"/>
              </w:rPr>
            </w:pPr>
          </w:p>
        </w:tc>
        <w:tc>
          <w:tcPr>
            <w:tcW w:w="26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220" w:type="dxa"/>
            <w:vAlign w:val="bottom"/>
            <w:shd w:val="clear" w:color="auto" w:fill="004054"/>
          </w:tcPr>
          <w:p>
            <w:pPr>
              <w:spacing w:after="0"/>
              <w:rPr>
                <w:sz w:val="14"/>
                <w:szCs w:val="14"/>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4"/>
                <w:szCs w:val="14"/>
                <w:color w:val="auto"/>
              </w:rPr>
            </w:pPr>
          </w:p>
        </w:tc>
      </w:tr>
      <w:tr>
        <w:trPr>
          <w:trHeight w:val="243"/>
        </w:trPr>
        <w:tc>
          <w:tcPr>
            <w:tcW w:w="76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60" w:type="dxa"/>
            <w:vAlign w:val="bottom"/>
            <w:shd w:val="clear" w:color="auto" w:fill="004054"/>
          </w:tcPr>
          <w:p>
            <w:pPr>
              <w:spacing w:after="0"/>
              <w:rPr>
                <w:sz w:val="21"/>
                <w:szCs w:val="21"/>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60" w:type="dxa"/>
            <w:vAlign w:val="bottom"/>
            <w:shd w:val="clear" w:color="auto" w:fill="004054"/>
          </w:tcPr>
          <w:p>
            <w:pPr>
              <w:spacing w:after="0"/>
              <w:rPr>
                <w:sz w:val="21"/>
                <w:szCs w:val="21"/>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20" w:type="dxa"/>
            <w:vAlign w:val="bottom"/>
            <w:shd w:val="clear" w:color="auto" w:fill="004054"/>
          </w:tcPr>
          <w:p>
            <w:pPr>
              <w:spacing w:after="0"/>
              <w:rPr>
                <w:sz w:val="21"/>
                <w:szCs w:val="21"/>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1"/>
                <w:szCs w:val="21"/>
                <w:color w:val="auto"/>
              </w:rPr>
            </w:pPr>
          </w:p>
        </w:tc>
      </w:tr>
      <w:tr>
        <w:trPr>
          <w:trHeight w:val="74"/>
        </w:trPr>
        <w:tc>
          <w:tcPr>
            <w:tcW w:w="768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94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250"/>
        </w:trPr>
        <w:tc>
          <w:tcPr>
            <w:tcW w:w="76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United States</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945,580</w:t>
            </w:r>
          </w:p>
        </w:tc>
        <w:tc>
          <w:tcPr>
            <w:tcW w:w="26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896,116</w:t>
            </w:r>
          </w:p>
        </w:tc>
        <w:tc>
          <w:tcPr>
            <w:tcW w:w="22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w w:val="87"/>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777,333</w:t>
            </w:r>
          </w:p>
        </w:tc>
        <w:tc>
          <w:tcPr>
            <w:tcW w:w="20" w:type="dxa"/>
            <w:vAlign w:val="bottom"/>
          </w:tcPr>
          <w:p>
            <w:pPr>
              <w:spacing w:after="0"/>
              <w:rPr>
                <w:sz w:val="21"/>
                <w:szCs w:val="21"/>
                <w:color w:val="auto"/>
              </w:rPr>
            </w:pPr>
          </w:p>
        </w:tc>
      </w:tr>
      <w:tr>
        <w:trPr>
          <w:trHeight w:val="220"/>
        </w:trPr>
        <w:tc>
          <w:tcPr>
            <w:tcW w:w="7680" w:type="dxa"/>
            <w:vAlign w:val="bottom"/>
          </w:tcPr>
          <w:p>
            <w:pPr>
              <w:ind w:left="20"/>
              <w:spacing w:after="0"/>
              <w:rPr>
                <w:sz w:val="20"/>
                <w:szCs w:val="20"/>
                <w:color w:val="auto"/>
              </w:rPr>
            </w:pPr>
            <w:r>
              <w:rPr>
                <w:rFonts w:ascii="Calibri" w:cs="Calibri" w:eastAsia="Calibri" w:hAnsi="Calibri"/>
                <w:sz w:val="18"/>
                <w:szCs w:val="18"/>
                <w:color w:val="51555C"/>
              </w:rPr>
              <w:t>United Kingdom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100,833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101,026</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89,688</w:t>
            </w:r>
          </w:p>
        </w:tc>
        <w:tc>
          <w:tcPr>
            <w:tcW w:w="20" w:type="dxa"/>
            <w:vAlign w:val="bottom"/>
          </w:tcPr>
          <w:p>
            <w:pPr>
              <w:spacing w:after="0"/>
              <w:rPr>
                <w:sz w:val="19"/>
                <w:szCs w:val="19"/>
                <w:color w:val="auto"/>
              </w:rPr>
            </w:pPr>
          </w:p>
        </w:tc>
      </w:tr>
      <w:tr>
        <w:trPr>
          <w:trHeight w:val="50"/>
        </w:trPr>
        <w:tc>
          <w:tcPr>
            <w:tcW w:w="7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6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Other countries</w:t>
            </w:r>
          </w:p>
        </w:tc>
        <w:tc>
          <w:tcPr>
            <w:tcW w:w="26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59,019</w:t>
            </w:r>
          </w:p>
        </w:tc>
        <w:tc>
          <w:tcPr>
            <w:tcW w:w="26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60,963</w:t>
            </w:r>
          </w:p>
        </w:tc>
        <w:tc>
          <w:tcPr>
            <w:tcW w:w="22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60,719</w:t>
            </w:r>
          </w:p>
        </w:tc>
        <w:tc>
          <w:tcPr>
            <w:tcW w:w="20" w:type="dxa"/>
            <w:vAlign w:val="bottom"/>
          </w:tcPr>
          <w:p>
            <w:pPr>
              <w:spacing w:after="0"/>
              <w:rPr>
                <w:sz w:val="23"/>
                <w:szCs w:val="23"/>
                <w:color w:val="auto"/>
              </w:rPr>
            </w:pPr>
          </w:p>
        </w:tc>
      </w:tr>
      <w:tr>
        <w:trPr>
          <w:trHeight w:val="213"/>
        </w:trPr>
        <w:tc>
          <w:tcPr>
            <w:tcW w:w="7680" w:type="dxa"/>
            <w:vAlign w:val="bottom"/>
          </w:tcPr>
          <w:p>
            <w:pPr>
              <w:ind w:left="140"/>
              <w:spacing w:after="0" w:line="199" w:lineRule="exact"/>
              <w:rPr>
                <w:sz w:val="20"/>
                <w:szCs w:val="20"/>
                <w:color w:val="auto"/>
              </w:rPr>
            </w:pPr>
            <w:r>
              <w:rPr>
                <w:rFonts w:ascii="Calibri" w:cs="Calibri" w:eastAsia="Calibri" w:hAnsi="Calibri"/>
                <w:sz w:val="18"/>
                <w:szCs w:val="18"/>
                <w:color w:val="51555C"/>
              </w:rPr>
              <w:t>Total revenue</w:t>
            </w:r>
          </w:p>
        </w:tc>
        <w:tc>
          <w:tcPr>
            <w:tcW w:w="260" w:type="dxa"/>
            <w:vAlign w:val="bottom"/>
            <w:tcBorders>
              <w:top w:val="single" w:sz="8" w:color="51555C"/>
            </w:tcBorders>
          </w:tcPr>
          <w:p>
            <w:pPr>
              <w:jc w:val="right"/>
              <w:ind w:right="50"/>
              <w:spacing w:after="0" w:line="213" w:lineRule="exact"/>
              <w:rPr>
                <w:sz w:val="20"/>
                <w:szCs w:val="20"/>
                <w:color w:val="auto"/>
              </w:rPr>
            </w:pPr>
            <w:r>
              <w:rPr>
                <w:rFonts w:ascii="Calibri" w:cs="Calibri" w:eastAsia="Calibri" w:hAnsi="Calibri"/>
                <w:sz w:val="18"/>
                <w:szCs w:val="18"/>
                <w:color w:val="51555C"/>
              </w:rPr>
              <w:t>$</w:t>
            </w:r>
          </w:p>
        </w:tc>
        <w:tc>
          <w:tcPr>
            <w:tcW w:w="94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1,105,432</w:t>
            </w:r>
          </w:p>
        </w:tc>
        <w:tc>
          <w:tcPr>
            <w:tcW w:w="260" w:type="dxa"/>
            <w:vAlign w:val="bottom"/>
            <w:tcBorders>
              <w:top w:val="single" w:sz="8" w:color="51555C"/>
            </w:tcBorders>
          </w:tcPr>
          <w:p>
            <w:pPr>
              <w:jc w:val="right"/>
              <w:ind w:right="70"/>
              <w:spacing w:after="0" w:line="213" w:lineRule="exact"/>
              <w:rPr>
                <w:sz w:val="20"/>
                <w:szCs w:val="20"/>
                <w:color w:val="auto"/>
              </w:rPr>
            </w:pPr>
            <w:r>
              <w:rPr>
                <w:rFonts w:ascii="Calibri" w:cs="Calibri" w:eastAsia="Calibri" w:hAnsi="Calibri"/>
                <w:sz w:val="18"/>
                <w:szCs w:val="18"/>
                <w:color w:val="51555C"/>
                <w:w w:val="87"/>
              </w:rPr>
              <w:t>$</w:t>
            </w:r>
          </w:p>
        </w:tc>
        <w:tc>
          <w:tcPr>
            <w:tcW w:w="92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1,058,105</w:t>
            </w:r>
          </w:p>
        </w:tc>
        <w:tc>
          <w:tcPr>
            <w:tcW w:w="220" w:type="dxa"/>
            <w:vAlign w:val="bottom"/>
            <w:tcBorders>
              <w:top w:val="single" w:sz="8" w:color="51555C"/>
            </w:tcBorders>
          </w:tcPr>
          <w:p>
            <w:pPr>
              <w:jc w:val="right"/>
              <w:ind w:right="30"/>
              <w:spacing w:after="0" w:line="213" w:lineRule="exact"/>
              <w:rPr>
                <w:sz w:val="20"/>
                <w:szCs w:val="20"/>
                <w:color w:val="auto"/>
              </w:rPr>
            </w:pPr>
            <w:r>
              <w:rPr>
                <w:rFonts w:ascii="Calibri" w:cs="Calibri" w:eastAsia="Calibri" w:hAnsi="Calibri"/>
                <w:sz w:val="18"/>
                <w:szCs w:val="18"/>
                <w:color w:val="51555C"/>
                <w:w w:val="87"/>
              </w:rPr>
              <w:t>$</w:t>
            </w:r>
          </w:p>
        </w:tc>
        <w:tc>
          <w:tcPr>
            <w:tcW w:w="960" w:type="dxa"/>
            <w:vAlign w:val="bottom"/>
            <w:tcBorders>
              <w:top w:val="single" w:sz="8" w:color="51555C"/>
            </w:tcBorders>
          </w:tcPr>
          <w:p>
            <w:pPr>
              <w:jc w:val="right"/>
              <w:spacing w:after="0" w:line="213" w:lineRule="exact"/>
              <w:rPr>
                <w:sz w:val="20"/>
                <w:szCs w:val="20"/>
                <w:color w:val="auto"/>
              </w:rPr>
            </w:pPr>
            <w:r>
              <w:rPr>
                <w:rFonts w:ascii="Calibri" w:cs="Calibri" w:eastAsia="Calibri" w:hAnsi="Calibri"/>
                <w:sz w:val="18"/>
                <w:szCs w:val="18"/>
                <w:color w:val="51555C"/>
              </w:rPr>
              <w:t>927,740</w:t>
            </w:r>
          </w:p>
        </w:tc>
        <w:tc>
          <w:tcPr>
            <w:tcW w:w="20" w:type="dxa"/>
            <w:vAlign w:val="bottom"/>
          </w:tcPr>
          <w:p>
            <w:pPr>
              <w:spacing w:after="0"/>
              <w:rPr>
                <w:sz w:val="18"/>
                <w:szCs w:val="18"/>
                <w:color w:val="auto"/>
              </w:rPr>
            </w:pPr>
          </w:p>
        </w:tc>
      </w:tr>
      <w:tr>
        <w:trPr>
          <w:trHeight w:val="50"/>
        </w:trPr>
        <w:tc>
          <w:tcPr>
            <w:tcW w:w="7680" w:type="dxa"/>
            <w:vAlign w:val="bottom"/>
            <w:tcBorders>
              <w:bottom w:val="single" w:sz="8" w:color="0CD973"/>
            </w:tcBorders>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940" w:type="dxa"/>
            <w:vAlign w:val="bottom"/>
            <w:tcBorders>
              <w:bottom w:val="single" w:sz="8" w:color="0CD973"/>
            </w:tcBorders>
          </w:tcPr>
          <w:p>
            <w:pPr>
              <w:spacing w:after="0"/>
              <w:rPr>
                <w:sz w:val="4"/>
                <w:szCs w:val="4"/>
                <w:color w:val="auto"/>
              </w:rPr>
            </w:pPr>
          </w:p>
        </w:tc>
        <w:tc>
          <w:tcPr>
            <w:tcW w:w="260" w:type="dxa"/>
            <w:vAlign w:val="bottom"/>
            <w:tcBorders>
              <w:bottom w:val="single" w:sz="8" w:color="0CD973"/>
            </w:tcBorders>
          </w:tcPr>
          <w:p>
            <w:pPr>
              <w:spacing w:after="0"/>
              <w:rPr>
                <w:sz w:val="4"/>
                <w:szCs w:val="4"/>
                <w:color w:val="auto"/>
              </w:rPr>
            </w:pPr>
          </w:p>
        </w:tc>
        <w:tc>
          <w:tcPr>
            <w:tcW w:w="920" w:type="dxa"/>
            <w:vAlign w:val="bottom"/>
            <w:tcBorders>
              <w:bottom w:val="single" w:sz="8" w:color="0CD973"/>
            </w:tcBorders>
          </w:tcPr>
          <w:p>
            <w:pPr>
              <w:spacing w:after="0"/>
              <w:rPr>
                <w:sz w:val="4"/>
                <w:szCs w:val="4"/>
                <w:color w:val="auto"/>
              </w:rPr>
            </w:pPr>
          </w:p>
        </w:tc>
        <w:tc>
          <w:tcPr>
            <w:tcW w:w="220" w:type="dxa"/>
            <w:vAlign w:val="bottom"/>
            <w:tcBorders>
              <w:bottom w:val="single" w:sz="8" w:color="0CD973"/>
            </w:tcBorders>
          </w:tcPr>
          <w:p>
            <w:pPr>
              <w:spacing w:after="0"/>
              <w:rPr>
                <w:sz w:val="4"/>
                <w:szCs w:val="4"/>
                <w:color w:val="auto"/>
              </w:rPr>
            </w:pPr>
          </w:p>
        </w:tc>
        <w:tc>
          <w:tcPr>
            <w:tcW w:w="96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-864870</wp:posOffset>
            </wp:positionV>
            <wp:extent cx="226314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1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The Social Sector and Corporate Sector market groups comprised our go-to-market organizatons as of December 31, 2023. The following is a descripton of each market group as of that date:</w:t>
      </w:r>
    </w:p>
    <w:p>
      <w:pPr>
        <w:spacing w:after="0" w:line="164" w:lineRule="exact"/>
        <w:rPr>
          <w:sz w:val="20"/>
          <w:szCs w:val="20"/>
          <w:color w:val="auto"/>
        </w:rPr>
      </w:pPr>
    </w:p>
    <w:p>
      <w:pPr>
        <w:ind w:left="660" w:right="20" w:hanging="328"/>
        <w:spacing w:after="0" w:line="235" w:lineRule="auto"/>
        <w:tabs>
          <w:tab w:leader="none" w:pos="653" w:val="left"/>
        </w:tabs>
        <w:numPr>
          <w:ilvl w:val="0"/>
          <w:numId w:val="59"/>
        </w:numPr>
        <w:rPr>
          <w:rFonts w:ascii="Calibri" w:cs="Calibri" w:eastAsia="Calibri" w:hAnsi="Calibri"/>
          <w:sz w:val="18"/>
          <w:szCs w:val="18"/>
          <w:color w:val="51555C"/>
        </w:rPr>
      </w:pPr>
      <w:r>
        <w:rPr>
          <w:rFonts w:ascii="Calibri" w:cs="Calibri" w:eastAsia="Calibri" w:hAnsi="Calibri"/>
          <w:sz w:val="18"/>
          <w:szCs w:val="18"/>
          <w:color w:val="51555C"/>
        </w:rPr>
        <w:t>The Social Sector market group focuses on sales to customers and prospects in the social sector, such as nonprofts, foundatons, educaton insttutons, healthcare organizatons and other not-for-proft enttes globally, and includes JustGiving; and</w:t>
      </w:r>
    </w:p>
    <w:p>
      <w:pPr>
        <w:spacing w:after="0" w:line="163" w:lineRule="exact"/>
        <w:rPr>
          <w:rFonts w:ascii="Calibri" w:cs="Calibri" w:eastAsia="Calibri" w:hAnsi="Calibri"/>
          <w:sz w:val="18"/>
          <w:szCs w:val="18"/>
          <w:color w:val="51555C"/>
        </w:rPr>
      </w:pPr>
    </w:p>
    <w:p>
      <w:pPr>
        <w:ind w:left="660" w:right="20" w:hanging="328"/>
        <w:spacing w:after="0" w:line="235" w:lineRule="auto"/>
        <w:tabs>
          <w:tab w:leader="none" w:pos="653" w:val="left"/>
        </w:tabs>
        <w:numPr>
          <w:ilvl w:val="0"/>
          <w:numId w:val="59"/>
        </w:numPr>
        <w:rPr>
          <w:rFonts w:ascii="Calibri" w:cs="Calibri" w:eastAsia="Calibri" w:hAnsi="Calibri"/>
          <w:sz w:val="18"/>
          <w:szCs w:val="18"/>
          <w:color w:val="51555C"/>
        </w:rPr>
      </w:pPr>
      <w:r>
        <w:rPr>
          <w:rFonts w:ascii="Calibri" w:cs="Calibri" w:eastAsia="Calibri" w:hAnsi="Calibri"/>
          <w:sz w:val="18"/>
          <w:szCs w:val="18"/>
          <w:color w:val="51555C"/>
        </w:rPr>
        <w:t>The Corporate Sector market group focuses on sales to customers and prospects in the corporate sector globally, and includes EVERFI and YourCause.</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presents our revenue by market group:</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94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220" w:type="dxa"/>
            <w:vAlign w:val="bottom"/>
            <w:shd w:val="clear" w:color="auto" w:fill="004054"/>
          </w:tcPr>
          <w:p>
            <w:pPr>
              <w:spacing w:after="0"/>
              <w:rPr>
                <w:sz w:val="15"/>
                <w:szCs w:val="15"/>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w:t>
            </w:r>
          </w:p>
        </w:tc>
        <w:tc>
          <w:tcPr>
            <w:tcW w:w="20" w:type="dxa"/>
            <w:vAlign w:val="bottom"/>
            <w:shd w:val="clear" w:color="auto" w:fill="004054"/>
          </w:tcPr>
          <w:p>
            <w:pPr>
              <w:spacing w:after="0"/>
              <w:rPr>
                <w:sz w:val="15"/>
                <w:szCs w:val="15"/>
                <w:color w:val="auto"/>
              </w:rPr>
            </w:pPr>
          </w:p>
        </w:tc>
      </w:tr>
      <w:tr>
        <w:trPr>
          <w:trHeight w:val="170"/>
        </w:trPr>
        <w:tc>
          <w:tcPr>
            <w:tcW w:w="7680" w:type="dxa"/>
            <w:vAlign w:val="bottom"/>
            <w:shd w:val="clear" w:color="auto" w:fill="004054"/>
          </w:tcPr>
          <w:p>
            <w:pPr>
              <w:spacing w:after="0"/>
              <w:rPr>
                <w:sz w:val="14"/>
                <w:szCs w:val="14"/>
                <w:color w:val="auto"/>
              </w:rPr>
            </w:pPr>
          </w:p>
        </w:tc>
        <w:tc>
          <w:tcPr>
            <w:tcW w:w="260" w:type="dxa"/>
            <w:vAlign w:val="bottom"/>
            <w:shd w:val="clear" w:color="auto" w:fill="004054"/>
          </w:tcPr>
          <w:p>
            <w:pPr>
              <w:spacing w:after="0"/>
              <w:rPr>
                <w:sz w:val="14"/>
                <w:szCs w:val="14"/>
                <w:color w:val="auto"/>
              </w:rPr>
            </w:pPr>
          </w:p>
        </w:tc>
        <w:tc>
          <w:tcPr>
            <w:tcW w:w="940" w:type="dxa"/>
            <w:vAlign w:val="bottom"/>
            <w:shd w:val="clear" w:color="auto" w:fill="004054"/>
          </w:tcPr>
          <w:p>
            <w:pPr>
              <w:spacing w:after="0"/>
              <w:rPr>
                <w:sz w:val="14"/>
                <w:szCs w:val="14"/>
                <w:color w:val="auto"/>
              </w:rPr>
            </w:pPr>
          </w:p>
        </w:tc>
        <w:tc>
          <w:tcPr>
            <w:tcW w:w="26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220" w:type="dxa"/>
            <w:vAlign w:val="bottom"/>
            <w:shd w:val="clear" w:color="auto" w:fill="004054"/>
          </w:tcPr>
          <w:p>
            <w:pPr>
              <w:spacing w:after="0"/>
              <w:rPr>
                <w:sz w:val="14"/>
                <w:szCs w:val="14"/>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c>
          <w:tcPr>
            <w:tcW w:w="20" w:type="dxa"/>
            <w:vAlign w:val="bottom"/>
            <w:shd w:val="clear" w:color="auto" w:fill="004054"/>
          </w:tcPr>
          <w:p>
            <w:pPr>
              <w:spacing w:after="0"/>
              <w:rPr>
                <w:sz w:val="14"/>
                <w:szCs w:val="14"/>
                <w:color w:val="auto"/>
              </w:rPr>
            </w:pPr>
          </w:p>
        </w:tc>
      </w:tr>
      <w:tr>
        <w:trPr>
          <w:trHeight w:val="256"/>
        </w:trPr>
        <w:tc>
          <w:tcPr>
            <w:tcW w:w="76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260" w:type="dxa"/>
            <w:vAlign w:val="bottom"/>
            <w:shd w:val="clear" w:color="auto" w:fill="004054"/>
          </w:tcPr>
          <w:p>
            <w:pPr>
              <w:spacing w:after="0"/>
              <w:rPr>
                <w:sz w:val="22"/>
                <w:szCs w:val="22"/>
                <w:color w:val="auto"/>
              </w:rPr>
            </w:pPr>
          </w:p>
        </w:tc>
        <w:tc>
          <w:tcPr>
            <w:tcW w:w="94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260" w:type="dxa"/>
            <w:vAlign w:val="bottom"/>
            <w:shd w:val="clear" w:color="auto" w:fill="004054"/>
          </w:tcPr>
          <w:p>
            <w:pPr>
              <w:spacing w:after="0"/>
              <w:rPr>
                <w:sz w:val="22"/>
                <w:szCs w:val="22"/>
                <w:color w:val="auto"/>
              </w:rPr>
            </w:pPr>
          </w:p>
        </w:tc>
        <w:tc>
          <w:tcPr>
            <w:tcW w:w="92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220" w:type="dxa"/>
            <w:vAlign w:val="bottom"/>
            <w:shd w:val="clear" w:color="auto" w:fill="004054"/>
          </w:tcPr>
          <w:p>
            <w:pPr>
              <w:spacing w:after="0"/>
              <w:rPr>
                <w:sz w:val="22"/>
                <w:szCs w:val="22"/>
                <w:color w:val="auto"/>
              </w:rPr>
            </w:pPr>
          </w:p>
        </w:tc>
        <w:tc>
          <w:tcPr>
            <w:tcW w:w="96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c>
          <w:tcPr>
            <w:tcW w:w="20" w:type="dxa"/>
            <w:vAlign w:val="bottom"/>
            <w:shd w:val="clear" w:color="auto" w:fill="004054"/>
          </w:tcPr>
          <w:p>
            <w:pPr>
              <w:spacing w:after="0"/>
              <w:rPr>
                <w:sz w:val="22"/>
                <w:szCs w:val="22"/>
                <w:color w:val="auto"/>
              </w:rPr>
            </w:pPr>
          </w:p>
        </w:tc>
      </w:tr>
      <w:tr>
        <w:trPr>
          <w:trHeight w:val="74"/>
        </w:trPr>
        <w:tc>
          <w:tcPr>
            <w:tcW w:w="768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94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9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304"/>
        </w:trPr>
        <w:tc>
          <w:tcPr>
            <w:tcW w:w="7680" w:type="dxa"/>
            <w:vAlign w:val="bottom"/>
            <w:tcBorders>
              <w:bottom w:val="single" w:sz="8" w:color="EBFBFF"/>
            </w:tcBorders>
            <w:shd w:val="clear" w:color="auto" w:fill="EBFBFF"/>
          </w:tcPr>
          <w:p>
            <w:pPr>
              <w:ind w:left="20"/>
              <w:spacing w:after="0"/>
              <w:rPr>
                <w:sz w:val="20"/>
                <w:szCs w:val="20"/>
                <w:color w:val="auto"/>
              </w:rPr>
            </w:pPr>
            <w:r>
              <w:rPr>
                <w:rFonts w:ascii="Calibri" w:cs="Calibri" w:eastAsia="Calibri" w:hAnsi="Calibri"/>
                <w:sz w:val="18"/>
                <w:szCs w:val="18"/>
                <w:color w:val="51555C"/>
              </w:rPr>
              <w:t>Social Sector</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954,845</w:t>
            </w:r>
          </w:p>
        </w:tc>
        <w:tc>
          <w:tcPr>
            <w:tcW w:w="260" w:type="dxa"/>
            <w:vAlign w:val="bottom"/>
            <w:tcBorders>
              <w:bottom w:val="single" w:sz="8" w:color="EBFBFF"/>
            </w:tcBorders>
            <w:shd w:val="clear" w:color="auto" w:fill="EBFBFF"/>
          </w:tcPr>
          <w:p>
            <w:pPr>
              <w:jc w:val="right"/>
              <w:ind w:right="70"/>
              <w:spacing w:after="0"/>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907,197</w:t>
            </w:r>
          </w:p>
        </w:tc>
        <w:tc>
          <w:tcPr>
            <w:tcW w:w="220" w:type="dxa"/>
            <w:vAlign w:val="bottom"/>
            <w:tcBorders>
              <w:bottom w:val="single" w:sz="8" w:color="EBFBFF"/>
            </w:tcBorders>
            <w:shd w:val="clear" w:color="auto" w:fill="EBFBFF"/>
          </w:tcPr>
          <w:p>
            <w:pPr>
              <w:jc w:val="right"/>
              <w:ind w:right="30"/>
              <w:spacing w:after="0"/>
              <w:rPr>
                <w:sz w:val="20"/>
                <w:szCs w:val="20"/>
                <w:color w:val="auto"/>
              </w:rPr>
            </w:pPr>
            <w:r>
              <w:rPr>
                <w:rFonts w:ascii="Calibri" w:cs="Calibri" w:eastAsia="Calibri" w:hAnsi="Calibri"/>
                <w:sz w:val="18"/>
                <w:szCs w:val="18"/>
                <w:color w:val="51555C"/>
                <w:w w:val="87"/>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Calibri" w:cs="Calibri" w:eastAsia="Calibri" w:hAnsi="Calibri"/>
                <w:sz w:val="18"/>
                <w:szCs w:val="18"/>
                <w:color w:val="51555C"/>
              </w:rPr>
              <w:t>889,755</w:t>
            </w:r>
          </w:p>
        </w:tc>
        <w:tc>
          <w:tcPr>
            <w:tcW w:w="20" w:type="dxa"/>
            <w:vAlign w:val="bottom"/>
          </w:tcPr>
          <w:p>
            <w:pPr>
              <w:spacing w:after="0"/>
              <w:rPr>
                <w:sz w:val="24"/>
                <w:szCs w:val="24"/>
                <w:color w:val="auto"/>
              </w:rPr>
            </w:pPr>
          </w:p>
        </w:tc>
      </w:tr>
      <w:tr>
        <w:trPr>
          <w:trHeight w:val="274"/>
        </w:trPr>
        <w:tc>
          <w:tcPr>
            <w:tcW w:w="7680" w:type="dxa"/>
            <w:vAlign w:val="bottom"/>
          </w:tcPr>
          <w:p>
            <w:pPr>
              <w:ind w:left="20"/>
              <w:spacing w:after="0"/>
              <w:rPr>
                <w:sz w:val="20"/>
                <w:szCs w:val="20"/>
                <w:color w:val="auto"/>
              </w:rPr>
            </w:pPr>
            <w:r>
              <w:rPr>
                <w:rFonts w:ascii="Calibri" w:cs="Calibri" w:eastAsia="Calibri" w:hAnsi="Calibri"/>
                <w:sz w:val="18"/>
                <w:szCs w:val="18"/>
                <w:color w:val="51555C"/>
              </w:rPr>
              <w:t>Corporate Sector</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color w:val="51555C"/>
              </w:rPr>
              <w:t>150,587</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Calibri" w:cs="Calibri" w:eastAsia="Calibri" w:hAnsi="Calibri"/>
                <w:sz w:val="18"/>
                <w:szCs w:val="18"/>
                <w:color w:val="51555C"/>
              </w:rPr>
              <w:t>150,908</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Calibri" w:cs="Calibri" w:eastAsia="Calibri" w:hAnsi="Calibri"/>
                <w:sz w:val="18"/>
                <w:szCs w:val="18"/>
                <w:color w:val="51555C"/>
              </w:rPr>
              <w:t>37,985</w:t>
            </w:r>
          </w:p>
        </w:tc>
        <w:tc>
          <w:tcPr>
            <w:tcW w:w="20" w:type="dxa"/>
            <w:vAlign w:val="bottom"/>
          </w:tcPr>
          <w:p>
            <w:pPr>
              <w:spacing w:after="0"/>
              <w:rPr>
                <w:sz w:val="23"/>
                <w:szCs w:val="23"/>
                <w:color w:val="auto"/>
              </w:rPr>
            </w:pPr>
          </w:p>
        </w:tc>
      </w:tr>
      <w:tr>
        <w:trPr>
          <w:trHeight w:val="50"/>
        </w:trPr>
        <w:tc>
          <w:tcPr>
            <w:tcW w:w="7680" w:type="dxa"/>
            <w:vAlign w:val="bottom"/>
            <w:tcBorders>
              <w:bottom w:val="single" w:sz="8" w:color="EBFBFF"/>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940" w:type="dxa"/>
            <w:vAlign w:val="bottom"/>
            <w:tcBorders>
              <w:bottom w:val="single" w:sz="8" w:color="51555C"/>
            </w:tcBorders>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920" w:type="dxa"/>
            <w:vAlign w:val="bottom"/>
            <w:tcBorders>
              <w:bottom w:val="single" w:sz="8" w:color="51555C"/>
            </w:tcBorders>
          </w:tcPr>
          <w:p>
            <w:pPr>
              <w:spacing w:after="0"/>
              <w:rPr>
                <w:sz w:val="4"/>
                <w:szCs w:val="4"/>
                <w:color w:val="auto"/>
              </w:rPr>
            </w:pPr>
          </w:p>
        </w:tc>
        <w:tc>
          <w:tcPr>
            <w:tcW w:w="220" w:type="dxa"/>
            <w:vAlign w:val="bottom"/>
            <w:tcBorders>
              <w:bottom w:val="single" w:sz="8" w:color="51555C"/>
            </w:tcBorders>
          </w:tcPr>
          <w:p>
            <w:pPr>
              <w:spacing w:after="0"/>
              <w:rPr>
                <w:sz w:val="4"/>
                <w:szCs w:val="4"/>
                <w:color w:val="auto"/>
              </w:rPr>
            </w:pPr>
          </w:p>
        </w:tc>
        <w:tc>
          <w:tcPr>
            <w:tcW w:w="960" w:type="dxa"/>
            <w:vAlign w:val="bottom"/>
            <w:tcBorders>
              <w:bottom w:val="single" w:sz="8" w:color="51555C"/>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7680" w:type="dxa"/>
            <w:vAlign w:val="bottom"/>
            <w:tcBorders>
              <w:bottom w:val="single" w:sz="8" w:color="EBFBFF"/>
            </w:tcBorders>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revenue</w:t>
            </w:r>
          </w:p>
        </w:tc>
        <w:tc>
          <w:tcPr>
            <w:tcW w:w="260" w:type="dxa"/>
            <w:vAlign w:val="bottom"/>
            <w:tcBorders>
              <w:bottom w:val="single" w:sz="8" w:color="EBFBFF"/>
            </w:tcBorders>
            <w:shd w:val="clear" w:color="auto" w:fill="EBFBFF"/>
          </w:tcPr>
          <w:p>
            <w:pPr>
              <w:jc w:val="right"/>
              <w:ind w:right="50"/>
              <w:spacing w:after="0" w:line="213" w:lineRule="exact"/>
              <w:rPr>
                <w:sz w:val="20"/>
                <w:szCs w:val="20"/>
                <w:color w:val="auto"/>
              </w:rPr>
            </w:pPr>
            <w:r>
              <w:rPr>
                <w:rFonts w:ascii="Calibri" w:cs="Calibri" w:eastAsia="Calibri" w:hAnsi="Calibri"/>
                <w:sz w:val="18"/>
                <w:szCs w:val="18"/>
                <w:color w:val="51555C"/>
              </w:rPr>
              <w:t>$</w:t>
            </w:r>
          </w:p>
        </w:tc>
        <w:tc>
          <w:tcPr>
            <w:tcW w:w="94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1,105,432</w:t>
            </w:r>
          </w:p>
        </w:tc>
        <w:tc>
          <w:tcPr>
            <w:tcW w:w="260" w:type="dxa"/>
            <w:vAlign w:val="bottom"/>
            <w:tcBorders>
              <w:bottom w:val="single" w:sz="8" w:color="EBFBFF"/>
            </w:tcBorders>
            <w:shd w:val="clear" w:color="auto" w:fill="EBFBFF"/>
          </w:tcPr>
          <w:p>
            <w:pPr>
              <w:jc w:val="right"/>
              <w:ind w:right="70"/>
              <w:spacing w:after="0" w:line="213" w:lineRule="exact"/>
              <w:rPr>
                <w:sz w:val="20"/>
                <w:szCs w:val="20"/>
                <w:color w:val="auto"/>
              </w:rPr>
            </w:pPr>
            <w:r>
              <w:rPr>
                <w:rFonts w:ascii="Calibri" w:cs="Calibri" w:eastAsia="Calibri" w:hAnsi="Calibri"/>
                <w:sz w:val="18"/>
                <w:szCs w:val="18"/>
                <w:color w:val="51555C"/>
                <w:w w:val="87"/>
              </w:rPr>
              <w:t>$</w:t>
            </w:r>
          </w:p>
        </w:tc>
        <w:tc>
          <w:tcPr>
            <w:tcW w:w="92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1,058,105</w:t>
            </w:r>
          </w:p>
        </w:tc>
        <w:tc>
          <w:tcPr>
            <w:tcW w:w="220" w:type="dxa"/>
            <w:vAlign w:val="bottom"/>
            <w:tcBorders>
              <w:bottom w:val="single" w:sz="8" w:color="EBFBFF"/>
            </w:tcBorders>
            <w:shd w:val="clear" w:color="auto" w:fill="EBFBFF"/>
          </w:tcPr>
          <w:p>
            <w:pPr>
              <w:jc w:val="right"/>
              <w:ind w:right="30"/>
              <w:spacing w:after="0" w:line="213" w:lineRule="exact"/>
              <w:rPr>
                <w:sz w:val="20"/>
                <w:szCs w:val="20"/>
                <w:color w:val="auto"/>
              </w:rPr>
            </w:pPr>
            <w:r>
              <w:rPr>
                <w:rFonts w:ascii="Calibri" w:cs="Calibri" w:eastAsia="Calibri" w:hAnsi="Calibri"/>
                <w:sz w:val="18"/>
                <w:szCs w:val="18"/>
                <w:color w:val="51555C"/>
                <w:w w:val="87"/>
              </w:rPr>
              <w:t>$</w:t>
            </w:r>
          </w:p>
        </w:tc>
        <w:tc>
          <w:tcPr>
            <w:tcW w:w="9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927,740</w:t>
            </w:r>
          </w:p>
        </w:tc>
        <w:tc>
          <w:tcPr>
            <w:tcW w:w="20" w:type="dxa"/>
            <w:vAlign w:val="bottom"/>
          </w:tcPr>
          <w:p>
            <w:pPr>
              <w:spacing w:after="0"/>
              <w:rPr>
                <w:sz w:val="21"/>
                <w:szCs w:val="21"/>
                <w:color w:val="auto"/>
              </w:rPr>
            </w:pPr>
          </w:p>
        </w:tc>
      </w:tr>
      <w:tr>
        <w:trPr>
          <w:trHeight w:val="20"/>
        </w:trPr>
        <w:tc>
          <w:tcPr>
            <w:tcW w:w="768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22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-762000</wp:posOffset>
            </wp:positionV>
            <wp:extent cx="226314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color w:val="51555C"/>
        </w:rPr>
        <w:t>The following table presents our recurring revenue by type: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shd w:val="clear" w:color="auto" w:fill="004054"/>
          </w:tcPr>
          <w:p>
            <w:pPr>
              <w:spacing w:after="0"/>
              <w:rPr>
                <w:sz w:val="16"/>
                <w:szCs w:val="16"/>
                <w:color w:val="auto"/>
              </w:rPr>
            </w:pPr>
          </w:p>
        </w:tc>
        <w:tc>
          <w:tcPr>
            <w:tcW w:w="1190" w:type="dxa"/>
            <w:vAlign w:val="bottom"/>
            <w:shd w:val="clear" w:color="auto" w:fill="004054"/>
          </w:tcPr>
          <w:p>
            <w:pPr>
              <w:spacing w:after="0"/>
              <w:rPr>
                <w:sz w:val="16"/>
                <w:szCs w:val="16"/>
                <w:color w:val="auto"/>
              </w:rPr>
            </w:pPr>
          </w:p>
        </w:tc>
        <w:tc>
          <w:tcPr>
            <w:tcW w:w="119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Years ended</w:t>
            </w:r>
          </w:p>
        </w:tc>
      </w:tr>
      <w:tr>
        <w:trPr>
          <w:trHeight w:val="170"/>
        </w:trPr>
        <w:tc>
          <w:tcPr>
            <w:tcW w:w="7680" w:type="dxa"/>
            <w:vAlign w:val="bottom"/>
            <w:shd w:val="clear" w:color="auto" w:fill="004054"/>
          </w:tcPr>
          <w:p>
            <w:pPr>
              <w:spacing w:after="0"/>
              <w:rPr>
                <w:sz w:val="14"/>
                <w:szCs w:val="14"/>
                <w:color w:val="auto"/>
              </w:rPr>
            </w:pPr>
          </w:p>
        </w:tc>
        <w:tc>
          <w:tcPr>
            <w:tcW w:w="1190" w:type="dxa"/>
            <w:vAlign w:val="bottom"/>
            <w:shd w:val="clear" w:color="auto" w:fill="004054"/>
          </w:tcPr>
          <w:p>
            <w:pPr>
              <w:spacing w:after="0"/>
              <w:rPr>
                <w:sz w:val="14"/>
                <w:szCs w:val="14"/>
                <w:color w:val="auto"/>
              </w:rPr>
            </w:pPr>
          </w:p>
        </w:tc>
        <w:tc>
          <w:tcPr>
            <w:tcW w:w="1190" w:type="dxa"/>
            <w:vAlign w:val="bottom"/>
            <w:shd w:val="clear" w:color="auto" w:fill="004054"/>
          </w:tcPr>
          <w:p>
            <w:pPr>
              <w:spacing w:after="0"/>
              <w:rPr>
                <w:sz w:val="14"/>
                <w:szCs w:val="14"/>
                <w:color w:val="auto"/>
              </w:rPr>
            </w:pP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December 31,</w:t>
            </w:r>
          </w:p>
        </w:tc>
      </w:tr>
      <w:tr>
        <w:trPr>
          <w:trHeight w:val="243"/>
        </w:trPr>
        <w:tc>
          <w:tcPr>
            <w:tcW w:w="768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(dollars in thousands)</w:t>
            </w:r>
          </w:p>
        </w:tc>
        <w:tc>
          <w:tcPr>
            <w:tcW w:w="119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2023</w:t>
            </w:r>
          </w:p>
        </w:tc>
        <w:tc>
          <w:tcPr>
            <w:tcW w:w="119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2022</w:t>
            </w:r>
          </w:p>
        </w:tc>
        <w:tc>
          <w:tcPr>
            <w:tcW w:w="12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2021</w:t>
            </w:r>
          </w:p>
        </w:tc>
      </w:tr>
      <w:tr>
        <w:trPr>
          <w:trHeight w:val="74"/>
        </w:trPr>
        <w:tc>
          <w:tcPr>
            <w:tcW w:w="7680" w:type="dxa"/>
            <w:vAlign w:val="bottom"/>
            <w:shd w:val="clear" w:color="auto" w:fill="004054"/>
          </w:tcPr>
          <w:p>
            <w:pPr>
              <w:spacing w:after="0"/>
              <w:rPr>
                <w:sz w:val="6"/>
                <w:szCs w:val="6"/>
                <w:color w:val="auto"/>
              </w:rPr>
            </w:pPr>
          </w:p>
        </w:tc>
        <w:tc>
          <w:tcPr>
            <w:tcW w:w="1190" w:type="dxa"/>
            <w:vAlign w:val="bottom"/>
            <w:shd w:val="clear" w:color="auto" w:fill="004054"/>
          </w:tcPr>
          <w:p>
            <w:pPr>
              <w:spacing w:after="0"/>
              <w:rPr>
                <w:sz w:val="6"/>
                <w:szCs w:val="6"/>
                <w:color w:val="auto"/>
              </w:rPr>
            </w:pPr>
          </w:p>
        </w:tc>
        <w:tc>
          <w:tcPr>
            <w:tcW w:w="119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-161925</wp:posOffset>
            </wp:positionV>
            <wp:extent cx="227139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720" w:type="dxa"/>
            <w:vAlign w:val="bottom"/>
          </w:tcPr>
          <w:p>
            <w:pPr>
              <w:ind w:left="20"/>
              <w:spacing w:after="0"/>
              <w:rPr>
                <w:sz w:val="20"/>
                <w:szCs w:val="20"/>
                <w:color w:val="auto"/>
              </w:rPr>
            </w:pPr>
            <w:r>
              <w:rPr>
                <w:rFonts w:ascii="Calibri" w:cs="Calibri" w:eastAsia="Calibri" w:hAnsi="Calibri"/>
                <w:sz w:val="18"/>
                <w:szCs w:val="18"/>
                <w:color w:val="51555C"/>
              </w:rPr>
              <w:t>Contractual recurring</w:t>
            </w:r>
          </w:p>
        </w:tc>
        <w:tc>
          <w:tcPr>
            <w:tcW w:w="59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Calibri" w:cs="Calibri" w:eastAsia="Calibri" w:hAnsi="Calibri"/>
                <w:sz w:val="18"/>
                <w:szCs w:val="18"/>
                <w:color w:val="51555C"/>
                <w:w w:val="87"/>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738,351</w:t>
            </w:r>
          </w:p>
        </w:tc>
        <w:tc>
          <w:tcPr>
            <w:tcW w:w="280" w:type="dxa"/>
            <w:vAlign w:val="bottom"/>
          </w:tcPr>
          <w:p>
            <w:pPr>
              <w:jc w:val="right"/>
              <w:ind w:right="50"/>
              <w:spacing w:after="0"/>
              <w:rPr>
                <w:sz w:val="20"/>
                <w:szCs w:val="20"/>
                <w:color w:val="auto"/>
              </w:rPr>
            </w:pPr>
            <w:r>
              <w:rPr>
                <w:rFonts w:ascii="Calibri" w:cs="Calibri" w:eastAsia="Calibri" w:hAnsi="Calibri"/>
                <w:sz w:val="18"/>
                <w:szCs w:val="18"/>
                <w:color w:val="51555C"/>
              </w:rPr>
              <w:t>$</w:t>
            </w:r>
          </w:p>
        </w:tc>
        <w:tc>
          <w:tcPr>
            <w:tcW w:w="900" w:type="dxa"/>
            <w:vAlign w:val="bottom"/>
          </w:tcPr>
          <w:p>
            <w:pPr>
              <w:jc w:val="right"/>
              <w:spacing w:after="0"/>
              <w:rPr>
                <w:sz w:val="20"/>
                <w:szCs w:val="20"/>
                <w:color w:val="auto"/>
              </w:rPr>
            </w:pPr>
            <w:r>
              <w:rPr>
                <w:rFonts w:ascii="Calibri" w:cs="Calibri" w:eastAsia="Calibri" w:hAnsi="Calibri"/>
                <w:sz w:val="18"/>
                <w:szCs w:val="18"/>
                <w:color w:val="51555C"/>
              </w:rPr>
              <w:t>709,097</w:t>
            </w:r>
          </w:p>
        </w:tc>
        <w:tc>
          <w:tcPr>
            <w:tcW w:w="360" w:type="dxa"/>
            <w:vAlign w:val="bottom"/>
          </w:tcPr>
          <w:p>
            <w:pPr>
              <w:jc w:val="right"/>
              <w:ind w:right="130"/>
              <w:spacing w:after="0"/>
              <w:rPr>
                <w:sz w:val="20"/>
                <w:szCs w:val="20"/>
                <w:color w:val="auto"/>
              </w:rPr>
            </w:pPr>
            <w:r>
              <w:rPr>
                <w:rFonts w:ascii="Calibri" w:cs="Calibri" w:eastAsia="Calibri" w:hAnsi="Calibri"/>
                <w:sz w:val="18"/>
                <w:szCs w:val="18"/>
                <w:color w:val="51555C"/>
              </w:rPr>
              <w:t>$</w:t>
            </w:r>
          </w:p>
        </w:tc>
        <w:tc>
          <w:tcPr>
            <w:tcW w:w="860" w:type="dxa"/>
            <w:vAlign w:val="bottom"/>
          </w:tcPr>
          <w:p>
            <w:pPr>
              <w:jc w:val="right"/>
              <w:spacing w:after="0"/>
              <w:rPr>
                <w:sz w:val="20"/>
                <w:szCs w:val="20"/>
                <w:color w:val="auto"/>
              </w:rPr>
            </w:pPr>
            <w:r>
              <w:rPr>
                <w:rFonts w:ascii="Calibri" w:cs="Calibri" w:eastAsia="Calibri" w:hAnsi="Calibri"/>
                <w:sz w:val="18"/>
                <w:szCs w:val="18"/>
                <w:color w:val="51555C"/>
              </w:rPr>
              <w:t>601,397</w:t>
            </w:r>
          </w:p>
        </w:tc>
      </w:tr>
      <w:tr>
        <w:trPr>
          <w:trHeight w:val="270"/>
        </w:trPr>
        <w:tc>
          <w:tcPr>
            <w:tcW w:w="1720" w:type="dxa"/>
            <w:vAlign w:val="bottom"/>
          </w:tcPr>
          <w:p>
            <w:pPr>
              <w:ind w:left="20"/>
              <w:spacing w:after="0"/>
              <w:rPr>
                <w:sz w:val="20"/>
                <w:szCs w:val="20"/>
                <w:color w:val="auto"/>
              </w:rPr>
            </w:pPr>
            <w:r>
              <w:rPr>
                <w:rFonts w:ascii="Calibri" w:cs="Calibri" w:eastAsia="Calibri" w:hAnsi="Calibri"/>
                <w:sz w:val="18"/>
                <w:szCs w:val="18"/>
                <w:color w:val="51555C"/>
              </w:rPr>
              <w:t>Transactonal recurring</w:t>
            </w:r>
          </w:p>
        </w:tc>
        <w:tc>
          <w:tcPr>
            <w:tcW w:w="5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333,169</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Calibri" w:cs="Calibri" w:eastAsia="Calibri" w:hAnsi="Calibri"/>
                <w:sz w:val="18"/>
                <w:szCs w:val="18"/>
                <w:color w:val="51555C"/>
              </w:rPr>
              <w:t>302,636</w:t>
            </w: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51555C"/>
              </w:rPr>
              <w:t>279,453</w:t>
            </w:r>
          </w:p>
        </w:tc>
      </w:tr>
      <w:tr>
        <w:trPr>
          <w:trHeight w:val="50"/>
        </w:trPr>
        <w:tc>
          <w:tcPr>
            <w:tcW w:w="7680" w:type="dxa"/>
            <w:vAlign w:val="bottom"/>
            <w:tcBorders>
              <w:bottom w:val="single" w:sz="8" w:color="EBFBFF"/>
            </w:tcBorders>
            <w:gridSpan w:val="2"/>
          </w:tcPr>
          <w:p>
            <w:pPr>
              <w:spacing w:after="0"/>
              <w:rPr>
                <w:sz w:val="4"/>
                <w:szCs w:val="4"/>
                <w:color w:val="auto"/>
              </w:rPr>
            </w:pPr>
          </w:p>
        </w:tc>
        <w:tc>
          <w:tcPr>
            <w:tcW w:w="260" w:type="dxa"/>
            <w:vAlign w:val="bottom"/>
            <w:tcBorders>
              <w:bottom w:val="single" w:sz="8" w:color="51555C"/>
            </w:tcBorders>
          </w:tcPr>
          <w:p>
            <w:pPr>
              <w:spacing w:after="0"/>
              <w:rPr>
                <w:sz w:val="4"/>
                <w:szCs w:val="4"/>
                <w:color w:val="auto"/>
              </w:rPr>
            </w:pPr>
          </w:p>
        </w:tc>
        <w:tc>
          <w:tcPr>
            <w:tcW w:w="900" w:type="dxa"/>
            <w:vAlign w:val="bottom"/>
            <w:tcBorders>
              <w:bottom w:val="single" w:sz="8" w:color="51555C"/>
            </w:tcBorders>
          </w:tcPr>
          <w:p>
            <w:pPr>
              <w:spacing w:after="0"/>
              <w:rPr>
                <w:sz w:val="4"/>
                <w:szCs w:val="4"/>
                <w:color w:val="auto"/>
              </w:rPr>
            </w:pPr>
          </w:p>
        </w:tc>
        <w:tc>
          <w:tcPr>
            <w:tcW w:w="280" w:type="dxa"/>
            <w:vAlign w:val="bottom"/>
            <w:tcBorders>
              <w:bottom w:val="single" w:sz="8" w:color="51555C"/>
            </w:tcBorders>
          </w:tcPr>
          <w:p>
            <w:pPr>
              <w:spacing w:after="0"/>
              <w:rPr>
                <w:sz w:val="4"/>
                <w:szCs w:val="4"/>
                <w:color w:val="auto"/>
              </w:rPr>
            </w:pPr>
          </w:p>
        </w:tc>
        <w:tc>
          <w:tcPr>
            <w:tcW w:w="900" w:type="dxa"/>
            <w:vAlign w:val="bottom"/>
            <w:tcBorders>
              <w:bottom w:val="single" w:sz="8" w:color="51555C"/>
            </w:tcBorders>
          </w:tcPr>
          <w:p>
            <w:pPr>
              <w:spacing w:after="0"/>
              <w:rPr>
                <w:sz w:val="4"/>
                <w:szCs w:val="4"/>
                <w:color w:val="auto"/>
              </w:rPr>
            </w:pPr>
          </w:p>
        </w:tc>
        <w:tc>
          <w:tcPr>
            <w:tcW w:w="360" w:type="dxa"/>
            <w:vAlign w:val="bottom"/>
            <w:tcBorders>
              <w:bottom w:val="single" w:sz="8" w:color="51555C"/>
            </w:tcBorders>
          </w:tcPr>
          <w:p>
            <w:pPr>
              <w:spacing w:after="0"/>
              <w:rPr>
                <w:sz w:val="4"/>
                <w:szCs w:val="4"/>
                <w:color w:val="auto"/>
              </w:rPr>
            </w:pPr>
          </w:p>
        </w:tc>
        <w:tc>
          <w:tcPr>
            <w:tcW w:w="860" w:type="dxa"/>
            <w:vAlign w:val="bottom"/>
            <w:tcBorders>
              <w:bottom w:val="single" w:sz="8" w:color="51555C"/>
            </w:tcBorders>
          </w:tcPr>
          <w:p>
            <w:pPr>
              <w:spacing w:after="0"/>
              <w:rPr>
                <w:sz w:val="4"/>
                <w:szCs w:val="4"/>
                <w:color w:val="auto"/>
              </w:rPr>
            </w:pPr>
          </w:p>
        </w:tc>
      </w:tr>
      <w:tr>
        <w:trPr>
          <w:trHeight w:val="268"/>
        </w:trPr>
        <w:tc>
          <w:tcPr>
            <w:tcW w:w="7680" w:type="dxa"/>
            <w:vAlign w:val="bottom"/>
            <w:tcBorders>
              <w:bottom w:val="single" w:sz="8" w:color="EBFBFF"/>
            </w:tcBorders>
            <w:gridSpan w:val="2"/>
            <w:shd w:val="clear" w:color="auto" w:fill="EBFBFF"/>
          </w:tcPr>
          <w:p>
            <w:pPr>
              <w:ind w:left="140"/>
              <w:spacing w:after="0" w:line="199" w:lineRule="exact"/>
              <w:rPr>
                <w:sz w:val="20"/>
                <w:szCs w:val="20"/>
                <w:color w:val="auto"/>
              </w:rPr>
            </w:pPr>
            <w:r>
              <w:rPr>
                <w:rFonts w:ascii="Calibri" w:cs="Calibri" w:eastAsia="Calibri" w:hAnsi="Calibri"/>
                <w:sz w:val="18"/>
                <w:szCs w:val="18"/>
                <w:color w:val="51555C"/>
              </w:rPr>
              <w:t>Total recurring revenue</w:t>
            </w:r>
          </w:p>
        </w:tc>
        <w:tc>
          <w:tcPr>
            <w:tcW w:w="260" w:type="dxa"/>
            <w:vAlign w:val="bottom"/>
            <w:tcBorders>
              <w:bottom w:val="single" w:sz="8" w:color="EBFBFF"/>
            </w:tcBorders>
            <w:shd w:val="clear" w:color="auto" w:fill="EBFBFF"/>
          </w:tcPr>
          <w:p>
            <w:pPr>
              <w:jc w:val="right"/>
              <w:ind w:right="70"/>
              <w:spacing w:after="0" w:line="213" w:lineRule="exact"/>
              <w:rPr>
                <w:sz w:val="20"/>
                <w:szCs w:val="20"/>
                <w:color w:val="auto"/>
              </w:rPr>
            </w:pPr>
            <w:r>
              <w:rPr>
                <w:rFonts w:ascii="Calibri" w:cs="Calibri" w:eastAsia="Calibri" w:hAnsi="Calibri"/>
                <w:sz w:val="18"/>
                <w:szCs w:val="18"/>
                <w:color w:val="51555C"/>
                <w:w w:val="87"/>
              </w:rPr>
              <w:t>$</w:t>
            </w:r>
          </w:p>
        </w:tc>
        <w:tc>
          <w:tcPr>
            <w:tcW w:w="9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1,071,520</w:t>
            </w:r>
          </w:p>
        </w:tc>
        <w:tc>
          <w:tcPr>
            <w:tcW w:w="280" w:type="dxa"/>
            <w:vAlign w:val="bottom"/>
            <w:tcBorders>
              <w:bottom w:val="single" w:sz="8" w:color="EBFBFF"/>
            </w:tcBorders>
            <w:shd w:val="clear" w:color="auto" w:fill="EBFBFF"/>
          </w:tcPr>
          <w:p>
            <w:pPr>
              <w:jc w:val="right"/>
              <w:ind w:right="50"/>
              <w:spacing w:after="0" w:line="213" w:lineRule="exact"/>
              <w:rPr>
                <w:sz w:val="20"/>
                <w:szCs w:val="20"/>
                <w:color w:val="auto"/>
              </w:rPr>
            </w:pPr>
            <w:r>
              <w:rPr>
                <w:rFonts w:ascii="Calibri" w:cs="Calibri" w:eastAsia="Calibri" w:hAnsi="Calibri"/>
                <w:sz w:val="18"/>
                <w:szCs w:val="18"/>
                <w:color w:val="51555C"/>
              </w:rPr>
              <w:t>$</w:t>
            </w:r>
          </w:p>
        </w:tc>
        <w:tc>
          <w:tcPr>
            <w:tcW w:w="90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1,011,733</w:t>
            </w:r>
          </w:p>
        </w:tc>
        <w:tc>
          <w:tcPr>
            <w:tcW w:w="360" w:type="dxa"/>
            <w:vAlign w:val="bottom"/>
            <w:tcBorders>
              <w:bottom w:val="single" w:sz="8" w:color="EBFBFF"/>
            </w:tcBorders>
            <w:shd w:val="clear" w:color="auto" w:fill="EBFBFF"/>
          </w:tcPr>
          <w:p>
            <w:pPr>
              <w:jc w:val="right"/>
              <w:ind w:right="130"/>
              <w:spacing w:after="0" w:line="213" w:lineRule="exact"/>
              <w:rPr>
                <w:sz w:val="20"/>
                <w:szCs w:val="20"/>
                <w:color w:val="auto"/>
              </w:rPr>
            </w:pPr>
            <w:r>
              <w:rPr>
                <w:rFonts w:ascii="Calibri" w:cs="Calibri" w:eastAsia="Calibri" w:hAnsi="Calibri"/>
                <w:sz w:val="18"/>
                <w:szCs w:val="18"/>
                <w:color w:val="51555C"/>
              </w:rPr>
              <w:t>$</w:t>
            </w:r>
          </w:p>
        </w:tc>
        <w:tc>
          <w:tcPr>
            <w:tcW w:w="860" w:type="dxa"/>
            <w:vAlign w:val="bottom"/>
            <w:tcBorders>
              <w:bottom w:val="single" w:sz="8" w:color="EBFBFF"/>
            </w:tcBorders>
            <w:shd w:val="clear" w:color="auto" w:fill="EBFBFF"/>
          </w:tcPr>
          <w:p>
            <w:pPr>
              <w:jc w:val="right"/>
              <w:spacing w:after="0" w:line="213" w:lineRule="exact"/>
              <w:rPr>
                <w:sz w:val="20"/>
                <w:szCs w:val="20"/>
                <w:color w:val="auto"/>
              </w:rPr>
            </w:pPr>
            <w:r>
              <w:rPr>
                <w:rFonts w:ascii="Calibri" w:cs="Calibri" w:eastAsia="Calibri" w:hAnsi="Calibri"/>
                <w:sz w:val="18"/>
                <w:szCs w:val="18"/>
                <w:color w:val="51555C"/>
              </w:rPr>
              <w:t>880,850</w:t>
            </w:r>
          </w:p>
        </w:tc>
      </w:tr>
      <w:tr>
        <w:trPr>
          <w:trHeight w:val="662"/>
        </w:trPr>
        <w:tc>
          <w:tcPr>
            <w:tcW w:w="1720" w:type="dxa"/>
            <w:vAlign w:val="bottom"/>
            <w:tcBorders>
              <w:top w:val="single" w:sz="8" w:color="0CD973"/>
            </w:tcBorders>
          </w:tcPr>
          <w:p>
            <w:pPr>
              <w:ind w:left="20"/>
              <w:spacing w:after="0"/>
              <w:rPr>
                <w:sz w:val="20"/>
                <w:szCs w:val="20"/>
                <w:color w:val="auto"/>
              </w:rPr>
            </w:pPr>
            <w:r>
              <w:rPr>
                <w:rFonts w:ascii="Calibri" w:cs="Calibri" w:eastAsia="Calibri" w:hAnsi="Calibri"/>
                <w:sz w:val="14"/>
                <w:szCs w:val="14"/>
                <w:color w:val="51555C"/>
              </w:rPr>
              <w:t>110</w:t>
            </w:r>
          </w:p>
        </w:tc>
        <w:tc>
          <w:tcPr>
            <w:tcW w:w="5960" w:type="dxa"/>
            <w:vAlign w:val="bottom"/>
            <w:tcBorders>
              <w:top w:val="single" w:sz="8" w:color="0CD973"/>
            </w:tcBorders>
          </w:tcPr>
          <w:p>
            <w:pPr>
              <w:ind w:left="40"/>
              <w:spacing w:after="0"/>
              <w:rPr>
                <w:sz w:val="20"/>
                <w:szCs w:val="20"/>
                <w:color w:val="auto"/>
              </w:rPr>
            </w:pPr>
            <w:r>
              <w:rPr>
                <w:rFonts w:ascii="Calibri" w:cs="Calibri" w:eastAsia="Calibri" w:hAnsi="Calibri"/>
                <w:sz w:val="14"/>
                <w:szCs w:val="14"/>
                <w:color w:val="51555C"/>
              </w:rPr>
              <w:t>2023 Form 10-K</w:t>
            </w:r>
          </w:p>
        </w:tc>
        <w:tc>
          <w:tcPr>
            <w:tcW w:w="260" w:type="dxa"/>
            <w:vAlign w:val="bottom"/>
            <w:tcBorders>
              <w:top w:val="single" w:sz="8" w:color="0CD973"/>
            </w:tcBorders>
          </w:tcPr>
          <w:p>
            <w:pPr>
              <w:spacing w:after="0"/>
              <w:rPr>
                <w:sz w:val="24"/>
                <w:szCs w:val="24"/>
                <w:color w:val="auto"/>
              </w:rPr>
            </w:pPr>
          </w:p>
        </w:tc>
        <w:tc>
          <w:tcPr>
            <w:tcW w:w="900" w:type="dxa"/>
            <w:vAlign w:val="bottom"/>
            <w:tcBorders>
              <w:top w:val="single" w:sz="8" w:color="0CD973"/>
            </w:tcBorders>
          </w:tcPr>
          <w:p>
            <w:pPr>
              <w:spacing w:after="0"/>
              <w:rPr>
                <w:sz w:val="24"/>
                <w:szCs w:val="24"/>
                <w:color w:val="auto"/>
              </w:rPr>
            </w:pPr>
          </w:p>
        </w:tc>
        <w:tc>
          <w:tcPr>
            <w:tcW w:w="280" w:type="dxa"/>
            <w:vAlign w:val="bottom"/>
            <w:tcBorders>
              <w:top w:val="single" w:sz="8" w:color="0CD973"/>
            </w:tcBorders>
          </w:tcPr>
          <w:p>
            <w:pPr>
              <w:spacing w:after="0"/>
              <w:rPr>
                <w:sz w:val="24"/>
                <w:szCs w:val="24"/>
                <w:color w:val="auto"/>
              </w:rPr>
            </w:pPr>
          </w:p>
        </w:tc>
        <w:tc>
          <w:tcPr>
            <w:tcW w:w="900" w:type="dxa"/>
            <w:vAlign w:val="bottom"/>
            <w:tcBorders>
              <w:top w:val="single" w:sz="8" w:color="0CD973"/>
            </w:tcBorders>
          </w:tcPr>
          <w:p>
            <w:pPr>
              <w:spacing w:after="0"/>
              <w:rPr>
                <w:sz w:val="24"/>
                <w:szCs w:val="24"/>
                <w:color w:val="auto"/>
              </w:rPr>
            </w:pPr>
          </w:p>
        </w:tc>
        <w:tc>
          <w:tcPr>
            <w:tcW w:w="360" w:type="dxa"/>
            <w:vAlign w:val="bottom"/>
            <w:tcBorders>
              <w:top w:val="single" w:sz="8" w:color="0CD973"/>
            </w:tcBorders>
          </w:tcPr>
          <w:p>
            <w:pPr>
              <w:spacing w:after="0"/>
              <w:rPr>
                <w:sz w:val="24"/>
                <w:szCs w:val="24"/>
                <w:color w:val="auto"/>
              </w:rPr>
            </w:pPr>
          </w:p>
        </w:tc>
        <w:tc>
          <w:tcPr>
            <w:tcW w:w="860" w:type="dxa"/>
            <w:vAlign w:val="bottom"/>
            <w:tcBorders>
              <w:top w:val="single" w:sz="8" w:color="0CD973"/>
            </w:tcBorders>
          </w:tcPr>
          <w:p>
            <w:pPr>
              <w:spacing w:after="0"/>
              <w:rPr>
                <w:sz w:val="24"/>
                <w:szCs w:val="24"/>
                <w:color w:val="auto"/>
              </w:rPr>
            </w:pPr>
          </w:p>
        </w:tc>
      </w:tr>
      <w:tr>
        <w:trPr>
          <w:trHeight w:val="351"/>
        </w:trPr>
        <w:tc>
          <w:tcPr>
            <w:tcW w:w="172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006880"/>
        </w:rPr>
        <w:t>18.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Stock Repurchase Program</w:t>
      </w:r>
    </w:p>
    <w:p>
      <w:pPr>
        <w:spacing w:after="0" w:line="163"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51555C"/>
        </w:rPr>
        <w:t>On January 17, 2024, our Board of Directors reauthorized, expanded and replenished our existng stock repurchase program. The expansion raised the total capacity under the stock repurchase program from $250.0 million to $500.0 million available for repurchases. The program does not have an expiraton date.</w:t>
      </w:r>
    </w:p>
    <w:p>
      <w:pPr>
        <w:spacing w:after="0" w:line="1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During December 2023 and January 2024, prior to the replenishment on January 17, 2024, we repurchased $41.1 million of our common stock under the stock repurchase program. Between January 18, 2024 and February 16, 2024, we repurchased $0.6 million. As of February 16, 2024, the remaining amount available to purchase stock under our repurchase program was $499.4 million. All of the Company's stock repurchases during the fourth quarter of 2023 and the frst quarter of 2024 were made pursuant to an SEC Rule 10b5-1(c) trading arrangement.</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Repurchases by the Company will be subject to available liquidity, general market and economic conditons, alternate uses for the capital and other factors. Stock repurchases may be made from tme to tme in open market transactons, in private transactons or otherwise in accordance with applicable securites laws and regulatons and other legal requirements, including compliance with the Company’s fnance agreements. There is no minimum number of shares that the Company is required to repurchase and the repurchase program may be suspended or discontnued at any tme without prior notce. All shares purchased will be held in the Company’s treasury for possible future use. The Company antcipates funding any stock repurchases from its cash fow from operatons.</w:t>
      </w:r>
    </w:p>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Additonal informaton regarding the stock repurchase program reauthorizaton is contained in the Company's Current Report on Form 8-K fled with the SEC on January 22, 2024.</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FTC Setlement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On February 1, 2024, the FTC announced its approval of a Proposed Order evidencing its setlement with the Company, subject to public review and comment, relatng to the Security Incident. If fnalized, this setlement will fully resolve the previously disclosed FTC investgaton relatng to the Security Incident, which is further described in the FTC’s Proposed Order.</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Under the terms of the Proposed Order, the Company has agreed to certain conditons, which are refected in their entrety in the Proposed Order. As part of the Proposed Order, the Company has not been fned and is not otherwise required to make any payment.</w:t>
      </w:r>
    </w:p>
    <w:p>
      <w:pPr>
        <w:spacing w:after="0" w:line="164"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51555C"/>
        </w:rPr>
        <w:t>The Company has agreed to the Proposed Order without admitng or denying any of the FTC's allegatons, except as expressly stated otherwise in the Proposed Order. For more informaton regarding this setlement or the Proposed Order, see Note 11 to these condensed consolidated fnancial statements. See also the Proposed Order, which was furnished as Exhibit 99.2 to the Company’s Current Report on Form 8-K fled with the SEC on February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470535</wp:posOffset>
            </wp:positionV>
            <wp:extent cx="728980" cy="1885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111</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700"/>
        <w:spacing w:after="0" w:line="235" w:lineRule="auto"/>
        <w:rPr>
          <w:sz w:val="20"/>
          <w:szCs w:val="20"/>
          <w:color w:val="auto"/>
        </w:rPr>
      </w:pPr>
      <w:r>
        <w:rPr>
          <w:rFonts w:ascii="Calibri" w:cs="Calibri" w:eastAsia="Calibri" w:hAnsi="Calibri"/>
          <w:sz w:val="29"/>
          <w:szCs w:val="29"/>
          <w:b w:val="1"/>
          <w:bCs w:val="1"/>
          <w:color w:val="004054"/>
        </w:rPr>
        <w:t>ITEM 9. CHANGES IN AND DISAGREEMENTS WITH ACCOUNTANTS ON ACCOUNTING AND FINANCIAL DISCLOSURE</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None.</w:t>
      </w:r>
    </w:p>
    <w:p>
      <w:pPr>
        <w:spacing w:after="0" w:line="25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9A. CONTROLS AND PROCEDURES</w:t>
      </w:r>
    </w:p>
    <w:p>
      <w:pPr>
        <w:spacing w:after="0" w:line="215"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Evaluaton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Disclosure controls and procedures (as defned in Exchange Act Rule 13a-15(e) and 15d-15(e)) are designed only to provide reasonable assurance that they will meet their objectves. As of the end of the period covered by this report, we carried out an evaluaton, under the supervision and with the partcipaton of our management, including our Chief Executve Ofcer (principal executve ofcer) and Chief Financial Ofcer (principal fnancial and accountng ofcer), of the efectveness of our disclosure controls and procedures (as defned in Rule 13a-15(e) and 15d-15(e)) pursuant to Exchange Act Rule 13a-15(b). Based upon that evaluaton, our Chief Executve Ofcer and Chief Financial Ofcer have concluded that our disclosure controls and procedures are efectve to provide the reasonable assurance discussed above.</w:t>
      </w:r>
    </w:p>
    <w:p>
      <w:pPr>
        <w:spacing w:after="0" w:line="202"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Changes in Internal Control Over Financial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No changes in internal control over fnancial reportng occurred during the most recent fscal quarter ended December 31, 2023 with respect to our operatons that has materially afected, or is reasonably likely to materially afect, our internal control over fnancial reportng.</w:t>
      </w:r>
    </w:p>
    <w:p>
      <w:pPr>
        <w:spacing w:after="0" w:line="201"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Management’s Report on Internal Control Over Financial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Our management is responsible for establishing and maintaining adequate internal control over fnancial reportng (as defned in Rules 13a-15(f) and 15d-15(f) under the Exchange Act). Internal control over fnancial reportng is a process designed to provide reasonable assurance regarding the reliability of fnancial reportng and the preparaton of fnancial statements for external purposes in accordance with U.S. GAAP. Our internal control over fnancial reportng includes those policies and procedures that: (i) pertain to the maintenance of records that, in reasonable detail, accurately and fairly refect the transactons and dispositons of our assets; (ii) provide reasonable assurance that transactons are recorded as necessary to permit preparaton of fnancial statements in accordance with U.S. GAAP, and that our receipts and expenditures are being made only in accordance with authorizatons of our management and directors; and (iii) provide reasonable assurance regarding preventon or tmely detecton of unauthorized acquisiton, use, or dispositon of our assets that could have a material efect on the fnancial statements.</w:t>
      </w:r>
    </w:p>
    <w:p>
      <w:pPr>
        <w:spacing w:after="0" w:line="1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 xml:space="preserve">Our management conducted an evaluaton of the efectveness of our internal control over fnancial reportng as of December 31, 2023, based on the framework in </w:t>
      </w:r>
      <w:r>
        <w:rPr>
          <w:rFonts w:ascii="Calibri" w:cs="Calibri" w:eastAsia="Calibri" w:hAnsi="Calibri"/>
          <w:sz w:val="18"/>
          <w:szCs w:val="18"/>
          <w:i w:val="1"/>
          <w:iCs w:val="1"/>
          <w:color w:val="51555C"/>
        </w:rPr>
        <w:t>Internal Control - Integrated Framework issued by the Commitee of Sponsoring Organizatons of the Treadway Commission (2013 framework)</w:t>
      </w:r>
      <w:r>
        <w:rPr>
          <w:rFonts w:ascii="Calibri" w:cs="Calibri" w:eastAsia="Calibri" w:hAnsi="Calibri"/>
          <w:sz w:val="18"/>
          <w:szCs w:val="18"/>
          <w:color w:val="51555C"/>
        </w:rPr>
        <w:t xml:space="preserve">. Based on this evaluaton under the </w:t>
      </w:r>
      <w:r>
        <w:rPr>
          <w:rFonts w:ascii="Calibri" w:cs="Calibri" w:eastAsia="Calibri" w:hAnsi="Calibri"/>
          <w:sz w:val="18"/>
          <w:szCs w:val="18"/>
          <w:i w:val="1"/>
          <w:iCs w:val="1"/>
          <w:color w:val="51555C"/>
        </w:rPr>
        <w:t>Internal Control - Integrated Framework</w:t>
      </w:r>
      <w:r>
        <w:rPr>
          <w:rFonts w:ascii="Calibri" w:cs="Calibri" w:eastAsia="Calibri" w:hAnsi="Calibri"/>
          <w:sz w:val="18"/>
          <w:szCs w:val="18"/>
          <w:color w:val="51555C"/>
        </w:rPr>
        <w:t>, management concluded that our internal control over fnancial reportng was efectve as of December 31, 2023.</w:t>
      </w:r>
    </w:p>
    <w:p>
      <w:pPr>
        <w:spacing w:after="0" w:line="16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efectveness of our internal control over fnancial reportng as of December 31, 2023, has been audited by our independent registered public accountng frm, as stated in their atestaton report, which is included in Item 8 of this Annual Report on Form 10-K.</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112</w:t>
      </w:r>
      <w:r>
        <w:rPr>
          <w:sz w:val="20"/>
          <w:szCs w:val="20"/>
          <w:color w:val="auto"/>
        </w:rPr>
        <w:tab/>
      </w:r>
      <w:r>
        <w:rPr>
          <w:sz w:val="1"/>
          <w:szCs w:val="1"/>
          <w:color w:val="auto"/>
        </w:rPr>
        <w:drawing>
          <wp:inline distT="0" distB="0" distL="0" distR="0">
            <wp:extent cx="728345" cy="188595"/>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9B. OTHER INFORMATION</w:t>
      </w:r>
    </w:p>
    <w:p>
      <w:pPr>
        <w:spacing w:after="0" w:line="269"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006880"/>
        </w:rPr>
        <w:t>Trading Plans Adopted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The following table provides informaton about trading arrangements adopted or terminated by certain of our ofcers and directors during the three months ended 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00" w:type="dxa"/>
            <w:vAlign w:val="bottom"/>
            <w:shd w:val="clear" w:color="auto" w:fill="004054"/>
          </w:tcPr>
          <w:p>
            <w:pPr>
              <w:spacing w:after="0"/>
              <w:rPr>
                <w:sz w:val="15"/>
                <w:szCs w:val="15"/>
                <w:color w:val="auto"/>
              </w:rPr>
            </w:pPr>
          </w:p>
        </w:tc>
        <w:tc>
          <w:tcPr>
            <w:tcW w:w="1430" w:type="dxa"/>
            <w:vAlign w:val="bottom"/>
            <w:shd w:val="clear" w:color="auto" w:fill="004054"/>
          </w:tcPr>
          <w:p>
            <w:pPr>
              <w:spacing w:after="0"/>
              <w:rPr>
                <w:sz w:val="15"/>
                <w:szCs w:val="15"/>
                <w:color w:val="auto"/>
              </w:rPr>
            </w:pPr>
          </w:p>
        </w:tc>
        <w:tc>
          <w:tcPr>
            <w:tcW w:w="990" w:type="dxa"/>
            <w:vAlign w:val="bottom"/>
            <w:shd w:val="clear" w:color="auto" w:fill="004054"/>
          </w:tcPr>
          <w:p>
            <w:pPr>
              <w:spacing w:after="0"/>
              <w:rPr>
                <w:sz w:val="15"/>
                <w:szCs w:val="15"/>
                <w:color w:val="auto"/>
              </w:rPr>
            </w:pPr>
          </w:p>
        </w:tc>
        <w:tc>
          <w:tcPr>
            <w:tcW w:w="980" w:type="dxa"/>
            <w:vAlign w:val="bottom"/>
            <w:shd w:val="clear" w:color="auto" w:fill="004054"/>
          </w:tcPr>
          <w:p>
            <w:pPr>
              <w:spacing w:after="0"/>
              <w:rPr>
                <w:sz w:val="15"/>
                <w:szCs w:val="15"/>
                <w:color w:val="auto"/>
              </w:rPr>
            </w:pPr>
          </w:p>
        </w:tc>
        <w:tc>
          <w:tcPr>
            <w:tcW w:w="990" w:type="dxa"/>
            <w:vAlign w:val="bottom"/>
            <w:shd w:val="clear" w:color="auto" w:fill="004054"/>
          </w:tcPr>
          <w:p>
            <w:pPr>
              <w:spacing w:after="0"/>
              <w:rPr>
                <w:sz w:val="15"/>
                <w:szCs w:val="15"/>
                <w:color w:val="auto"/>
              </w:rPr>
            </w:pPr>
          </w:p>
        </w:tc>
        <w:tc>
          <w:tcPr>
            <w:tcW w:w="880" w:type="dxa"/>
            <w:vAlign w:val="bottom"/>
            <w:shd w:val="clear" w:color="auto" w:fill="004054"/>
          </w:tcPr>
          <w:p>
            <w:pPr>
              <w:spacing w:after="0"/>
              <w:rPr>
                <w:sz w:val="15"/>
                <w:szCs w:val="15"/>
                <w:color w:val="auto"/>
              </w:rPr>
            </w:pPr>
          </w:p>
        </w:tc>
        <w:tc>
          <w:tcPr>
            <w:tcW w:w="1320" w:type="dxa"/>
            <w:vAlign w:val="bottom"/>
            <w:gridSpan w:val="2"/>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Trading</w:t>
            </w:r>
          </w:p>
        </w:tc>
        <w:tc>
          <w:tcPr>
            <w:tcW w:w="1100" w:type="dxa"/>
            <w:vAlign w:val="bottom"/>
            <w:vMerge w:val="restart"/>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Aggregate</w:t>
            </w:r>
          </w:p>
        </w:tc>
        <w:tc>
          <w:tcPr>
            <w:tcW w:w="37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200" w:type="dxa"/>
            <w:vAlign w:val="bottom"/>
            <w:shd w:val="clear" w:color="auto" w:fill="004054"/>
          </w:tcPr>
          <w:p>
            <w:pPr>
              <w:spacing w:after="0"/>
              <w:rPr>
                <w:sz w:val="5"/>
                <w:szCs w:val="5"/>
                <w:color w:val="auto"/>
              </w:rPr>
            </w:pPr>
          </w:p>
        </w:tc>
        <w:tc>
          <w:tcPr>
            <w:tcW w:w="143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880" w:type="dxa"/>
            <w:vAlign w:val="bottom"/>
            <w:shd w:val="clear" w:color="auto" w:fill="004054"/>
          </w:tcPr>
          <w:p>
            <w:pPr>
              <w:spacing w:after="0"/>
              <w:rPr>
                <w:sz w:val="5"/>
                <w:szCs w:val="5"/>
                <w:color w:val="auto"/>
              </w:rPr>
            </w:pPr>
          </w:p>
        </w:tc>
        <w:tc>
          <w:tcPr>
            <w:tcW w:w="1320" w:type="dxa"/>
            <w:vAlign w:val="bottom"/>
            <w:gridSpan w:val="2"/>
            <w:vMerge w:val="restart"/>
            <w:shd w:val="clear" w:color="auto" w:fill="004054"/>
          </w:tcPr>
          <w:p>
            <w:pPr>
              <w:jc w:val="center"/>
              <w:spacing w:after="0" w:line="210" w:lineRule="exact"/>
              <w:rPr>
                <w:sz w:val="20"/>
                <w:szCs w:val="20"/>
                <w:color w:val="auto"/>
              </w:rPr>
            </w:pPr>
            <w:r>
              <w:rPr>
                <w:rFonts w:ascii="Calibri" w:cs="Calibri" w:eastAsia="Calibri" w:hAnsi="Calibri"/>
                <w:sz w:val="14"/>
                <w:szCs w:val="14"/>
                <w:b w:val="1"/>
                <w:bCs w:val="1"/>
                <w:color w:val="FFFFFF"/>
                <w:w w:val="98"/>
              </w:rPr>
              <w:t>arrangement</w:t>
            </w:r>
            <w:r>
              <w:rPr>
                <w:rFonts w:ascii="Calibri" w:cs="Calibri" w:eastAsia="Calibri" w:hAnsi="Calibri"/>
                <w:sz w:val="18"/>
                <w:szCs w:val="18"/>
                <w:b w:val="1"/>
                <w:bCs w:val="1"/>
                <w:color w:val="FFFFFF"/>
                <w:w w:val="98"/>
                <w:vertAlign w:val="superscript"/>
              </w:rPr>
              <w:t>(1)</w:t>
            </w:r>
          </w:p>
        </w:tc>
        <w:tc>
          <w:tcPr>
            <w:tcW w:w="1100" w:type="dxa"/>
            <w:vAlign w:val="bottom"/>
            <w:vMerge w:val="continue"/>
            <w:shd w:val="clear" w:color="auto" w:fill="004054"/>
          </w:tcPr>
          <w:p>
            <w:pPr>
              <w:spacing w:after="0"/>
              <w:rPr>
                <w:sz w:val="5"/>
                <w:szCs w:val="5"/>
                <w:color w:val="auto"/>
              </w:rPr>
            </w:pPr>
          </w:p>
        </w:tc>
        <w:tc>
          <w:tcPr>
            <w:tcW w:w="37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200" w:type="dxa"/>
            <w:vAlign w:val="bottom"/>
            <w:shd w:val="clear" w:color="auto" w:fill="004054"/>
          </w:tcPr>
          <w:p>
            <w:pPr>
              <w:spacing w:after="0"/>
              <w:rPr>
                <w:sz w:val="12"/>
                <w:szCs w:val="12"/>
                <w:color w:val="auto"/>
              </w:rPr>
            </w:pPr>
          </w:p>
        </w:tc>
        <w:tc>
          <w:tcPr>
            <w:tcW w:w="1430" w:type="dxa"/>
            <w:vAlign w:val="bottom"/>
            <w:shd w:val="clear" w:color="auto" w:fill="004054"/>
          </w:tcPr>
          <w:p>
            <w:pPr>
              <w:spacing w:after="0"/>
              <w:rPr>
                <w:sz w:val="12"/>
                <w:szCs w:val="12"/>
                <w:color w:val="auto"/>
              </w:rPr>
            </w:pPr>
          </w:p>
        </w:tc>
        <w:tc>
          <w:tcPr>
            <w:tcW w:w="990" w:type="dxa"/>
            <w:vAlign w:val="bottom"/>
            <w:shd w:val="clear" w:color="auto" w:fill="004054"/>
          </w:tcPr>
          <w:p>
            <w:pPr>
              <w:spacing w:after="0"/>
              <w:rPr>
                <w:sz w:val="12"/>
                <w:szCs w:val="12"/>
                <w:color w:val="auto"/>
              </w:rPr>
            </w:pPr>
          </w:p>
        </w:tc>
        <w:tc>
          <w:tcPr>
            <w:tcW w:w="980" w:type="dxa"/>
            <w:vAlign w:val="bottom"/>
            <w:shd w:val="clear" w:color="auto" w:fill="004054"/>
          </w:tcPr>
          <w:p>
            <w:pPr>
              <w:spacing w:after="0"/>
              <w:rPr>
                <w:sz w:val="12"/>
                <w:szCs w:val="12"/>
                <w:color w:val="auto"/>
              </w:rPr>
            </w:pPr>
          </w:p>
        </w:tc>
        <w:tc>
          <w:tcPr>
            <w:tcW w:w="990" w:type="dxa"/>
            <w:vAlign w:val="bottom"/>
            <w:shd w:val="clear" w:color="auto" w:fill="004054"/>
          </w:tcPr>
          <w:p>
            <w:pPr>
              <w:spacing w:after="0"/>
              <w:rPr>
                <w:sz w:val="12"/>
                <w:szCs w:val="12"/>
                <w:color w:val="auto"/>
              </w:rPr>
            </w:pPr>
          </w:p>
        </w:tc>
        <w:tc>
          <w:tcPr>
            <w:tcW w:w="880" w:type="dxa"/>
            <w:vAlign w:val="bottom"/>
            <w:shd w:val="clear" w:color="auto" w:fill="004054"/>
          </w:tcPr>
          <w:p>
            <w:pPr>
              <w:spacing w:after="0"/>
              <w:rPr>
                <w:sz w:val="12"/>
                <w:szCs w:val="12"/>
                <w:color w:val="auto"/>
              </w:rPr>
            </w:pPr>
          </w:p>
        </w:tc>
        <w:tc>
          <w:tcPr>
            <w:tcW w:w="1320" w:type="dxa"/>
            <w:vAlign w:val="bottom"/>
            <w:gridSpan w:val="2"/>
            <w:vMerge w:val="continue"/>
            <w:shd w:val="clear" w:color="auto" w:fill="004054"/>
          </w:tcPr>
          <w:p>
            <w:pPr>
              <w:spacing w:after="0"/>
              <w:rPr>
                <w:sz w:val="12"/>
                <w:szCs w:val="12"/>
                <w:color w:val="auto"/>
              </w:rPr>
            </w:pPr>
          </w:p>
        </w:tc>
        <w:tc>
          <w:tcPr>
            <w:tcW w:w="1100" w:type="dxa"/>
            <w:vAlign w:val="bottom"/>
            <w:vMerge w:val="restart"/>
            <w:shd w:val="clear" w:color="auto" w:fill="004054"/>
          </w:tcPr>
          <w:p>
            <w:pPr>
              <w:jc w:val="right"/>
              <w:spacing w:after="0" w:line="169" w:lineRule="exact"/>
              <w:rPr>
                <w:sz w:val="20"/>
                <w:szCs w:val="20"/>
                <w:color w:val="auto"/>
              </w:rPr>
            </w:pPr>
            <w:r>
              <w:rPr>
                <w:rFonts w:ascii="Calibri" w:cs="Calibri" w:eastAsia="Calibri" w:hAnsi="Calibri"/>
                <w:sz w:val="14"/>
                <w:szCs w:val="14"/>
                <w:b w:val="1"/>
                <w:bCs w:val="1"/>
                <w:color w:val="FFFFFF"/>
              </w:rPr>
              <w:t>number of</w:t>
            </w:r>
          </w:p>
        </w:tc>
        <w:tc>
          <w:tcPr>
            <w:tcW w:w="370" w:type="dxa"/>
            <w:vAlign w:val="bottom"/>
            <w:shd w:val="clear" w:color="auto" w:fill="004054"/>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00" w:type="dxa"/>
            <w:vAlign w:val="bottom"/>
            <w:shd w:val="clear" w:color="auto" w:fill="004054"/>
          </w:tcPr>
          <w:p>
            <w:pPr>
              <w:spacing w:after="0"/>
              <w:rPr>
                <w:sz w:val="2"/>
                <w:szCs w:val="2"/>
                <w:color w:val="auto"/>
              </w:rPr>
            </w:pPr>
          </w:p>
        </w:tc>
        <w:tc>
          <w:tcPr>
            <w:tcW w:w="1430" w:type="dxa"/>
            <w:vAlign w:val="bottom"/>
            <w:shd w:val="clear" w:color="auto" w:fill="004054"/>
          </w:tcPr>
          <w:p>
            <w:pPr>
              <w:spacing w:after="0"/>
              <w:rPr>
                <w:sz w:val="2"/>
                <w:szCs w:val="2"/>
                <w:color w:val="auto"/>
              </w:rPr>
            </w:pPr>
          </w:p>
        </w:tc>
        <w:tc>
          <w:tcPr>
            <w:tcW w:w="990" w:type="dxa"/>
            <w:vAlign w:val="bottom"/>
            <w:shd w:val="clear" w:color="auto" w:fill="004054"/>
          </w:tcPr>
          <w:p>
            <w:pPr>
              <w:spacing w:after="0"/>
              <w:rPr>
                <w:sz w:val="2"/>
                <w:szCs w:val="2"/>
                <w:color w:val="auto"/>
              </w:rPr>
            </w:pPr>
          </w:p>
        </w:tc>
        <w:tc>
          <w:tcPr>
            <w:tcW w:w="980" w:type="dxa"/>
            <w:vAlign w:val="bottom"/>
            <w:shd w:val="clear" w:color="auto" w:fill="004054"/>
          </w:tcPr>
          <w:p>
            <w:pPr>
              <w:spacing w:after="0"/>
              <w:rPr>
                <w:sz w:val="2"/>
                <w:szCs w:val="2"/>
                <w:color w:val="auto"/>
              </w:rPr>
            </w:pPr>
          </w:p>
        </w:tc>
        <w:tc>
          <w:tcPr>
            <w:tcW w:w="990" w:type="dxa"/>
            <w:vAlign w:val="bottom"/>
            <w:shd w:val="clear" w:color="auto" w:fill="004054"/>
          </w:tcPr>
          <w:p>
            <w:pPr>
              <w:spacing w:after="0"/>
              <w:rPr>
                <w:sz w:val="2"/>
                <w:szCs w:val="2"/>
                <w:color w:val="auto"/>
              </w:rPr>
            </w:pPr>
          </w:p>
        </w:tc>
        <w:tc>
          <w:tcPr>
            <w:tcW w:w="880" w:type="dxa"/>
            <w:vAlign w:val="bottom"/>
            <w:shd w:val="clear" w:color="auto" w:fill="004054"/>
          </w:tcPr>
          <w:p>
            <w:pPr>
              <w:spacing w:after="0"/>
              <w:rPr>
                <w:sz w:val="2"/>
                <w:szCs w:val="2"/>
                <w:color w:val="auto"/>
              </w:rPr>
            </w:pPr>
          </w:p>
        </w:tc>
        <w:tc>
          <w:tcPr>
            <w:tcW w:w="660" w:type="dxa"/>
            <w:vAlign w:val="bottom"/>
            <w:shd w:val="clear" w:color="auto" w:fill="004054"/>
          </w:tcPr>
          <w:p>
            <w:pPr>
              <w:spacing w:after="0"/>
              <w:rPr>
                <w:sz w:val="2"/>
                <w:szCs w:val="2"/>
                <w:color w:val="auto"/>
              </w:rPr>
            </w:pPr>
          </w:p>
        </w:tc>
        <w:tc>
          <w:tcPr>
            <w:tcW w:w="660" w:type="dxa"/>
            <w:vAlign w:val="bottom"/>
            <w:shd w:val="clear" w:color="auto" w:fill="004054"/>
          </w:tcPr>
          <w:p>
            <w:pPr>
              <w:spacing w:after="0"/>
              <w:rPr>
                <w:sz w:val="2"/>
                <w:szCs w:val="2"/>
                <w:color w:val="auto"/>
              </w:rPr>
            </w:pPr>
          </w:p>
        </w:tc>
        <w:tc>
          <w:tcPr>
            <w:tcW w:w="1100" w:type="dxa"/>
            <w:vAlign w:val="bottom"/>
            <w:vMerge w:val="continue"/>
            <w:shd w:val="clear" w:color="auto" w:fill="004054"/>
          </w:tcPr>
          <w:p>
            <w:pPr>
              <w:spacing w:after="0"/>
              <w:rPr>
                <w:sz w:val="2"/>
                <w:szCs w:val="2"/>
                <w:color w:val="auto"/>
              </w:rPr>
            </w:pPr>
          </w:p>
        </w:tc>
        <w:tc>
          <w:tcPr>
            <w:tcW w:w="370" w:type="dxa"/>
            <w:vAlign w:val="bottom"/>
            <w:shd w:val="clear" w:color="auto" w:fill="0040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shd w:val="clear" w:color="auto" w:fill="004054"/>
          </w:tcPr>
          <w:p>
            <w:pPr>
              <w:spacing w:after="0"/>
              <w:rPr>
                <w:sz w:val="15"/>
                <w:szCs w:val="15"/>
                <w:color w:val="auto"/>
              </w:rPr>
            </w:pPr>
          </w:p>
        </w:tc>
        <w:tc>
          <w:tcPr>
            <w:tcW w:w="1430" w:type="dxa"/>
            <w:vAlign w:val="bottom"/>
            <w:shd w:val="clear" w:color="auto" w:fill="004054"/>
          </w:tcPr>
          <w:p>
            <w:pPr>
              <w:spacing w:after="0"/>
              <w:rPr>
                <w:sz w:val="15"/>
                <w:szCs w:val="15"/>
                <w:color w:val="auto"/>
              </w:rPr>
            </w:pPr>
          </w:p>
        </w:tc>
        <w:tc>
          <w:tcPr>
            <w:tcW w:w="990" w:type="dxa"/>
            <w:vAlign w:val="bottom"/>
            <w:vMerge w:val="restart"/>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Date of</w:t>
            </w:r>
          </w:p>
        </w:tc>
        <w:tc>
          <w:tcPr>
            <w:tcW w:w="98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Plan</w:t>
            </w:r>
          </w:p>
        </w:tc>
        <w:tc>
          <w:tcPr>
            <w:tcW w:w="990" w:type="dxa"/>
            <w:vAlign w:val="bottom"/>
            <w:shd w:val="clear" w:color="auto" w:fill="004054"/>
          </w:tcPr>
          <w:p>
            <w:pPr>
              <w:ind w:left="360"/>
              <w:spacing w:after="0"/>
              <w:rPr>
                <w:sz w:val="20"/>
                <w:szCs w:val="20"/>
                <w:color w:val="auto"/>
              </w:rPr>
            </w:pPr>
            <w:r>
              <w:rPr>
                <w:rFonts w:ascii="Calibri" w:cs="Calibri" w:eastAsia="Calibri" w:hAnsi="Calibri"/>
                <w:sz w:val="14"/>
                <w:szCs w:val="14"/>
                <w:b w:val="1"/>
                <w:bCs w:val="1"/>
                <w:color w:val="FFFFFF"/>
              </w:rPr>
              <w:t>Plan</w:t>
            </w:r>
          </w:p>
        </w:tc>
        <w:tc>
          <w:tcPr>
            <w:tcW w:w="88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Plan</w:t>
            </w:r>
          </w:p>
        </w:tc>
        <w:tc>
          <w:tcPr>
            <w:tcW w:w="660" w:type="dxa"/>
            <w:vAlign w:val="bottom"/>
            <w:vMerge w:val="restart"/>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Rule</w:t>
            </w:r>
          </w:p>
        </w:tc>
        <w:tc>
          <w:tcPr>
            <w:tcW w:w="660" w:type="dxa"/>
            <w:vAlign w:val="bottom"/>
            <w:vMerge w:val="restart"/>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Non-Rule</w:t>
            </w: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securites to</w:t>
            </w:r>
          </w:p>
        </w:tc>
        <w:tc>
          <w:tcPr>
            <w:tcW w:w="37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shd w:val="clear" w:color="auto" w:fill="004054"/>
          </w:tcPr>
          <w:p>
            <w:pPr>
              <w:spacing w:after="0"/>
              <w:rPr>
                <w:sz w:val="14"/>
                <w:szCs w:val="14"/>
                <w:color w:val="auto"/>
              </w:rPr>
            </w:pPr>
          </w:p>
        </w:tc>
        <w:tc>
          <w:tcPr>
            <w:tcW w:w="1430" w:type="dxa"/>
            <w:vAlign w:val="bottom"/>
            <w:shd w:val="clear" w:color="auto" w:fill="004054"/>
          </w:tcPr>
          <w:p>
            <w:pPr>
              <w:spacing w:after="0"/>
              <w:rPr>
                <w:sz w:val="14"/>
                <w:szCs w:val="14"/>
                <w:color w:val="auto"/>
              </w:rPr>
            </w:pPr>
          </w:p>
        </w:tc>
        <w:tc>
          <w:tcPr>
            <w:tcW w:w="990" w:type="dxa"/>
            <w:vAlign w:val="bottom"/>
            <w:vMerge w:val="continue"/>
            <w:shd w:val="clear" w:color="auto" w:fill="004054"/>
          </w:tcPr>
          <w:p>
            <w:pPr>
              <w:spacing w:after="0"/>
              <w:rPr>
                <w:sz w:val="14"/>
                <w:szCs w:val="14"/>
                <w:color w:val="auto"/>
              </w:rPr>
            </w:pPr>
          </w:p>
        </w:tc>
        <w:tc>
          <w:tcPr>
            <w:tcW w:w="980" w:type="dxa"/>
            <w:vAlign w:val="bottom"/>
            <w:shd w:val="clear" w:color="auto" w:fill="004054"/>
          </w:tcPr>
          <w:p>
            <w:pPr>
              <w:jc w:val="center"/>
              <w:spacing w:after="0" w:line="168" w:lineRule="exact"/>
              <w:rPr>
                <w:sz w:val="20"/>
                <w:szCs w:val="20"/>
                <w:color w:val="auto"/>
              </w:rPr>
            </w:pPr>
            <w:r>
              <w:rPr>
                <w:rFonts w:ascii="Calibri" w:cs="Calibri" w:eastAsia="Calibri" w:hAnsi="Calibri"/>
                <w:sz w:val="14"/>
                <w:szCs w:val="14"/>
                <w:b w:val="1"/>
                <w:bCs w:val="1"/>
                <w:color w:val="FFFFFF"/>
              </w:rPr>
              <w:t>efectve</w:t>
            </w:r>
          </w:p>
        </w:tc>
        <w:tc>
          <w:tcPr>
            <w:tcW w:w="990" w:type="dxa"/>
            <w:vAlign w:val="bottom"/>
            <w:shd w:val="clear" w:color="auto" w:fill="004054"/>
          </w:tcPr>
          <w:p>
            <w:pPr>
              <w:ind w:left="380"/>
              <w:spacing w:after="0" w:line="168" w:lineRule="exact"/>
              <w:rPr>
                <w:sz w:val="20"/>
                <w:szCs w:val="20"/>
                <w:color w:val="auto"/>
              </w:rPr>
            </w:pPr>
            <w:r>
              <w:rPr>
                <w:rFonts w:ascii="Calibri" w:cs="Calibri" w:eastAsia="Calibri" w:hAnsi="Calibri"/>
                <w:sz w:val="14"/>
                <w:szCs w:val="14"/>
                <w:b w:val="1"/>
                <w:bCs w:val="1"/>
                <w:color w:val="FFFFFF"/>
              </w:rPr>
              <w:t>end</w:t>
            </w:r>
          </w:p>
        </w:tc>
        <w:tc>
          <w:tcPr>
            <w:tcW w:w="880" w:type="dxa"/>
            <w:vAlign w:val="bottom"/>
            <w:shd w:val="clear" w:color="auto" w:fill="004054"/>
          </w:tcPr>
          <w:p>
            <w:pPr>
              <w:jc w:val="center"/>
              <w:spacing w:after="0" w:line="168" w:lineRule="exact"/>
              <w:rPr>
                <w:sz w:val="20"/>
                <w:szCs w:val="20"/>
                <w:color w:val="auto"/>
              </w:rPr>
            </w:pPr>
            <w:r>
              <w:rPr>
                <w:rFonts w:ascii="Calibri" w:cs="Calibri" w:eastAsia="Calibri" w:hAnsi="Calibri"/>
                <w:sz w:val="14"/>
                <w:szCs w:val="14"/>
                <w:b w:val="1"/>
                <w:bCs w:val="1"/>
                <w:color w:val="FFFFFF"/>
              </w:rPr>
              <w:t>duraton</w:t>
            </w:r>
          </w:p>
        </w:tc>
        <w:tc>
          <w:tcPr>
            <w:tcW w:w="660" w:type="dxa"/>
            <w:vAlign w:val="bottom"/>
            <w:vMerge w:val="continue"/>
            <w:shd w:val="clear" w:color="auto" w:fill="004054"/>
          </w:tcPr>
          <w:p>
            <w:pPr>
              <w:spacing w:after="0"/>
              <w:rPr>
                <w:sz w:val="14"/>
                <w:szCs w:val="14"/>
                <w:color w:val="auto"/>
              </w:rPr>
            </w:pPr>
          </w:p>
        </w:tc>
        <w:tc>
          <w:tcPr>
            <w:tcW w:w="660" w:type="dxa"/>
            <w:vAlign w:val="bottom"/>
            <w:vMerge w:val="continue"/>
            <w:shd w:val="clear" w:color="auto" w:fill="004054"/>
          </w:tcPr>
          <w:p>
            <w:pPr>
              <w:spacing w:after="0"/>
              <w:rPr>
                <w:sz w:val="14"/>
                <w:szCs w:val="14"/>
                <w:color w:val="auto"/>
              </w:rPr>
            </w:pPr>
          </w:p>
        </w:tc>
        <w:tc>
          <w:tcPr>
            <w:tcW w:w="1100" w:type="dxa"/>
            <w:vAlign w:val="bottom"/>
            <w:shd w:val="clear" w:color="auto" w:fill="004054"/>
          </w:tcPr>
          <w:p>
            <w:pPr>
              <w:jc w:val="right"/>
              <w:spacing w:after="0" w:line="168" w:lineRule="exact"/>
              <w:rPr>
                <w:sz w:val="20"/>
                <w:szCs w:val="20"/>
                <w:color w:val="auto"/>
              </w:rPr>
            </w:pPr>
            <w:r>
              <w:rPr>
                <w:rFonts w:ascii="Calibri" w:cs="Calibri" w:eastAsia="Calibri" w:hAnsi="Calibri"/>
                <w:sz w:val="14"/>
                <w:szCs w:val="14"/>
                <w:b w:val="1"/>
                <w:bCs w:val="1"/>
                <w:color w:val="FFFFFF"/>
              </w:rPr>
              <w:t>be sold</w:t>
            </w:r>
          </w:p>
        </w:tc>
        <w:tc>
          <w:tcPr>
            <w:tcW w:w="37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004054"/>
          </w:tcPr>
          <w:p>
            <w:pPr>
              <w:ind w:left="40"/>
              <w:spacing w:after="0"/>
              <w:rPr>
                <w:sz w:val="20"/>
                <w:szCs w:val="20"/>
                <w:color w:val="auto"/>
              </w:rPr>
            </w:pPr>
            <w:r>
              <w:rPr>
                <w:rFonts w:ascii="Calibri" w:cs="Calibri" w:eastAsia="Calibri" w:hAnsi="Calibri"/>
                <w:sz w:val="14"/>
                <w:szCs w:val="14"/>
                <w:b w:val="1"/>
                <w:bCs w:val="1"/>
                <w:color w:val="FFFFFF"/>
              </w:rPr>
              <w:t>Name and Title</w:t>
            </w:r>
          </w:p>
        </w:tc>
        <w:tc>
          <w:tcPr>
            <w:tcW w:w="1430" w:type="dxa"/>
            <w:vAlign w:val="bottom"/>
            <w:shd w:val="clear" w:color="auto" w:fill="004054"/>
          </w:tcPr>
          <w:p>
            <w:pPr>
              <w:ind w:left="520"/>
              <w:spacing w:after="0"/>
              <w:rPr>
                <w:sz w:val="20"/>
                <w:szCs w:val="20"/>
                <w:color w:val="auto"/>
              </w:rPr>
            </w:pPr>
            <w:r>
              <w:rPr>
                <w:rFonts w:ascii="Calibri" w:cs="Calibri" w:eastAsia="Calibri" w:hAnsi="Calibri"/>
                <w:sz w:val="14"/>
                <w:szCs w:val="14"/>
                <w:b w:val="1"/>
                <w:bCs w:val="1"/>
                <w:color w:val="FFFFFF"/>
              </w:rPr>
              <w:t>Acton</w:t>
            </w:r>
          </w:p>
        </w:tc>
        <w:tc>
          <w:tcPr>
            <w:tcW w:w="99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Adopton</w:t>
            </w:r>
          </w:p>
        </w:tc>
        <w:tc>
          <w:tcPr>
            <w:tcW w:w="98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w w:val="98"/>
              </w:rPr>
              <w:t>date</w:t>
            </w:r>
          </w:p>
        </w:tc>
        <w:tc>
          <w:tcPr>
            <w:tcW w:w="990" w:type="dxa"/>
            <w:vAlign w:val="bottom"/>
            <w:shd w:val="clear" w:color="auto" w:fill="004054"/>
          </w:tcPr>
          <w:p>
            <w:pPr>
              <w:ind w:left="360"/>
              <w:spacing w:after="0"/>
              <w:rPr>
                <w:sz w:val="20"/>
                <w:szCs w:val="20"/>
                <w:color w:val="auto"/>
              </w:rPr>
            </w:pPr>
            <w:r>
              <w:rPr>
                <w:rFonts w:ascii="Calibri" w:cs="Calibri" w:eastAsia="Calibri" w:hAnsi="Calibri"/>
                <w:sz w:val="14"/>
                <w:szCs w:val="14"/>
                <w:b w:val="1"/>
                <w:bCs w:val="1"/>
                <w:color w:val="FFFFFF"/>
              </w:rPr>
              <w:t>date</w:t>
            </w:r>
          </w:p>
        </w:tc>
        <w:tc>
          <w:tcPr>
            <w:tcW w:w="88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(months)</w:t>
            </w:r>
          </w:p>
        </w:tc>
        <w:tc>
          <w:tcPr>
            <w:tcW w:w="66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w w:val="99"/>
              </w:rPr>
              <w:t>10b5-1</w:t>
            </w:r>
          </w:p>
        </w:tc>
        <w:tc>
          <w:tcPr>
            <w:tcW w:w="66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w w:val="99"/>
              </w:rPr>
              <w:t>10b5-1</w:t>
            </w:r>
          </w:p>
        </w:tc>
        <w:tc>
          <w:tcPr>
            <w:tcW w:w="1100" w:type="dxa"/>
            <w:vAlign w:val="bottom"/>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under plan</w:t>
            </w:r>
          </w:p>
        </w:tc>
        <w:tc>
          <w:tcPr>
            <w:tcW w:w="37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200" w:type="dxa"/>
            <w:vAlign w:val="bottom"/>
            <w:shd w:val="clear" w:color="auto" w:fill="004054"/>
          </w:tcPr>
          <w:p>
            <w:pPr>
              <w:spacing w:after="0"/>
              <w:rPr>
                <w:sz w:val="5"/>
                <w:szCs w:val="5"/>
                <w:color w:val="auto"/>
              </w:rPr>
            </w:pPr>
          </w:p>
        </w:tc>
        <w:tc>
          <w:tcPr>
            <w:tcW w:w="143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980" w:type="dxa"/>
            <w:vAlign w:val="bottom"/>
            <w:shd w:val="clear" w:color="auto" w:fill="004054"/>
          </w:tcPr>
          <w:p>
            <w:pPr>
              <w:spacing w:after="0"/>
              <w:rPr>
                <w:sz w:val="5"/>
                <w:szCs w:val="5"/>
                <w:color w:val="auto"/>
              </w:rPr>
            </w:pPr>
          </w:p>
        </w:tc>
        <w:tc>
          <w:tcPr>
            <w:tcW w:w="990" w:type="dxa"/>
            <w:vAlign w:val="bottom"/>
            <w:shd w:val="clear" w:color="auto" w:fill="004054"/>
          </w:tcPr>
          <w:p>
            <w:pPr>
              <w:spacing w:after="0"/>
              <w:rPr>
                <w:sz w:val="5"/>
                <w:szCs w:val="5"/>
                <w:color w:val="auto"/>
              </w:rPr>
            </w:pPr>
          </w:p>
        </w:tc>
        <w:tc>
          <w:tcPr>
            <w:tcW w:w="880" w:type="dxa"/>
            <w:vAlign w:val="bottom"/>
            <w:shd w:val="clear" w:color="auto" w:fill="004054"/>
          </w:tcPr>
          <w:p>
            <w:pPr>
              <w:spacing w:after="0"/>
              <w:rPr>
                <w:sz w:val="5"/>
                <w:szCs w:val="5"/>
                <w:color w:val="auto"/>
              </w:rPr>
            </w:pPr>
          </w:p>
        </w:tc>
        <w:tc>
          <w:tcPr>
            <w:tcW w:w="660" w:type="dxa"/>
            <w:vAlign w:val="bottom"/>
            <w:shd w:val="clear" w:color="auto" w:fill="004054"/>
          </w:tcPr>
          <w:p>
            <w:pPr>
              <w:spacing w:after="0"/>
              <w:rPr>
                <w:sz w:val="5"/>
                <w:szCs w:val="5"/>
                <w:color w:val="auto"/>
              </w:rPr>
            </w:pPr>
          </w:p>
        </w:tc>
        <w:tc>
          <w:tcPr>
            <w:tcW w:w="660" w:type="dxa"/>
            <w:vAlign w:val="bottom"/>
            <w:shd w:val="clear" w:color="auto" w:fill="004054"/>
          </w:tcPr>
          <w:p>
            <w:pPr>
              <w:spacing w:after="0"/>
              <w:rPr>
                <w:sz w:val="5"/>
                <w:szCs w:val="5"/>
                <w:color w:val="auto"/>
              </w:rPr>
            </w:pPr>
          </w:p>
        </w:tc>
        <w:tc>
          <w:tcPr>
            <w:tcW w:w="1100" w:type="dxa"/>
            <w:vAlign w:val="bottom"/>
            <w:shd w:val="clear" w:color="auto" w:fill="004054"/>
          </w:tcPr>
          <w:p>
            <w:pPr>
              <w:spacing w:after="0"/>
              <w:rPr>
                <w:sz w:val="5"/>
                <w:szCs w:val="5"/>
                <w:color w:val="auto"/>
              </w:rPr>
            </w:pPr>
          </w:p>
        </w:tc>
        <w:tc>
          <w:tcPr>
            <w:tcW w:w="37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4718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-376555</wp:posOffset>
            </wp:positionV>
            <wp:extent cx="84836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ind w:left="20"/>
              <w:spacing w:after="0"/>
              <w:rPr>
                <w:sz w:val="20"/>
                <w:szCs w:val="20"/>
                <w:color w:val="auto"/>
              </w:rPr>
            </w:pPr>
            <w:r>
              <w:rPr>
                <w:rFonts w:ascii="Calibri" w:cs="Calibri" w:eastAsia="Calibri" w:hAnsi="Calibri"/>
                <w:sz w:val="18"/>
                <w:szCs w:val="18"/>
                <w:b w:val="1"/>
                <w:bCs w:val="1"/>
                <w:color w:val="51555C"/>
              </w:rPr>
              <w:t>Michael P. Gianoni</w:t>
            </w:r>
          </w:p>
        </w:tc>
        <w:tc>
          <w:tcPr>
            <w:tcW w:w="1160" w:type="dxa"/>
            <w:vAlign w:val="bottom"/>
            <w:vMerge w:val="restart"/>
          </w:tcPr>
          <w:p>
            <w:pPr>
              <w:ind w:left="220"/>
              <w:spacing w:after="0"/>
              <w:rPr>
                <w:sz w:val="20"/>
                <w:szCs w:val="20"/>
                <w:color w:val="auto"/>
              </w:rPr>
            </w:pPr>
            <w:r>
              <w:rPr>
                <w:rFonts w:ascii="Calibri" w:cs="Calibri" w:eastAsia="Calibri" w:hAnsi="Calibri"/>
                <w:sz w:val="18"/>
                <w:szCs w:val="18"/>
                <w:color w:val="51555C"/>
              </w:rPr>
              <w:t>Adopton</w:t>
            </w:r>
          </w:p>
        </w:tc>
        <w:tc>
          <w:tcPr>
            <w:tcW w:w="112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11/07/23</w:t>
            </w:r>
          </w:p>
        </w:tc>
        <w:tc>
          <w:tcPr>
            <w:tcW w:w="94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2/26/24</w:t>
            </w:r>
          </w:p>
        </w:tc>
        <w:tc>
          <w:tcPr>
            <w:tcW w:w="1040" w:type="dxa"/>
            <w:vAlign w:val="bottom"/>
            <w:vMerge w:val="restart"/>
          </w:tcPr>
          <w:p>
            <w:pPr>
              <w:jc w:val="center"/>
              <w:spacing w:after="0"/>
              <w:rPr>
                <w:sz w:val="20"/>
                <w:szCs w:val="20"/>
                <w:color w:val="auto"/>
              </w:rPr>
            </w:pPr>
            <w:r>
              <w:rPr>
                <w:rFonts w:ascii="Calibri" w:cs="Calibri" w:eastAsia="Calibri" w:hAnsi="Calibri"/>
                <w:sz w:val="18"/>
                <w:szCs w:val="18"/>
                <w:color w:val="51555C"/>
                <w:w w:val="97"/>
              </w:rPr>
              <w:t>8/09/24</w:t>
            </w:r>
          </w:p>
        </w:tc>
        <w:tc>
          <w:tcPr>
            <w:tcW w:w="860" w:type="dxa"/>
            <w:vAlign w:val="bottom"/>
            <w:vMerge w:val="restart"/>
          </w:tcPr>
          <w:p>
            <w:pPr>
              <w:jc w:val="center"/>
              <w:spacing w:after="0"/>
              <w:rPr>
                <w:sz w:val="20"/>
                <w:szCs w:val="20"/>
                <w:color w:val="auto"/>
              </w:rPr>
            </w:pPr>
            <w:r>
              <w:rPr>
                <w:rFonts w:ascii="Calibri" w:cs="Calibri" w:eastAsia="Calibri" w:hAnsi="Calibri"/>
                <w:sz w:val="18"/>
                <w:szCs w:val="18"/>
                <w:color w:val="51555C"/>
                <w:w w:val="98"/>
              </w:rPr>
              <w:t>Six</w:t>
            </w:r>
          </w:p>
        </w:tc>
        <w:tc>
          <w:tcPr>
            <w:tcW w:w="1140" w:type="dxa"/>
            <w:vAlign w:val="bottom"/>
            <w:vMerge w:val="restart"/>
          </w:tcPr>
          <w:p>
            <w:pPr>
              <w:ind w:left="260"/>
              <w:spacing w:after="0"/>
              <w:rPr>
                <w:sz w:val="20"/>
                <w:szCs w:val="20"/>
                <w:color w:val="auto"/>
              </w:rPr>
            </w:pPr>
            <w:r>
              <w:rPr>
                <w:rFonts w:ascii="Calibri" w:cs="Calibri" w:eastAsia="Calibri" w:hAnsi="Calibri"/>
                <w:sz w:val="18"/>
                <w:szCs w:val="18"/>
                <w:color w:val="51555C"/>
              </w:rPr>
              <w:t>X</w:t>
            </w:r>
          </w:p>
        </w:tc>
        <w:tc>
          <w:tcPr>
            <w:tcW w:w="1300" w:type="dxa"/>
            <w:vAlign w:val="bottom"/>
            <w:vMerge w:val="restart"/>
          </w:tcPr>
          <w:p>
            <w:pPr>
              <w:jc w:val="right"/>
              <w:spacing w:after="0"/>
              <w:rPr>
                <w:sz w:val="20"/>
                <w:szCs w:val="20"/>
                <w:color w:val="auto"/>
              </w:rPr>
            </w:pPr>
            <w:r>
              <w:rPr>
                <w:rFonts w:ascii="Calibri" w:cs="Calibri" w:eastAsia="Calibri" w:hAnsi="Calibri"/>
                <w:sz w:val="18"/>
                <w:szCs w:val="18"/>
                <w:color w:val="51555C"/>
              </w:rPr>
              <w:t>50,000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60" w:type="dxa"/>
            <w:vAlign w:val="bottom"/>
            <w:vMerge w:val="restart"/>
          </w:tcPr>
          <w:p>
            <w:pPr>
              <w:ind w:left="20"/>
              <w:spacing w:after="0"/>
              <w:rPr>
                <w:sz w:val="20"/>
                <w:szCs w:val="20"/>
                <w:color w:val="auto"/>
              </w:rPr>
            </w:pPr>
            <w:r>
              <w:rPr>
                <w:rFonts w:ascii="Calibri" w:cs="Calibri" w:eastAsia="Calibri" w:hAnsi="Calibri"/>
                <w:sz w:val="14"/>
                <w:szCs w:val="14"/>
                <w:color w:val="51555C"/>
              </w:rPr>
              <w:t>Chief Executve Ofcer, President and Vice Chairman</w:t>
            </w:r>
          </w:p>
        </w:tc>
        <w:tc>
          <w:tcPr>
            <w:tcW w:w="11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336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rPr>
                <w:sz w:val="20"/>
                <w:szCs w:val="20"/>
                <w:color w:val="auto"/>
              </w:rPr>
            </w:pPr>
            <w:r>
              <w:rPr>
                <w:rFonts w:ascii="Calibri" w:cs="Calibri" w:eastAsia="Calibri" w:hAnsi="Calibri"/>
                <w:sz w:val="14"/>
                <w:szCs w:val="14"/>
                <w:color w:val="51555C"/>
              </w:rPr>
              <w:t>of the Board</w:t>
            </w: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3360" w:type="dxa"/>
            <w:vAlign w:val="bottom"/>
          </w:tcPr>
          <w:p>
            <w:pPr>
              <w:ind w:left="20"/>
              <w:spacing w:after="0"/>
              <w:rPr>
                <w:sz w:val="20"/>
                <w:szCs w:val="20"/>
                <w:color w:val="auto"/>
              </w:rPr>
            </w:pPr>
            <w:r>
              <w:rPr>
                <w:rFonts w:ascii="Calibri" w:cs="Calibri" w:eastAsia="Calibri" w:hAnsi="Calibri"/>
                <w:sz w:val="18"/>
                <w:szCs w:val="18"/>
                <w:b w:val="1"/>
                <w:bCs w:val="1"/>
                <w:color w:val="51555C"/>
              </w:rPr>
              <w:t>Anthony W. Boor</w:t>
            </w:r>
          </w:p>
        </w:tc>
        <w:tc>
          <w:tcPr>
            <w:tcW w:w="1160" w:type="dxa"/>
            <w:vAlign w:val="bottom"/>
            <w:vMerge w:val="restart"/>
          </w:tcPr>
          <w:p>
            <w:pPr>
              <w:ind w:left="220"/>
              <w:spacing w:after="0"/>
              <w:rPr>
                <w:sz w:val="20"/>
                <w:szCs w:val="20"/>
                <w:color w:val="auto"/>
              </w:rPr>
            </w:pPr>
            <w:r>
              <w:rPr>
                <w:rFonts w:ascii="Calibri" w:cs="Calibri" w:eastAsia="Calibri" w:hAnsi="Calibri"/>
                <w:sz w:val="18"/>
                <w:szCs w:val="18"/>
                <w:color w:val="51555C"/>
              </w:rPr>
              <w:t>Adopton</w:t>
            </w:r>
          </w:p>
        </w:tc>
        <w:tc>
          <w:tcPr>
            <w:tcW w:w="112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11/07/23</w:t>
            </w:r>
          </w:p>
        </w:tc>
        <w:tc>
          <w:tcPr>
            <w:tcW w:w="94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2/26/24</w:t>
            </w:r>
          </w:p>
        </w:tc>
        <w:tc>
          <w:tcPr>
            <w:tcW w:w="1040" w:type="dxa"/>
            <w:vAlign w:val="bottom"/>
            <w:vMerge w:val="restart"/>
          </w:tcPr>
          <w:p>
            <w:pPr>
              <w:jc w:val="center"/>
              <w:spacing w:after="0"/>
              <w:rPr>
                <w:sz w:val="20"/>
                <w:szCs w:val="20"/>
                <w:color w:val="auto"/>
              </w:rPr>
            </w:pPr>
            <w:r>
              <w:rPr>
                <w:rFonts w:ascii="Calibri" w:cs="Calibri" w:eastAsia="Calibri" w:hAnsi="Calibri"/>
                <w:sz w:val="18"/>
                <w:szCs w:val="18"/>
                <w:color w:val="51555C"/>
                <w:w w:val="97"/>
              </w:rPr>
              <w:t>8/09/24</w:t>
            </w:r>
          </w:p>
        </w:tc>
        <w:tc>
          <w:tcPr>
            <w:tcW w:w="860" w:type="dxa"/>
            <w:vAlign w:val="bottom"/>
            <w:vMerge w:val="restart"/>
          </w:tcPr>
          <w:p>
            <w:pPr>
              <w:jc w:val="center"/>
              <w:spacing w:after="0"/>
              <w:rPr>
                <w:sz w:val="20"/>
                <w:szCs w:val="20"/>
                <w:color w:val="auto"/>
              </w:rPr>
            </w:pPr>
            <w:r>
              <w:rPr>
                <w:rFonts w:ascii="Calibri" w:cs="Calibri" w:eastAsia="Calibri" w:hAnsi="Calibri"/>
                <w:sz w:val="18"/>
                <w:szCs w:val="18"/>
                <w:color w:val="51555C"/>
                <w:w w:val="98"/>
              </w:rPr>
              <w:t>Six</w:t>
            </w:r>
          </w:p>
        </w:tc>
        <w:tc>
          <w:tcPr>
            <w:tcW w:w="1140" w:type="dxa"/>
            <w:vAlign w:val="bottom"/>
            <w:vMerge w:val="restart"/>
          </w:tcPr>
          <w:p>
            <w:pPr>
              <w:ind w:left="260"/>
              <w:spacing w:after="0"/>
              <w:rPr>
                <w:sz w:val="20"/>
                <w:szCs w:val="20"/>
                <w:color w:val="auto"/>
              </w:rPr>
            </w:pPr>
            <w:r>
              <w:rPr>
                <w:rFonts w:ascii="Calibri" w:cs="Calibri" w:eastAsia="Calibri" w:hAnsi="Calibri"/>
                <w:sz w:val="18"/>
                <w:szCs w:val="18"/>
                <w:color w:val="51555C"/>
              </w:rPr>
              <w:t>X</w:t>
            </w:r>
          </w:p>
        </w:tc>
        <w:tc>
          <w:tcPr>
            <w:tcW w:w="1300" w:type="dxa"/>
            <w:vAlign w:val="bottom"/>
            <w:vMerge w:val="restart"/>
          </w:tcPr>
          <w:p>
            <w:pPr>
              <w:jc w:val="right"/>
              <w:spacing w:after="0"/>
              <w:rPr>
                <w:sz w:val="20"/>
                <w:szCs w:val="20"/>
                <w:color w:val="auto"/>
              </w:rPr>
            </w:pPr>
            <w:r>
              <w:rPr>
                <w:rFonts w:ascii="Calibri" w:cs="Calibri" w:eastAsia="Calibri" w:hAnsi="Calibri"/>
                <w:sz w:val="18"/>
                <w:szCs w:val="18"/>
                <w:color w:val="51555C"/>
              </w:rPr>
              <w:t>30,000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360" w:type="dxa"/>
            <w:vAlign w:val="bottom"/>
            <w:vMerge w:val="restart"/>
          </w:tcPr>
          <w:p>
            <w:pPr>
              <w:ind w:left="20"/>
              <w:spacing w:after="0"/>
              <w:rPr>
                <w:sz w:val="20"/>
                <w:szCs w:val="20"/>
                <w:color w:val="auto"/>
              </w:rPr>
            </w:pPr>
            <w:r>
              <w:rPr>
                <w:rFonts w:ascii="Calibri" w:cs="Calibri" w:eastAsia="Calibri" w:hAnsi="Calibri"/>
                <w:sz w:val="14"/>
                <w:szCs w:val="14"/>
                <w:color w:val="51555C"/>
              </w:rPr>
              <w:t>Executve Vice President and Chief Financial Ofcer</w:t>
            </w:r>
          </w:p>
        </w:tc>
        <w:tc>
          <w:tcPr>
            <w:tcW w:w="11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33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3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3360" w:type="dxa"/>
            <w:vAlign w:val="bottom"/>
            <w:shd w:val="clear" w:color="auto" w:fill="EBFBFF"/>
          </w:tcPr>
          <w:p>
            <w:pPr>
              <w:ind w:left="20"/>
              <w:spacing w:after="0"/>
              <w:rPr>
                <w:sz w:val="20"/>
                <w:szCs w:val="20"/>
                <w:color w:val="auto"/>
              </w:rPr>
            </w:pPr>
            <w:r>
              <w:rPr>
                <w:rFonts w:ascii="Calibri" w:cs="Calibri" w:eastAsia="Calibri" w:hAnsi="Calibri"/>
                <w:sz w:val="18"/>
                <w:szCs w:val="18"/>
                <w:b w:val="1"/>
                <w:bCs w:val="1"/>
                <w:color w:val="51555C"/>
              </w:rPr>
              <w:t>Kevin P. Gregoire</w:t>
            </w:r>
          </w:p>
        </w:tc>
        <w:tc>
          <w:tcPr>
            <w:tcW w:w="1160" w:type="dxa"/>
            <w:vAlign w:val="bottom"/>
            <w:vMerge w:val="restart"/>
            <w:shd w:val="clear" w:color="auto" w:fill="EBFBFF"/>
          </w:tcPr>
          <w:p>
            <w:pPr>
              <w:ind w:left="220"/>
              <w:spacing w:after="0"/>
              <w:rPr>
                <w:sz w:val="20"/>
                <w:szCs w:val="20"/>
                <w:color w:val="auto"/>
              </w:rPr>
            </w:pPr>
            <w:r>
              <w:rPr>
                <w:rFonts w:ascii="Calibri" w:cs="Calibri" w:eastAsia="Calibri" w:hAnsi="Calibri"/>
                <w:sz w:val="18"/>
                <w:szCs w:val="18"/>
                <w:color w:val="51555C"/>
              </w:rPr>
              <w:t>Adopton</w:t>
            </w:r>
          </w:p>
        </w:tc>
        <w:tc>
          <w:tcPr>
            <w:tcW w:w="1120" w:type="dxa"/>
            <w:vAlign w:val="bottom"/>
            <w:vMerge w:val="restart"/>
            <w:shd w:val="clear" w:color="auto" w:fill="EBFBFF"/>
          </w:tcPr>
          <w:p>
            <w:pPr>
              <w:jc w:val="right"/>
              <w:ind w:right="90"/>
              <w:spacing w:after="0"/>
              <w:rPr>
                <w:sz w:val="20"/>
                <w:szCs w:val="20"/>
                <w:color w:val="auto"/>
              </w:rPr>
            </w:pPr>
            <w:r>
              <w:rPr>
                <w:rFonts w:ascii="Calibri" w:cs="Calibri" w:eastAsia="Calibri" w:hAnsi="Calibri"/>
                <w:sz w:val="18"/>
                <w:szCs w:val="18"/>
                <w:color w:val="51555C"/>
              </w:rPr>
              <w:t>11/15/23</w:t>
            </w:r>
          </w:p>
        </w:tc>
        <w:tc>
          <w:tcPr>
            <w:tcW w:w="940" w:type="dxa"/>
            <w:vAlign w:val="bottom"/>
            <w:vMerge w:val="restart"/>
            <w:shd w:val="clear" w:color="auto" w:fill="EBFBFF"/>
          </w:tcPr>
          <w:p>
            <w:pPr>
              <w:jc w:val="right"/>
              <w:ind w:right="90"/>
              <w:spacing w:after="0"/>
              <w:rPr>
                <w:sz w:val="20"/>
                <w:szCs w:val="20"/>
                <w:color w:val="auto"/>
              </w:rPr>
            </w:pPr>
            <w:r>
              <w:rPr>
                <w:rFonts w:ascii="Calibri" w:cs="Calibri" w:eastAsia="Calibri" w:hAnsi="Calibri"/>
                <w:sz w:val="18"/>
                <w:szCs w:val="18"/>
                <w:color w:val="51555C"/>
              </w:rPr>
              <w:t>2/26/24</w:t>
            </w:r>
          </w:p>
        </w:tc>
        <w:tc>
          <w:tcPr>
            <w:tcW w:w="1040" w:type="dxa"/>
            <w:vAlign w:val="bottom"/>
            <w:vMerge w:val="restart"/>
            <w:shd w:val="clear" w:color="auto" w:fill="EBFBFF"/>
          </w:tcPr>
          <w:p>
            <w:pPr>
              <w:jc w:val="center"/>
              <w:spacing w:after="0"/>
              <w:rPr>
                <w:sz w:val="20"/>
                <w:szCs w:val="20"/>
                <w:color w:val="auto"/>
              </w:rPr>
            </w:pPr>
            <w:r>
              <w:rPr>
                <w:rFonts w:ascii="Calibri" w:cs="Calibri" w:eastAsia="Calibri" w:hAnsi="Calibri"/>
                <w:sz w:val="18"/>
                <w:szCs w:val="18"/>
                <w:color w:val="51555C"/>
                <w:w w:val="96"/>
              </w:rPr>
              <w:t>11/01/24</w:t>
            </w:r>
          </w:p>
        </w:tc>
        <w:tc>
          <w:tcPr>
            <w:tcW w:w="860" w:type="dxa"/>
            <w:vAlign w:val="bottom"/>
            <w:vMerge w:val="restart"/>
            <w:shd w:val="clear" w:color="auto" w:fill="EBFBFF"/>
          </w:tcPr>
          <w:p>
            <w:pPr>
              <w:jc w:val="center"/>
              <w:spacing w:after="0"/>
              <w:rPr>
                <w:sz w:val="20"/>
                <w:szCs w:val="20"/>
                <w:color w:val="auto"/>
              </w:rPr>
            </w:pPr>
            <w:r>
              <w:rPr>
                <w:rFonts w:ascii="Calibri" w:cs="Calibri" w:eastAsia="Calibri" w:hAnsi="Calibri"/>
                <w:sz w:val="18"/>
                <w:szCs w:val="18"/>
                <w:color w:val="51555C"/>
                <w:w w:val="93"/>
              </w:rPr>
              <w:t>Nine</w:t>
            </w:r>
          </w:p>
        </w:tc>
        <w:tc>
          <w:tcPr>
            <w:tcW w:w="1140" w:type="dxa"/>
            <w:vAlign w:val="bottom"/>
            <w:vMerge w:val="restart"/>
            <w:shd w:val="clear" w:color="auto" w:fill="EBFBFF"/>
          </w:tcPr>
          <w:p>
            <w:pPr>
              <w:ind w:left="260"/>
              <w:spacing w:after="0"/>
              <w:rPr>
                <w:sz w:val="20"/>
                <w:szCs w:val="20"/>
                <w:color w:val="auto"/>
              </w:rPr>
            </w:pPr>
            <w:r>
              <w:rPr>
                <w:rFonts w:ascii="Calibri" w:cs="Calibri" w:eastAsia="Calibri" w:hAnsi="Calibri"/>
                <w:sz w:val="18"/>
                <w:szCs w:val="18"/>
                <w:color w:val="51555C"/>
              </w:rPr>
              <w:t>X</w:t>
            </w:r>
          </w:p>
        </w:tc>
        <w:tc>
          <w:tcPr>
            <w:tcW w:w="1300" w:type="dxa"/>
            <w:vAlign w:val="bottom"/>
            <w:vMerge w:val="restart"/>
            <w:shd w:val="clear" w:color="auto" w:fill="EBFBFF"/>
          </w:tcPr>
          <w:p>
            <w:pPr>
              <w:jc w:val="right"/>
              <w:spacing w:after="0"/>
              <w:rPr>
                <w:sz w:val="20"/>
                <w:szCs w:val="20"/>
                <w:color w:val="auto"/>
              </w:rPr>
            </w:pPr>
            <w:r>
              <w:rPr>
                <w:rFonts w:ascii="Calibri" w:cs="Calibri" w:eastAsia="Calibri" w:hAnsi="Calibri"/>
                <w:sz w:val="18"/>
                <w:szCs w:val="18"/>
                <w:color w:val="51555C"/>
              </w:rPr>
              <w:t>13,000</w:t>
            </w:r>
          </w:p>
        </w:tc>
        <w:tc>
          <w:tcPr>
            <w:tcW w:w="320" w:type="dxa"/>
            <w:vAlign w:val="bottom"/>
            <w:shd w:val="clear" w:color="auto" w:fill="EBFBFF"/>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360" w:type="dxa"/>
            <w:vAlign w:val="bottom"/>
            <w:vMerge w:val="restart"/>
            <w:shd w:val="clear" w:color="auto" w:fill="EBFBFF"/>
          </w:tcPr>
          <w:p>
            <w:pPr>
              <w:ind w:left="20"/>
              <w:spacing w:after="0"/>
              <w:rPr>
                <w:sz w:val="20"/>
                <w:szCs w:val="20"/>
                <w:color w:val="auto"/>
              </w:rPr>
            </w:pPr>
            <w:r>
              <w:rPr>
                <w:rFonts w:ascii="Calibri" w:cs="Calibri" w:eastAsia="Calibri" w:hAnsi="Calibri"/>
                <w:sz w:val="14"/>
                <w:szCs w:val="14"/>
                <w:color w:val="51555C"/>
              </w:rPr>
              <w:t>Executve Vice President and Chief Operatng Ofcer</w:t>
            </w:r>
          </w:p>
        </w:tc>
        <w:tc>
          <w:tcPr>
            <w:tcW w:w="1160" w:type="dxa"/>
            <w:vAlign w:val="bottom"/>
            <w:vMerge w:val="continue"/>
            <w:shd w:val="clear" w:color="auto" w:fill="EBFBFF"/>
          </w:tcPr>
          <w:p>
            <w:pPr>
              <w:spacing w:after="0"/>
              <w:rPr>
                <w:sz w:val="7"/>
                <w:szCs w:val="7"/>
                <w:color w:val="auto"/>
              </w:rPr>
            </w:pPr>
          </w:p>
        </w:tc>
        <w:tc>
          <w:tcPr>
            <w:tcW w:w="1120" w:type="dxa"/>
            <w:vAlign w:val="bottom"/>
            <w:vMerge w:val="continue"/>
            <w:shd w:val="clear" w:color="auto" w:fill="EBFBFF"/>
          </w:tcPr>
          <w:p>
            <w:pPr>
              <w:spacing w:after="0"/>
              <w:rPr>
                <w:sz w:val="7"/>
                <w:szCs w:val="7"/>
                <w:color w:val="auto"/>
              </w:rPr>
            </w:pPr>
          </w:p>
        </w:tc>
        <w:tc>
          <w:tcPr>
            <w:tcW w:w="940" w:type="dxa"/>
            <w:vAlign w:val="bottom"/>
            <w:vMerge w:val="continue"/>
            <w:shd w:val="clear" w:color="auto" w:fill="EBFBFF"/>
          </w:tcPr>
          <w:p>
            <w:pPr>
              <w:spacing w:after="0"/>
              <w:rPr>
                <w:sz w:val="7"/>
                <w:szCs w:val="7"/>
                <w:color w:val="auto"/>
              </w:rPr>
            </w:pPr>
          </w:p>
        </w:tc>
        <w:tc>
          <w:tcPr>
            <w:tcW w:w="1040" w:type="dxa"/>
            <w:vAlign w:val="bottom"/>
            <w:vMerge w:val="continue"/>
            <w:shd w:val="clear" w:color="auto" w:fill="EBFBFF"/>
          </w:tcPr>
          <w:p>
            <w:pPr>
              <w:spacing w:after="0"/>
              <w:rPr>
                <w:sz w:val="7"/>
                <w:szCs w:val="7"/>
                <w:color w:val="auto"/>
              </w:rPr>
            </w:pPr>
          </w:p>
        </w:tc>
        <w:tc>
          <w:tcPr>
            <w:tcW w:w="860" w:type="dxa"/>
            <w:vAlign w:val="bottom"/>
            <w:vMerge w:val="continue"/>
            <w:shd w:val="clear" w:color="auto" w:fill="EBFBFF"/>
          </w:tcPr>
          <w:p>
            <w:pPr>
              <w:spacing w:after="0"/>
              <w:rPr>
                <w:sz w:val="7"/>
                <w:szCs w:val="7"/>
                <w:color w:val="auto"/>
              </w:rPr>
            </w:pPr>
          </w:p>
        </w:tc>
        <w:tc>
          <w:tcPr>
            <w:tcW w:w="1140" w:type="dxa"/>
            <w:vAlign w:val="bottom"/>
            <w:vMerge w:val="continue"/>
            <w:shd w:val="clear" w:color="auto" w:fill="EBFBFF"/>
          </w:tcPr>
          <w:p>
            <w:pPr>
              <w:spacing w:after="0"/>
              <w:rPr>
                <w:sz w:val="7"/>
                <w:szCs w:val="7"/>
                <w:color w:val="auto"/>
              </w:rPr>
            </w:pPr>
          </w:p>
        </w:tc>
        <w:tc>
          <w:tcPr>
            <w:tcW w:w="1300" w:type="dxa"/>
            <w:vAlign w:val="bottom"/>
            <w:vMerge w:val="continue"/>
            <w:shd w:val="clear" w:color="auto" w:fill="EBFBFF"/>
          </w:tcPr>
          <w:p>
            <w:pPr>
              <w:spacing w:after="0"/>
              <w:rPr>
                <w:sz w:val="7"/>
                <w:szCs w:val="7"/>
                <w:color w:val="auto"/>
              </w:rPr>
            </w:pPr>
          </w:p>
        </w:tc>
        <w:tc>
          <w:tcPr>
            <w:tcW w:w="320" w:type="dxa"/>
            <w:vAlign w:val="bottom"/>
            <w:shd w:val="clear" w:color="auto" w:fill="EBFBFF"/>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3360" w:type="dxa"/>
            <w:vAlign w:val="bottom"/>
            <w:vMerge w:val="continue"/>
            <w:shd w:val="clear" w:color="auto" w:fill="EBFBFF"/>
          </w:tcPr>
          <w:p>
            <w:pPr>
              <w:spacing w:after="0"/>
              <w:rPr>
                <w:sz w:val="12"/>
                <w:szCs w:val="12"/>
                <w:color w:val="auto"/>
              </w:rPr>
            </w:pPr>
          </w:p>
        </w:tc>
        <w:tc>
          <w:tcPr>
            <w:tcW w:w="1160" w:type="dxa"/>
            <w:vAlign w:val="bottom"/>
            <w:shd w:val="clear" w:color="auto" w:fill="EBFBFF"/>
          </w:tcPr>
          <w:p>
            <w:pPr>
              <w:spacing w:after="0"/>
              <w:rPr>
                <w:sz w:val="12"/>
                <w:szCs w:val="12"/>
                <w:color w:val="auto"/>
              </w:rPr>
            </w:pPr>
          </w:p>
        </w:tc>
        <w:tc>
          <w:tcPr>
            <w:tcW w:w="1120" w:type="dxa"/>
            <w:vAlign w:val="bottom"/>
            <w:shd w:val="clear" w:color="auto" w:fill="EBFBFF"/>
          </w:tcPr>
          <w:p>
            <w:pPr>
              <w:spacing w:after="0"/>
              <w:rPr>
                <w:sz w:val="12"/>
                <w:szCs w:val="12"/>
                <w:color w:val="auto"/>
              </w:rPr>
            </w:pPr>
          </w:p>
        </w:tc>
        <w:tc>
          <w:tcPr>
            <w:tcW w:w="940" w:type="dxa"/>
            <w:vAlign w:val="bottom"/>
            <w:shd w:val="clear" w:color="auto" w:fill="EBFBFF"/>
          </w:tcPr>
          <w:p>
            <w:pPr>
              <w:spacing w:after="0"/>
              <w:rPr>
                <w:sz w:val="12"/>
                <w:szCs w:val="12"/>
                <w:color w:val="auto"/>
              </w:rPr>
            </w:pPr>
          </w:p>
        </w:tc>
        <w:tc>
          <w:tcPr>
            <w:tcW w:w="1040" w:type="dxa"/>
            <w:vAlign w:val="bottom"/>
            <w:shd w:val="clear" w:color="auto" w:fill="EBFBFF"/>
          </w:tcPr>
          <w:p>
            <w:pPr>
              <w:spacing w:after="0"/>
              <w:rPr>
                <w:sz w:val="12"/>
                <w:szCs w:val="12"/>
                <w:color w:val="auto"/>
              </w:rPr>
            </w:pPr>
          </w:p>
        </w:tc>
        <w:tc>
          <w:tcPr>
            <w:tcW w:w="860" w:type="dxa"/>
            <w:vAlign w:val="bottom"/>
            <w:shd w:val="clear" w:color="auto" w:fill="EBFBFF"/>
          </w:tcPr>
          <w:p>
            <w:pPr>
              <w:spacing w:after="0"/>
              <w:rPr>
                <w:sz w:val="12"/>
                <w:szCs w:val="12"/>
                <w:color w:val="auto"/>
              </w:rPr>
            </w:pPr>
          </w:p>
        </w:tc>
        <w:tc>
          <w:tcPr>
            <w:tcW w:w="1140" w:type="dxa"/>
            <w:vAlign w:val="bottom"/>
            <w:shd w:val="clear" w:color="auto" w:fill="EBFBFF"/>
          </w:tcPr>
          <w:p>
            <w:pPr>
              <w:spacing w:after="0"/>
              <w:rPr>
                <w:sz w:val="12"/>
                <w:szCs w:val="12"/>
                <w:color w:val="auto"/>
              </w:rPr>
            </w:pPr>
          </w:p>
        </w:tc>
        <w:tc>
          <w:tcPr>
            <w:tcW w:w="1300" w:type="dxa"/>
            <w:vAlign w:val="bottom"/>
            <w:shd w:val="clear" w:color="auto" w:fill="EBFBFF"/>
          </w:tcPr>
          <w:p>
            <w:pPr>
              <w:spacing w:after="0"/>
              <w:rPr>
                <w:sz w:val="12"/>
                <w:szCs w:val="12"/>
                <w:color w:val="auto"/>
              </w:rPr>
            </w:pPr>
          </w:p>
        </w:tc>
        <w:tc>
          <w:tcPr>
            <w:tcW w:w="320" w:type="dxa"/>
            <w:vAlign w:val="bottom"/>
            <w:shd w:val="clear" w:color="auto" w:fill="EBFB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3360" w:type="dxa"/>
            <w:vAlign w:val="bottom"/>
            <w:shd w:val="clear" w:color="auto" w:fill="EBFBFF"/>
          </w:tcPr>
          <w:p>
            <w:pPr>
              <w:spacing w:after="0"/>
              <w:rPr>
                <w:sz w:val="5"/>
                <w:szCs w:val="5"/>
                <w:color w:val="auto"/>
              </w:rPr>
            </w:pPr>
          </w:p>
        </w:tc>
        <w:tc>
          <w:tcPr>
            <w:tcW w:w="1160" w:type="dxa"/>
            <w:vAlign w:val="bottom"/>
            <w:shd w:val="clear" w:color="auto" w:fill="EBFBFF"/>
          </w:tcPr>
          <w:p>
            <w:pPr>
              <w:spacing w:after="0"/>
              <w:rPr>
                <w:sz w:val="5"/>
                <w:szCs w:val="5"/>
                <w:color w:val="auto"/>
              </w:rPr>
            </w:pPr>
          </w:p>
        </w:tc>
        <w:tc>
          <w:tcPr>
            <w:tcW w:w="1120" w:type="dxa"/>
            <w:vAlign w:val="bottom"/>
            <w:shd w:val="clear" w:color="auto" w:fill="EBFBFF"/>
          </w:tcPr>
          <w:p>
            <w:pPr>
              <w:spacing w:after="0"/>
              <w:rPr>
                <w:sz w:val="5"/>
                <w:szCs w:val="5"/>
                <w:color w:val="auto"/>
              </w:rPr>
            </w:pPr>
          </w:p>
        </w:tc>
        <w:tc>
          <w:tcPr>
            <w:tcW w:w="940" w:type="dxa"/>
            <w:vAlign w:val="bottom"/>
            <w:shd w:val="clear" w:color="auto" w:fill="EBFBFF"/>
          </w:tcPr>
          <w:p>
            <w:pPr>
              <w:spacing w:after="0"/>
              <w:rPr>
                <w:sz w:val="5"/>
                <w:szCs w:val="5"/>
                <w:color w:val="auto"/>
              </w:rPr>
            </w:pPr>
          </w:p>
        </w:tc>
        <w:tc>
          <w:tcPr>
            <w:tcW w:w="1040" w:type="dxa"/>
            <w:vAlign w:val="bottom"/>
            <w:shd w:val="clear" w:color="auto" w:fill="EBFBFF"/>
          </w:tcPr>
          <w:p>
            <w:pPr>
              <w:spacing w:after="0"/>
              <w:rPr>
                <w:sz w:val="5"/>
                <w:szCs w:val="5"/>
                <w:color w:val="auto"/>
              </w:rPr>
            </w:pPr>
          </w:p>
        </w:tc>
        <w:tc>
          <w:tcPr>
            <w:tcW w:w="860" w:type="dxa"/>
            <w:vAlign w:val="bottom"/>
            <w:shd w:val="clear" w:color="auto" w:fill="EBFBFF"/>
          </w:tcPr>
          <w:p>
            <w:pPr>
              <w:spacing w:after="0"/>
              <w:rPr>
                <w:sz w:val="5"/>
                <w:szCs w:val="5"/>
                <w:color w:val="auto"/>
              </w:rPr>
            </w:pPr>
          </w:p>
        </w:tc>
        <w:tc>
          <w:tcPr>
            <w:tcW w:w="1140" w:type="dxa"/>
            <w:vAlign w:val="bottom"/>
            <w:shd w:val="clear" w:color="auto" w:fill="EBFBFF"/>
          </w:tcPr>
          <w:p>
            <w:pPr>
              <w:spacing w:after="0"/>
              <w:rPr>
                <w:sz w:val="5"/>
                <w:szCs w:val="5"/>
                <w:color w:val="auto"/>
              </w:rPr>
            </w:pPr>
          </w:p>
        </w:tc>
        <w:tc>
          <w:tcPr>
            <w:tcW w:w="1300" w:type="dxa"/>
            <w:vAlign w:val="bottom"/>
            <w:shd w:val="clear" w:color="auto" w:fill="EBFBFF"/>
          </w:tcPr>
          <w:p>
            <w:pPr>
              <w:spacing w:after="0"/>
              <w:rPr>
                <w:sz w:val="5"/>
                <w:szCs w:val="5"/>
                <w:color w:val="auto"/>
              </w:rPr>
            </w:pPr>
          </w:p>
        </w:tc>
        <w:tc>
          <w:tcPr>
            <w:tcW w:w="320" w:type="dxa"/>
            <w:vAlign w:val="bottom"/>
            <w:shd w:val="clear" w:color="auto" w:fill="EBFBFF"/>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3360" w:type="dxa"/>
            <w:vAlign w:val="bottom"/>
          </w:tcPr>
          <w:p>
            <w:pPr>
              <w:ind w:left="20"/>
              <w:spacing w:after="0"/>
              <w:rPr>
                <w:sz w:val="20"/>
                <w:szCs w:val="20"/>
                <w:color w:val="auto"/>
              </w:rPr>
            </w:pPr>
            <w:r>
              <w:rPr>
                <w:rFonts w:ascii="Calibri" w:cs="Calibri" w:eastAsia="Calibri" w:hAnsi="Calibri"/>
                <w:sz w:val="18"/>
                <w:szCs w:val="18"/>
                <w:b w:val="1"/>
                <w:bCs w:val="1"/>
                <w:color w:val="51555C"/>
              </w:rPr>
              <w:t>Kevin R. McDearis</w:t>
            </w:r>
          </w:p>
        </w:tc>
        <w:tc>
          <w:tcPr>
            <w:tcW w:w="1160" w:type="dxa"/>
            <w:vAlign w:val="bottom"/>
            <w:vMerge w:val="restart"/>
          </w:tcPr>
          <w:p>
            <w:pPr>
              <w:ind w:left="220"/>
              <w:spacing w:after="0"/>
              <w:rPr>
                <w:sz w:val="20"/>
                <w:szCs w:val="20"/>
                <w:color w:val="auto"/>
              </w:rPr>
            </w:pPr>
            <w:r>
              <w:rPr>
                <w:rFonts w:ascii="Calibri" w:cs="Calibri" w:eastAsia="Calibri" w:hAnsi="Calibri"/>
                <w:sz w:val="18"/>
                <w:szCs w:val="18"/>
                <w:color w:val="51555C"/>
              </w:rPr>
              <w:t>Adopton</w:t>
            </w:r>
          </w:p>
        </w:tc>
        <w:tc>
          <w:tcPr>
            <w:tcW w:w="112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11/17/23</w:t>
            </w:r>
          </w:p>
        </w:tc>
        <w:tc>
          <w:tcPr>
            <w:tcW w:w="94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3/06/24</w:t>
            </w:r>
          </w:p>
        </w:tc>
        <w:tc>
          <w:tcPr>
            <w:tcW w:w="1040" w:type="dxa"/>
            <w:vAlign w:val="bottom"/>
            <w:vMerge w:val="restart"/>
          </w:tcPr>
          <w:p>
            <w:pPr>
              <w:jc w:val="center"/>
              <w:spacing w:after="0"/>
              <w:rPr>
                <w:sz w:val="20"/>
                <w:szCs w:val="20"/>
                <w:color w:val="auto"/>
              </w:rPr>
            </w:pPr>
            <w:r>
              <w:rPr>
                <w:rFonts w:ascii="Calibri" w:cs="Calibri" w:eastAsia="Calibri" w:hAnsi="Calibri"/>
                <w:sz w:val="18"/>
                <w:szCs w:val="18"/>
                <w:color w:val="51555C"/>
                <w:w w:val="97"/>
              </w:rPr>
              <w:t>6/04/24</w:t>
            </w:r>
          </w:p>
        </w:tc>
        <w:tc>
          <w:tcPr>
            <w:tcW w:w="860" w:type="dxa"/>
            <w:vAlign w:val="bottom"/>
            <w:vMerge w:val="restart"/>
          </w:tcPr>
          <w:p>
            <w:pPr>
              <w:jc w:val="center"/>
              <w:spacing w:after="0"/>
              <w:rPr>
                <w:sz w:val="20"/>
                <w:szCs w:val="20"/>
                <w:color w:val="auto"/>
              </w:rPr>
            </w:pPr>
            <w:r>
              <w:rPr>
                <w:rFonts w:ascii="Calibri" w:cs="Calibri" w:eastAsia="Calibri" w:hAnsi="Calibri"/>
                <w:sz w:val="18"/>
                <w:szCs w:val="18"/>
                <w:color w:val="51555C"/>
                <w:w w:val="94"/>
              </w:rPr>
              <w:t>Three</w:t>
            </w:r>
          </w:p>
        </w:tc>
        <w:tc>
          <w:tcPr>
            <w:tcW w:w="1140" w:type="dxa"/>
            <w:vAlign w:val="bottom"/>
            <w:vMerge w:val="restart"/>
          </w:tcPr>
          <w:p>
            <w:pPr>
              <w:ind w:left="260"/>
              <w:spacing w:after="0"/>
              <w:rPr>
                <w:sz w:val="20"/>
                <w:szCs w:val="20"/>
                <w:color w:val="auto"/>
              </w:rPr>
            </w:pPr>
            <w:r>
              <w:rPr>
                <w:rFonts w:ascii="Calibri" w:cs="Calibri" w:eastAsia="Calibri" w:hAnsi="Calibri"/>
                <w:sz w:val="18"/>
                <w:szCs w:val="18"/>
                <w:color w:val="51555C"/>
              </w:rPr>
              <w:t>X</w:t>
            </w:r>
          </w:p>
        </w:tc>
        <w:tc>
          <w:tcPr>
            <w:tcW w:w="1300" w:type="dxa"/>
            <w:vAlign w:val="bottom"/>
            <w:vMerge w:val="restart"/>
          </w:tcPr>
          <w:p>
            <w:pPr>
              <w:jc w:val="right"/>
              <w:spacing w:after="0"/>
              <w:rPr>
                <w:sz w:val="20"/>
                <w:szCs w:val="20"/>
                <w:color w:val="auto"/>
              </w:rPr>
            </w:pPr>
            <w:r>
              <w:rPr>
                <w:rFonts w:ascii="Calibri" w:cs="Calibri" w:eastAsia="Calibri" w:hAnsi="Calibri"/>
                <w:sz w:val="18"/>
                <w:szCs w:val="18"/>
                <w:color w:val="51555C"/>
              </w:rPr>
              <w:t>5,253</w:t>
            </w:r>
          </w:p>
        </w:tc>
        <w:tc>
          <w:tcPr>
            <w:tcW w:w="320" w:type="dxa"/>
            <w:vAlign w:val="bottom"/>
            <w:vMerge w:val="restart"/>
          </w:tcPr>
          <w:p>
            <w:pPr>
              <w:jc w:val="right"/>
              <w:ind w:right="28"/>
              <w:spacing w:after="0"/>
              <w:rPr>
                <w:sz w:val="20"/>
                <w:szCs w:val="20"/>
                <w:color w:val="auto"/>
              </w:rPr>
            </w:pPr>
            <w:r>
              <w:rPr>
                <w:rFonts w:ascii="Calibri" w:cs="Calibri" w:eastAsia="Calibri" w:hAnsi="Calibri"/>
                <w:sz w:val="14"/>
                <w:szCs w:val="14"/>
                <w:color w:val="51555C"/>
              </w:rPr>
              <w:t>(2)</w:t>
            </w:r>
          </w:p>
        </w:tc>
        <w:tc>
          <w:tcPr>
            <w:tcW w:w="0" w:type="dxa"/>
            <w:vAlign w:val="bottom"/>
          </w:tcPr>
          <w:p>
            <w:pPr>
              <w:spacing w:after="0"/>
              <w:rPr>
                <w:sz w:val="1"/>
                <w:szCs w:val="1"/>
                <w:color w:val="auto"/>
              </w:rPr>
            </w:pPr>
          </w:p>
        </w:tc>
      </w:tr>
      <w:tr>
        <w:trPr>
          <w:trHeight w:val="81"/>
        </w:trPr>
        <w:tc>
          <w:tcPr>
            <w:tcW w:w="3360" w:type="dxa"/>
            <w:vAlign w:val="bottom"/>
            <w:vMerge w:val="restart"/>
          </w:tcPr>
          <w:p>
            <w:pPr>
              <w:ind w:left="20"/>
              <w:spacing w:after="0"/>
              <w:rPr>
                <w:sz w:val="20"/>
                <w:szCs w:val="20"/>
                <w:color w:val="auto"/>
              </w:rPr>
            </w:pPr>
            <w:r>
              <w:rPr>
                <w:rFonts w:ascii="Calibri" w:cs="Calibri" w:eastAsia="Calibri" w:hAnsi="Calibri"/>
                <w:sz w:val="14"/>
                <w:szCs w:val="14"/>
                <w:color w:val="51555C"/>
              </w:rPr>
              <w:t>Executve Vice President and Chief Technology Ofcer</w:t>
            </w:r>
          </w:p>
        </w:tc>
        <w:tc>
          <w:tcPr>
            <w:tcW w:w="11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336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3360" w:type="dxa"/>
            <w:vAlign w:val="bottom"/>
          </w:tcPr>
          <w:p>
            <w:pPr>
              <w:ind w:left="20"/>
              <w:spacing w:after="0"/>
              <w:rPr>
                <w:sz w:val="20"/>
                <w:szCs w:val="20"/>
                <w:color w:val="auto"/>
              </w:rPr>
            </w:pPr>
            <w:r>
              <w:rPr>
                <w:rFonts w:ascii="Calibri" w:cs="Calibri" w:eastAsia="Calibri" w:hAnsi="Calibri"/>
                <w:sz w:val="18"/>
                <w:szCs w:val="18"/>
                <w:b w:val="1"/>
                <w:bCs w:val="1"/>
                <w:color w:val="51555C"/>
              </w:rPr>
              <w:t>Jon W. Olson</w:t>
            </w:r>
          </w:p>
        </w:tc>
        <w:tc>
          <w:tcPr>
            <w:tcW w:w="1160" w:type="dxa"/>
            <w:vAlign w:val="bottom"/>
            <w:vMerge w:val="restart"/>
          </w:tcPr>
          <w:p>
            <w:pPr>
              <w:ind w:left="220"/>
              <w:spacing w:after="0"/>
              <w:rPr>
                <w:sz w:val="20"/>
                <w:szCs w:val="20"/>
                <w:color w:val="auto"/>
              </w:rPr>
            </w:pPr>
            <w:r>
              <w:rPr>
                <w:rFonts w:ascii="Calibri" w:cs="Calibri" w:eastAsia="Calibri" w:hAnsi="Calibri"/>
                <w:sz w:val="18"/>
                <w:szCs w:val="18"/>
                <w:color w:val="51555C"/>
              </w:rPr>
              <w:t>Adopton</w:t>
            </w:r>
          </w:p>
        </w:tc>
        <w:tc>
          <w:tcPr>
            <w:tcW w:w="112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11/21/23</w:t>
            </w:r>
          </w:p>
        </w:tc>
        <w:tc>
          <w:tcPr>
            <w:tcW w:w="940" w:type="dxa"/>
            <w:vAlign w:val="bottom"/>
            <w:vMerge w:val="restart"/>
          </w:tcPr>
          <w:p>
            <w:pPr>
              <w:jc w:val="right"/>
              <w:ind w:right="90"/>
              <w:spacing w:after="0"/>
              <w:rPr>
                <w:sz w:val="20"/>
                <w:szCs w:val="20"/>
                <w:color w:val="auto"/>
              </w:rPr>
            </w:pPr>
            <w:r>
              <w:rPr>
                <w:rFonts w:ascii="Calibri" w:cs="Calibri" w:eastAsia="Calibri" w:hAnsi="Calibri"/>
                <w:sz w:val="18"/>
                <w:szCs w:val="18"/>
                <w:color w:val="51555C"/>
              </w:rPr>
              <w:t>3/06/24</w:t>
            </w:r>
          </w:p>
        </w:tc>
        <w:tc>
          <w:tcPr>
            <w:tcW w:w="1040" w:type="dxa"/>
            <w:vAlign w:val="bottom"/>
            <w:vMerge w:val="restart"/>
          </w:tcPr>
          <w:p>
            <w:pPr>
              <w:jc w:val="center"/>
              <w:spacing w:after="0"/>
              <w:rPr>
                <w:sz w:val="20"/>
                <w:szCs w:val="20"/>
                <w:color w:val="auto"/>
              </w:rPr>
            </w:pPr>
            <w:r>
              <w:rPr>
                <w:rFonts w:ascii="Calibri" w:cs="Calibri" w:eastAsia="Calibri" w:hAnsi="Calibri"/>
                <w:sz w:val="18"/>
                <w:szCs w:val="18"/>
                <w:color w:val="51555C"/>
                <w:w w:val="97"/>
              </w:rPr>
              <w:t>9/27/24</w:t>
            </w:r>
          </w:p>
        </w:tc>
        <w:tc>
          <w:tcPr>
            <w:tcW w:w="860" w:type="dxa"/>
            <w:vAlign w:val="bottom"/>
            <w:vMerge w:val="restart"/>
          </w:tcPr>
          <w:p>
            <w:pPr>
              <w:jc w:val="center"/>
              <w:spacing w:after="0"/>
              <w:rPr>
                <w:sz w:val="20"/>
                <w:szCs w:val="20"/>
                <w:color w:val="auto"/>
              </w:rPr>
            </w:pPr>
            <w:r>
              <w:rPr>
                <w:rFonts w:ascii="Calibri" w:cs="Calibri" w:eastAsia="Calibri" w:hAnsi="Calibri"/>
                <w:sz w:val="18"/>
                <w:szCs w:val="18"/>
                <w:color w:val="51555C"/>
              </w:rPr>
              <w:t>Seven</w:t>
            </w:r>
          </w:p>
        </w:tc>
        <w:tc>
          <w:tcPr>
            <w:tcW w:w="1140" w:type="dxa"/>
            <w:vAlign w:val="bottom"/>
            <w:vMerge w:val="restart"/>
          </w:tcPr>
          <w:p>
            <w:pPr>
              <w:ind w:left="260"/>
              <w:spacing w:after="0"/>
              <w:rPr>
                <w:sz w:val="20"/>
                <w:szCs w:val="20"/>
                <w:color w:val="auto"/>
              </w:rPr>
            </w:pPr>
            <w:r>
              <w:rPr>
                <w:rFonts w:ascii="Calibri" w:cs="Calibri" w:eastAsia="Calibri" w:hAnsi="Calibri"/>
                <w:sz w:val="18"/>
                <w:szCs w:val="18"/>
                <w:color w:val="51555C"/>
              </w:rPr>
              <w:t>X</w:t>
            </w:r>
          </w:p>
        </w:tc>
        <w:tc>
          <w:tcPr>
            <w:tcW w:w="1300" w:type="dxa"/>
            <w:vAlign w:val="bottom"/>
            <w:vMerge w:val="restart"/>
          </w:tcPr>
          <w:p>
            <w:pPr>
              <w:jc w:val="right"/>
              <w:spacing w:after="0"/>
              <w:rPr>
                <w:sz w:val="20"/>
                <w:szCs w:val="20"/>
                <w:color w:val="auto"/>
              </w:rPr>
            </w:pPr>
            <w:r>
              <w:rPr>
                <w:rFonts w:ascii="Calibri" w:cs="Calibri" w:eastAsia="Calibri" w:hAnsi="Calibri"/>
                <w:sz w:val="18"/>
                <w:szCs w:val="18"/>
                <w:color w:val="51555C"/>
              </w:rPr>
              <w:t>9,200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33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3511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ind w:left="20"/>
        <w:spacing w:after="0" w:line="199" w:lineRule="auto"/>
        <w:rPr>
          <w:sz w:val="20"/>
          <w:szCs w:val="20"/>
          <w:color w:val="auto"/>
        </w:rPr>
      </w:pPr>
      <w:r>
        <w:rPr>
          <w:rFonts w:ascii="Calibri" w:cs="Calibri" w:eastAsia="Calibri" w:hAnsi="Calibri"/>
          <w:sz w:val="14"/>
          <w:szCs w:val="14"/>
          <w:color w:val="51555C"/>
        </w:rPr>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1" w:lineRule="exact"/>
        <w:rPr>
          <w:sz w:val="20"/>
          <w:szCs w:val="20"/>
          <w:color w:val="auto"/>
        </w:rPr>
      </w:pPr>
    </w:p>
    <w:p>
      <w:pPr>
        <w:jc w:val="both"/>
        <w:ind w:left="340" w:right="20" w:hanging="332"/>
        <w:spacing w:after="0" w:line="242" w:lineRule="auto"/>
        <w:tabs>
          <w:tab w:leader="none" w:pos="338" w:val="left"/>
        </w:tabs>
        <w:numPr>
          <w:ilvl w:val="0"/>
          <w:numId w:val="60"/>
        </w:numPr>
        <w:rPr>
          <w:rFonts w:ascii="Calibri" w:cs="Calibri" w:eastAsia="Calibri" w:hAnsi="Calibri"/>
          <w:sz w:val="14"/>
          <w:szCs w:val="14"/>
          <w:color w:val="51555C"/>
        </w:rPr>
      </w:pPr>
      <w:r>
        <w:rPr>
          <w:rFonts w:ascii="Calibri" w:cs="Calibri" w:eastAsia="Calibri" w:hAnsi="Calibri"/>
          <w:sz w:val="14"/>
          <w:szCs w:val="14"/>
          <w:color w:val="51555C"/>
        </w:rPr>
        <w:t>An SEC "Rule 10b5-1(c) trading arrangement" is a trading arrangement made by a person through entering into a binding contract, verbal instructon or adopton of a writen plan prior to becoming aware of material non-public informaton. The contract, instructon or writen plan must specify the amount, price and date of securites to be sold; include the means for determining the amount, price and date of the sale or sales; and not permit the person to have subsequent infuence over the sale or sales. The compliant plan must be entered into and operated in good faith, include a specifed cooling of period, be certfed by an authorized ofcer and is restricted from having multple or overlapping plans. A non-compliant trading arrangement, or a "non-Rule 10b5-1 trading arrangement," is a trading arrangement that has similar requirements to a Rule 10b5-1(c) trading arrangement except that it must be in writen form and does not require a cooling of period or certfcaton of an authorized ofcer and there is no restricton from having multple or overlapping plans.</w:t>
      </w:r>
    </w:p>
    <w:p>
      <w:pPr>
        <w:spacing w:after="0" w:line="5" w:lineRule="exact"/>
        <w:rPr>
          <w:rFonts w:ascii="Calibri" w:cs="Calibri" w:eastAsia="Calibri" w:hAnsi="Calibri"/>
          <w:sz w:val="14"/>
          <w:szCs w:val="14"/>
          <w:color w:val="51555C"/>
        </w:rPr>
      </w:pPr>
    </w:p>
    <w:p>
      <w:pPr>
        <w:ind w:left="340" w:right="20" w:hanging="332"/>
        <w:spacing w:after="0" w:line="233" w:lineRule="auto"/>
        <w:tabs>
          <w:tab w:leader="none" w:pos="338" w:val="left"/>
        </w:tabs>
        <w:numPr>
          <w:ilvl w:val="0"/>
          <w:numId w:val="60"/>
        </w:numPr>
        <w:rPr>
          <w:rFonts w:ascii="Calibri" w:cs="Calibri" w:eastAsia="Calibri" w:hAnsi="Calibri"/>
          <w:sz w:val="14"/>
          <w:szCs w:val="14"/>
          <w:color w:val="51555C"/>
        </w:rPr>
      </w:pPr>
      <w:r>
        <w:rPr>
          <w:rFonts w:ascii="Calibri" w:cs="Calibri" w:eastAsia="Calibri" w:hAnsi="Calibri"/>
          <w:sz w:val="14"/>
          <w:szCs w:val="14"/>
          <w:color w:val="51555C"/>
        </w:rPr>
        <w:t>Represents the target quantty of Performance Share Awards which may be subject to a performance multplier; therefore, the aggregate number of shares to be sold may be equal to, greater than or less than the target quantty.</w:t>
      </w:r>
    </w:p>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color w:val="51555C"/>
        </w:rPr>
        <w:t xml:space="preserve">None of our ofcers or directors adopted or terminated a </w:t>
      </w:r>
      <w:r>
        <w:rPr>
          <w:rFonts w:ascii="Calibri" w:cs="Calibri" w:eastAsia="Calibri" w:hAnsi="Calibri"/>
          <w:sz w:val="18"/>
          <w:szCs w:val="18"/>
          <w:u w:val="single" w:color="auto"/>
          <w:color w:val="51555C"/>
        </w:rPr>
        <w:t>non</w:t>
      </w:r>
      <w:r>
        <w:rPr>
          <w:rFonts w:ascii="Calibri" w:cs="Calibri" w:eastAsia="Calibri" w:hAnsi="Calibri"/>
          <w:sz w:val="18"/>
          <w:szCs w:val="18"/>
          <w:color w:val="51555C"/>
        </w:rPr>
        <w:t>-Rule 10b5-1 trading arrangement during the three months ended December 31, 2023.</w:t>
      </w:r>
    </w:p>
    <w:p>
      <w:pPr>
        <w:spacing w:after="0" w:line="252"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9C. DISCLOSURE REGARDING FOREIGN JURISDICTIONS THAT PREVENT INSPECTIONS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220345</wp:posOffset>
            </wp:positionV>
            <wp:extent cx="728980" cy="1885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113</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3"/>
          <w:szCs w:val="43"/>
          <w:b w:val="1"/>
          <w:bCs w:val="1"/>
          <w:color w:val="50535A"/>
        </w:rPr>
        <w:t xml:space="preserve"> PART III.</w:t>
      </w:r>
    </w:p>
    <w:p>
      <w:pPr>
        <w:spacing w:after="0" w:line="39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10. DIRECTORS, EXECUTIVE OFFICERS AND CORPORATE GOVERNANCE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informaton required by Item 10 with respect to Directors and Executve Ofcers is incorporated by reference from the informaton under the captons “Electon of Directors,” “Informaton Regarding Meetngs of the Board and Commitees,” “Delinquent Secton 16(a) Reports,” and “Code of Business Conduct and Ethics and Code of Ethics,” contained in Blackbaud’s Proxy Statement for the 2024 Annual Meetng of Stockholders expected to be held on June 12, 2024, except for "Informaton About Our Executve Ofcers" which is set forth in Part I of this report.</w:t>
      </w:r>
    </w:p>
    <w:p>
      <w:pPr>
        <w:spacing w:after="0" w:line="25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11. EXECUTIVE COMPENSATION</w:t>
      </w:r>
    </w:p>
    <w:p>
      <w:pPr>
        <w:spacing w:after="0" w:line="17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informaton required by Item 11 is incorporated by reference from the informaton under the captons "Director Compensaton," “Executve Compensaton,” “Compensaton Discussion and Analysis,” “2023 Summary Compensaton Table,” "CEO Pay Rato" and "Pay Versus Performance" contained in Blackbaud’s Proxy Statement for the 2024 Annual Meetng of Stockholders expected to be held on June 12, 2024.</w:t>
      </w:r>
    </w:p>
    <w:p>
      <w:pPr>
        <w:spacing w:after="0" w:line="264" w:lineRule="exact"/>
        <w:rPr>
          <w:sz w:val="20"/>
          <w:szCs w:val="20"/>
          <w:color w:val="auto"/>
        </w:rPr>
      </w:pPr>
    </w:p>
    <w:p>
      <w:pPr>
        <w:ind w:right="260"/>
        <w:spacing w:after="0" w:line="231" w:lineRule="auto"/>
        <w:rPr>
          <w:sz w:val="20"/>
          <w:szCs w:val="20"/>
          <w:color w:val="auto"/>
        </w:rPr>
      </w:pPr>
      <w:r>
        <w:rPr>
          <w:rFonts w:ascii="Calibri" w:cs="Calibri" w:eastAsia="Calibri" w:hAnsi="Calibri"/>
          <w:sz w:val="29"/>
          <w:szCs w:val="29"/>
          <w:b w:val="1"/>
          <w:bCs w:val="1"/>
          <w:color w:val="004054"/>
        </w:rPr>
        <w:t>ITEM 12. SECURITY OWNERSHIP OF CERTAIN BENEFICIAL OWNERS AND MANAGEMENT AND RELATED STOCKHOLDER MATTERS</w:t>
      </w:r>
    </w:p>
    <w:p>
      <w:pPr>
        <w:spacing w:after="0" w:line="1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The informaton required by Item 12 is incorporated by reference from informaton under the captons “Stock Ownership” and "Equity Compensaton Plan Informaton" contained in Blackbaud’s Proxy Statement for the 2024 Annual Meetng of Stockholders expected to be held on June 12, 2024.</w:t>
      </w:r>
    </w:p>
    <w:p>
      <w:pPr>
        <w:spacing w:after="0" w:line="263" w:lineRule="exact"/>
        <w:rPr>
          <w:sz w:val="20"/>
          <w:szCs w:val="20"/>
          <w:color w:val="auto"/>
        </w:rPr>
      </w:pPr>
    </w:p>
    <w:p>
      <w:pPr>
        <w:ind w:right="1580"/>
        <w:spacing w:after="0" w:line="235" w:lineRule="auto"/>
        <w:rPr>
          <w:sz w:val="20"/>
          <w:szCs w:val="20"/>
          <w:color w:val="auto"/>
        </w:rPr>
      </w:pPr>
      <w:r>
        <w:rPr>
          <w:rFonts w:ascii="Calibri" w:cs="Calibri" w:eastAsia="Calibri" w:hAnsi="Calibri"/>
          <w:sz w:val="29"/>
          <w:szCs w:val="29"/>
          <w:b w:val="1"/>
          <w:bCs w:val="1"/>
          <w:color w:val="004054"/>
        </w:rPr>
        <w:t>ITEM 13. CERTAIN RELATIONSHIPS AND RELATED TRANSACTIONS, AND DIRECTOR INDEPENDENCE</w:t>
      </w:r>
    </w:p>
    <w:p>
      <w:pPr>
        <w:spacing w:after="0" w:line="166" w:lineRule="exact"/>
        <w:rPr>
          <w:sz w:val="20"/>
          <w:szCs w:val="20"/>
          <w:color w:val="auto"/>
        </w:rPr>
      </w:pPr>
    </w:p>
    <w:p>
      <w:pPr>
        <w:spacing w:after="0" w:line="258" w:lineRule="auto"/>
        <w:rPr>
          <w:sz w:val="20"/>
          <w:szCs w:val="20"/>
          <w:color w:val="auto"/>
        </w:rPr>
      </w:pPr>
      <w:r>
        <w:rPr>
          <w:rFonts w:ascii="Calibri" w:cs="Calibri" w:eastAsia="Calibri" w:hAnsi="Calibri"/>
          <w:sz w:val="17"/>
          <w:szCs w:val="17"/>
          <w:color w:val="51555C"/>
        </w:rPr>
        <w:t>The informaton required by Item 13 is incorporated by reference from the informaton under the captons “Transactons with Related Persons,” and “Independence of Directors” contained in Blackbaud’s Proxy Statement for the 2024 Annual Meetng of Stockholders expected to be held on June 12, 2024.</w:t>
      </w:r>
    </w:p>
    <w:p>
      <w:pPr>
        <w:spacing w:after="0" w:line="237"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14. PRINCIPAL ACCOUNTANT FEES AND SERVICES</w:t>
      </w:r>
    </w:p>
    <w:p>
      <w:pPr>
        <w:spacing w:after="0" w:line="17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The informaton required by Item 14 is incorporated by reference from the informaton under the capton “Audit Commitee Report,” contained in Blackbaud’s Proxy Statement for the 2024 Annual Meetng of Stockholders expected to be held on June 12, 2024.</w:t>
      </w:r>
    </w:p>
    <w:p>
      <w:pPr>
        <w:spacing w:after="0" w:line="31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114</w:t>
      </w:r>
      <w:r>
        <w:rPr>
          <w:sz w:val="20"/>
          <w:szCs w:val="20"/>
          <w:color w:val="auto"/>
        </w:rPr>
        <w:tab/>
      </w:r>
      <w:r>
        <w:rPr>
          <w:sz w:val="1"/>
          <w:szCs w:val="1"/>
          <w:color w:val="auto"/>
        </w:rPr>
        <w:drawing>
          <wp:inline distT="0" distB="0" distL="0" distR="0">
            <wp:extent cx="728345" cy="188595"/>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3"/>
          <w:szCs w:val="43"/>
          <w:b w:val="1"/>
          <w:bCs w:val="1"/>
          <w:color w:val="50535A"/>
        </w:rPr>
        <w:t xml:space="preserve"> PART IV.</w:t>
      </w:r>
    </w:p>
    <w:p>
      <w:pPr>
        <w:spacing w:after="0" w:line="391"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15. EXHIBITS AND FINANCIAL STATEMENT SCHEDULES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51555C"/>
        </w:rPr>
        <w:t>(a) The following documents are included as part of the Annual Report on Form 10-K:</w:t>
      </w:r>
    </w:p>
    <w:p>
      <w:pPr>
        <w:spacing w:after="0" w:line="158" w:lineRule="exact"/>
        <w:rPr>
          <w:sz w:val="20"/>
          <w:szCs w:val="20"/>
          <w:color w:val="auto"/>
        </w:rPr>
      </w:pPr>
    </w:p>
    <w:p>
      <w:pPr>
        <w:ind w:left="360" w:hanging="352"/>
        <w:spacing w:after="0"/>
        <w:tabs>
          <w:tab w:leader="none" w:pos="360" w:val="left"/>
        </w:tabs>
        <w:numPr>
          <w:ilvl w:val="0"/>
          <w:numId w:val="61"/>
        </w:numPr>
        <w:rPr>
          <w:rFonts w:ascii="Calibri" w:cs="Calibri" w:eastAsia="Calibri" w:hAnsi="Calibri"/>
          <w:sz w:val="18"/>
          <w:szCs w:val="18"/>
          <w:color w:val="51555C"/>
        </w:rPr>
      </w:pPr>
      <w:r>
        <w:rPr>
          <w:rFonts w:ascii="Calibri" w:cs="Calibri" w:eastAsia="Calibri" w:hAnsi="Calibri"/>
          <w:sz w:val="18"/>
          <w:szCs w:val="18"/>
          <w:i w:val="1"/>
          <w:iCs w:val="1"/>
          <w:color w:val="51555C"/>
        </w:rPr>
        <w:t>Financial statements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See the "Index to consolidated fnancial statements" in Part II Item 8 of this report.</w:t>
      </w:r>
    </w:p>
    <w:p>
      <w:pPr>
        <w:spacing w:after="0" w:line="16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There were no retrospectve changes to the Consolidated Statement of Operatons for any quarters in the two most recent fscal years that would require disclosure under Item 302, as amended.</w:t>
      </w:r>
    </w:p>
    <w:p>
      <w:pPr>
        <w:spacing w:after="0" w:line="159"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i w:val="1"/>
          <w:iCs w:val="1"/>
          <w:color w:val="51555C"/>
        </w:rPr>
        <w:t>2.</w:t>
      </w:r>
      <w:r>
        <w:rPr>
          <w:sz w:val="20"/>
          <w:szCs w:val="20"/>
          <w:color w:val="auto"/>
        </w:rPr>
        <w:tab/>
      </w:r>
      <w:r>
        <w:rPr>
          <w:rFonts w:ascii="Calibri" w:cs="Calibri" w:eastAsia="Calibri" w:hAnsi="Calibri"/>
          <w:sz w:val="17"/>
          <w:szCs w:val="17"/>
          <w:i w:val="1"/>
          <w:iCs w:val="1"/>
          <w:color w:val="51555C"/>
        </w:rPr>
        <w:t>Financial statement schedules</w:t>
      </w:r>
    </w:p>
    <w:p>
      <w:pPr>
        <w:spacing w:after="0" w:line="16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51555C"/>
        </w:rPr>
        <w:t>Schedules not listed above have been omited because the informaton required to be set forth therein is not applicable or is shown in the fnancial statements thereto.</w:t>
      </w:r>
    </w:p>
    <w:p>
      <w:pPr>
        <w:spacing w:after="0" w:line="159"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i w:val="1"/>
          <w:iCs w:val="1"/>
          <w:color w:val="51555C"/>
        </w:rPr>
        <w:t>3.</w:t>
      </w:r>
      <w:r>
        <w:rPr>
          <w:sz w:val="20"/>
          <w:szCs w:val="20"/>
          <w:color w:val="auto"/>
        </w:rPr>
        <w:tab/>
      </w:r>
      <w:r>
        <w:rPr>
          <w:rFonts w:ascii="Calibri" w:cs="Calibri" w:eastAsia="Calibri" w:hAnsi="Calibri"/>
          <w:sz w:val="17"/>
          <w:szCs w:val="17"/>
          <w:i w:val="1"/>
          <w:iCs w:val="1"/>
          <w:color w:val="51555C"/>
        </w:rPr>
        <w:t>Exhibits</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The exhibits listed below are fled or incorporated by reference as part of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30" w:type="dxa"/>
            <w:vAlign w:val="bottom"/>
            <w:shd w:val="clear" w:color="auto" w:fill="004054"/>
          </w:tcPr>
          <w:p>
            <w:pPr>
              <w:spacing w:after="0"/>
              <w:rPr>
                <w:sz w:val="16"/>
                <w:szCs w:val="16"/>
                <w:color w:val="auto"/>
              </w:rPr>
            </w:pPr>
          </w:p>
        </w:tc>
        <w:tc>
          <w:tcPr>
            <w:tcW w:w="65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64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66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54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80" w:type="dxa"/>
            <w:vAlign w:val="bottom"/>
            <w:tcBorders>
              <w:right w:val="single" w:sz="8" w:color="004054"/>
            </w:tcBorders>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580" w:type="dxa"/>
            <w:vAlign w:val="bottom"/>
            <w:shd w:val="clear" w:color="auto" w:fill="004054"/>
          </w:tcPr>
          <w:p>
            <w:pPr>
              <w:jc w:val="right"/>
              <w:ind w:right="73"/>
              <w:spacing w:after="0"/>
              <w:rPr>
                <w:sz w:val="20"/>
                <w:szCs w:val="20"/>
                <w:color w:val="auto"/>
              </w:rPr>
            </w:pPr>
            <w:r>
              <w:rPr>
                <w:rFonts w:ascii="Calibri" w:cs="Calibri" w:eastAsia="Calibri" w:hAnsi="Calibri"/>
                <w:sz w:val="14"/>
                <w:szCs w:val="14"/>
                <w:b w:val="1"/>
                <w:bCs w:val="1"/>
                <w:color w:val="FFFFFF"/>
              </w:rPr>
              <w:t>Filed In</w:t>
            </w:r>
          </w:p>
        </w:tc>
        <w:tc>
          <w:tcPr>
            <w:tcW w:w="1113" w:type="dxa"/>
            <w:vAlign w:val="bottom"/>
            <w:shd w:val="clear" w:color="auto" w:fill="004054"/>
          </w:tcPr>
          <w:p>
            <w:pPr>
              <w:spacing w:after="0"/>
              <w:rPr>
                <w:sz w:val="16"/>
                <w:szCs w:val="16"/>
                <w:color w:val="auto"/>
              </w:rPr>
            </w:pPr>
          </w:p>
        </w:tc>
        <w:tc>
          <w:tcPr>
            <w:tcW w:w="928"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70" w:type="dxa"/>
            <w:vAlign w:val="bottom"/>
            <w:gridSpan w:val="3"/>
            <w:shd w:val="clear" w:color="auto" w:fill="004054"/>
          </w:tcPr>
          <w:p>
            <w:pPr>
              <w:jc w:val="right"/>
              <w:ind w:right="50"/>
              <w:spacing w:after="0"/>
              <w:rPr>
                <w:sz w:val="20"/>
                <w:szCs w:val="20"/>
                <w:color w:val="auto"/>
              </w:rPr>
            </w:pPr>
            <w:r>
              <w:rPr>
                <w:rFonts w:ascii="Calibri" w:cs="Calibri" w:eastAsia="Calibri" w:hAnsi="Calibri"/>
                <w:sz w:val="14"/>
                <w:szCs w:val="14"/>
                <w:b w:val="1"/>
                <w:bCs w:val="1"/>
                <w:color w:val="FFFFFF"/>
              </w:rPr>
              <w:t>Exhibit</w:t>
            </w:r>
          </w:p>
        </w:tc>
        <w:tc>
          <w:tcPr>
            <w:tcW w:w="650" w:type="dxa"/>
            <w:vAlign w:val="bottom"/>
            <w:shd w:val="clear" w:color="auto" w:fill="004054"/>
          </w:tcPr>
          <w:p>
            <w:pPr>
              <w:spacing w:after="0"/>
              <w:rPr>
                <w:sz w:val="20"/>
                <w:szCs w:val="20"/>
                <w:color w:val="auto"/>
              </w:rPr>
            </w:pPr>
          </w:p>
        </w:tc>
        <w:tc>
          <w:tcPr>
            <w:tcW w:w="260" w:type="dxa"/>
            <w:vAlign w:val="bottom"/>
            <w:shd w:val="clear" w:color="auto" w:fill="004054"/>
          </w:tcPr>
          <w:p>
            <w:pPr>
              <w:spacing w:after="0"/>
              <w:rPr>
                <w:sz w:val="20"/>
                <w:szCs w:val="20"/>
                <w:color w:val="auto"/>
              </w:rPr>
            </w:pPr>
          </w:p>
        </w:tc>
        <w:tc>
          <w:tcPr>
            <w:tcW w:w="640" w:type="dxa"/>
            <w:vAlign w:val="bottom"/>
            <w:shd w:val="clear" w:color="auto" w:fill="004054"/>
          </w:tcPr>
          <w:p>
            <w:pPr>
              <w:spacing w:after="0"/>
              <w:rPr>
                <w:sz w:val="20"/>
                <w:szCs w:val="20"/>
                <w:color w:val="auto"/>
              </w:rPr>
            </w:pPr>
          </w:p>
        </w:tc>
        <w:tc>
          <w:tcPr>
            <w:tcW w:w="180" w:type="dxa"/>
            <w:vAlign w:val="bottom"/>
            <w:shd w:val="clear" w:color="auto" w:fill="004054"/>
          </w:tcPr>
          <w:p>
            <w:pPr>
              <w:spacing w:after="0"/>
              <w:rPr>
                <w:sz w:val="20"/>
                <w:szCs w:val="20"/>
                <w:color w:val="auto"/>
              </w:rPr>
            </w:pPr>
          </w:p>
        </w:tc>
        <w:tc>
          <w:tcPr>
            <w:tcW w:w="220" w:type="dxa"/>
            <w:vAlign w:val="bottom"/>
            <w:shd w:val="clear" w:color="auto" w:fill="004054"/>
          </w:tcPr>
          <w:p>
            <w:pPr>
              <w:spacing w:after="0"/>
              <w:rPr>
                <w:sz w:val="20"/>
                <w:szCs w:val="20"/>
                <w:color w:val="auto"/>
              </w:rPr>
            </w:pPr>
          </w:p>
        </w:tc>
        <w:tc>
          <w:tcPr>
            <w:tcW w:w="660" w:type="dxa"/>
            <w:vAlign w:val="bottom"/>
            <w:shd w:val="clear" w:color="auto" w:fill="004054"/>
          </w:tcPr>
          <w:p>
            <w:pPr>
              <w:spacing w:after="0"/>
              <w:rPr>
                <w:sz w:val="20"/>
                <w:szCs w:val="20"/>
                <w:color w:val="auto"/>
              </w:rPr>
            </w:pPr>
          </w:p>
        </w:tc>
        <w:tc>
          <w:tcPr>
            <w:tcW w:w="180" w:type="dxa"/>
            <w:vAlign w:val="bottom"/>
            <w:shd w:val="clear" w:color="auto" w:fill="004054"/>
          </w:tcPr>
          <w:p>
            <w:pPr>
              <w:spacing w:after="0"/>
              <w:rPr>
                <w:sz w:val="20"/>
                <w:szCs w:val="20"/>
                <w:color w:val="auto"/>
              </w:rPr>
            </w:pPr>
          </w:p>
        </w:tc>
        <w:tc>
          <w:tcPr>
            <w:tcW w:w="260" w:type="dxa"/>
            <w:vAlign w:val="bottom"/>
            <w:shd w:val="clear" w:color="auto" w:fill="004054"/>
          </w:tcPr>
          <w:p>
            <w:pPr>
              <w:spacing w:after="0"/>
              <w:rPr>
                <w:sz w:val="20"/>
                <w:szCs w:val="20"/>
                <w:color w:val="auto"/>
              </w:rPr>
            </w:pPr>
          </w:p>
        </w:tc>
        <w:tc>
          <w:tcPr>
            <w:tcW w:w="154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80" w:type="dxa"/>
            <w:vAlign w:val="bottom"/>
            <w:tcBorders>
              <w:right w:val="single" w:sz="8" w:color="004054"/>
            </w:tcBorders>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1200"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rPr>
              <w:t>Registrant’s</w:t>
            </w:r>
          </w:p>
        </w:tc>
        <w:tc>
          <w:tcPr>
            <w:tcW w:w="1580" w:type="dxa"/>
            <w:vAlign w:val="bottom"/>
            <w:shd w:val="clear" w:color="auto" w:fill="004054"/>
          </w:tcPr>
          <w:p>
            <w:pPr>
              <w:spacing w:after="0"/>
              <w:rPr>
                <w:sz w:val="20"/>
                <w:szCs w:val="20"/>
                <w:color w:val="auto"/>
              </w:rPr>
            </w:pPr>
          </w:p>
        </w:tc>
        <w:tc>
          <w:tcPr>
            <w:tcW w:w="1113" w:type="dxa"/>
            <w:vAlign w:val="bottom"/>
            <w:shd w:val="clear" w:color="auto" w:fill="004054"/>
          </w:tcPr>
          <w:p>
            <w:pPr>
              <w:jc w:val="right"/>
              <w:ind w:right="406"/>
              <w:spacing w:after="0"/>
              <w:rPr>
                <w:sz w:val="20"/>
                <w:szCs w:val="20"/>
                <w:color w:val="auto"/>
              </w:rPr>
            </w:pPr>
            <w:r>
              <w:rPr>
                <w:rFonts w:ascii="Calibri" w:cs="Calibri" w:eastAsia="Calibri" w:hAnsi="Calibri"/>
                <w:sz w:val="14"/>
                <w:szCs w:val="14"/>
                <w:b w:val="1"/>
                <w:bCs w:val="1"/>
                <w:color w:val="FFFFFF"/>
              </w:rPr>
              <w:t>Exhibit</w:t>
            </w: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Filed</w:t>
            </w:r>
          </w:p>
        </w:tc>
        <w:tc>
          <w:tcPr>
            <w:tcW w:w="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70" w:type="dxa"/>
            <w:vAlign w:val="bottom"/>
            <w:gridSpan w:val="3"/>
            <w:shd w:val="clear" w:color="auto" w:fill="004054"/>
          </w:tcPr>
          <w:p>
            <w:pPr>
              <w:jc w:val="right"/>
              <w:ind w:right="30"/>
              <w:spacing w:after="0"/>
              <w:rPr>
                <w:sz w:val="20"/>
                <w:szCs w:val="20"/>
                <w:color w:val="auto"/>
              </w:rPr>
            </w:pPr>
            <w:r>
              <w:rPr>
                <w:rFonts w:ascii="Calibri" w:cs="Calibri" w:eastAsia="Calibri" w:hAnsi="Calibri"/>
                <w:sz w:val="14"/>
                <w:szCs w:val="14"/>
                <w:b w:val="1"/>
                <w:bCs w:val="1"/>
                <w:color w:val="FFFFFF"/>
              </w:rPr>
              <w:t>Number</w:t>
            </w:r>
          </w:p>
        </w:tc>
        <w:tc>
          <w:tcPr>
            <w:tcW w:w="65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64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220" w:type="dxa"/>
            <w:vAlign w:val="bottom"/>
            <w:shd w:val="clear" w:color="auto" w:fill="004054"/>
          </w:tcPr>
          <w:p>
            <w:pPr>
              <w:spacing w:after="0"/>
              <w:rPr>
                <w:sz w:val="15"/>
                <w:szCs w:val="15"/>
                <w:color w:val="auto"/>
              </w:rPr>
            </w:pPr>
          </w:p>
        </w:tc>
        <w:tc>
          <w:tcPr>
            <w:tcW w:w="3500" w:type="dxa"/>
            <w:vAlign w:val="bottom"/>
            <w:gridSpan w:val="18"/>
            <w:shd w:val="clear" w:color="auto" w:fill="004054"/>
          </w:tcPr>
          <w:p>
            <w:pPr>
              <w:ind w:left="300"/>
              <w:spacing w:after="0"/>
              <w:rPr>
                <w:sz w:val="20"/>
                <w:szCs w:val="20"/>
                <w:color w:val="auto"/>
              </w:rPr>
            </w:pPr>
            <w:r>
              <w:rPr>
                <w:rFonts w:ascii="Calibri" w:cs="Calibri" w:eastAsia="Calibri" w:hAnsi="Calibri"/>
                <w:sz w:val="14"/>
                <w:szCs w:val="14"/>
                <w:b w:val="1"/>
                <w:bCs w:val="1"/>
                <w:color w:val="FFFFFF"/>
              </w:rPr>
              <w:t>Descripton of Document</w:t>
            </w:r>
          </w:p>
        </w:tc>
        <w:tc>
          <w:tcPr>
            <w:tcW w:w="1200"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w w:val="98"/>
              </w:rPr>
              <w:t>Form</w:t>
            </w:r>
          </w:p>
        </w:tc>
        <w:tc>
          <w:tcPr>
            <w:tcW w:w="1580" w:type="dxa"/>
            <w:vAlign w:val="bottom"/>
            <w:shd w:val="clear" w:color="auto" w:fill="004054"/>
          </w:tcPr>
          <w:p>
            <w:pPr>
              <w:jc w:val="right"/>
              <w:ind w:right="673"/>
              <w:spacing w:after="0"/>
              <w:rPr>
                <w:sz w:val="20"/>
                <w:szCs w:val="20"/>
                <w:color w:val="auto"/>
              </w:rPr>
            </w:pPr>
            <w:r>
              <w:rPr>
                <w:rFonts w:ascii="Calibri" w:cs="Calibri" w:eastAsia="Calibri" w:hAnsi="Calibri"/>
                <w:sz w:val="14"/>
                <w:szCs w:val="14"/>
                <w:b w:val="1"/>
                <w:bCs w:val="1"/>
                <w:color w:val="FFFFFF"/>
              </w:rPr>
              <w:t>Dated</w:t>
            </w:r>
          </w:p>
        </w:tc>
        <w:tc>
          <w:tcPr>
            <w:tcW w:w="1113" w:type="dxa"/>
            <w:vAlign w:val="bottom"/>
            <w:shd w:val="clear" w:color="auto" w:fill="004054"/>
          </w:tcPr>
          <w:p>
            <w:pPr>
              <w:jc w:val="right"/>
              <w:ind w:right="366"/>
              <w:spacing w:after="0"/>
              <w:rPr>
                <w:sz w:val="20"/>
                <w:szCs w:val="20"/>
                <w:color w:val="auto"/>
              </w:rPr>
            </w:pPr>
            <w:r>
              <w:rPr>
                <w:rFonts w:ascii="Calibri" w:cs="Calibri" w:eastAsia="Calibri" w:hAnsi="Calibri"/>
                <w:sz w:val="14"/>
                <w:szCs w:val="14"/>
                <w:b w:val="1"/>
                <w:bCs w:val="1"/>
                <w:color w:val="FFFFFF"/>
              </w:rPr>
              <w:t>Number</w:t>
            </w: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Herewith</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2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30" w:type="dxa"/>
            <w:vAlign w:val="bottom"/>
            <w:shd w:val="clear" w:color="auto" w:fill="004054"/>
          </w:tcPr>
          <w:p>
            <w:pPr>
              <w:spacing w:after="0"/>
              <w:rPr>
                <w:sz w:val="6"/>
                <w:szCs w:val="6"/>
                <w:color w:val="auto"/>
              </w:rPr>
            </w:pPr>
          </w:p>
        </w:tc>
        <w:tc>
          <w:tcPr>
            <w:tcW w:w="65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640" w:type="dxa"/>
            <w:vAlign w:val="bottom"/>
            <w:shd w:val="clear" w:color="auto" w:fill="004054"/>
          </w:tcPr>
          <w:p>
            <w:pPr>
              <w:spacing w:after="0"/>
              <w:rPr>
                <w:sz w:val="6"/>
                <w:szCs w:val="6"/>
                <w:color w:val="auto"/>
              </w:rPr>
            </w:pPr>
          </w:p>
        </w:tc>
        <w:tc>
          <w:tcPr>
            <w:tcW w:w="18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660" w:type="dxa"/>
            <w:vAlign w:val="bottom"/>
            <w:shd w:val="clear" w:color="auto" w:fill="004054"/>
          </w:tcPr>
          <w:p>
            <w:pPr>
              <w:spacing w:after="0"/>
              <w:rPr>
                <w:sz w:val="6"/>
                <w:szCs w:val="6"/>
                <w:color w:val="auto"/>
              </w:rPr>
            </w:pPr>
          </w:p>
        </w:tc>
        <w:tc>
          <w:tcPr>
            <w:tcW w:w="18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154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80" w:type="dxa"/>
            <w:vAlign w:val="bottom"/>
            <w:tcBorders>
              <w:right w:val="single" w:sz="8" w:color="004054"/>
            </w:tcBorders>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1580" w:type="dxa"/>
            <w:vAlign w:val="bottom"/>
            <w:shd w:val="clear" w:color="auto" w:fill="004054"/>
          </w:tcPr>
          <w:p>
            <w:pPr>
              <w:spacing w:after="0"/>
              <w:rPr>
                <w:sz w:val="6"/>
                <w:szCs w:val="6"/>
                <w:color w:val="auto"/>
              </w:rPr>
            </w:pPr>
          </w:p>
        </w:tc>
        <w:tc>
          <w:tcPr>
            <w:tcW w:w="1113" w:type="dxa"/>
            <w:vAlign w:val="bottom"/>
            <w:shd w:val="clear" w:color="auto" w:fill="004054"/>
          </w:tcPr>
          <w:p>
            <w:pPr>
              <w:spacing w:after="0"/>
              <w:rPr>
                <w:sz w:val="6"/>
                <w:szCs w:val="6"/>
                <w:color w:val="auto"/>
              </w:rPr>
            </w:pPr>
          </w:p>
        </w:tc>
        <w:tc>
          <w:tcPr>
            <w:tcW w:w="928"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EBFBFF"/>
          </w:tcPr>
          <w:p>
            <w:pPr>
              <w:spacing w:after="0"/>
              <w:rPr>
                <w:sz w:val="16"/>
                <w:szCs w:val="16"/>
                <w:color w:val="auto"/>
              </w:rPr>
            </w:pPr>
          </w:p>
        </w:tc>
        <w:tc>
          <w:tcPr>
            <w:tcW w:w="250" w:type="dxa"/>
            <w:vAlign w:val="bottom"/>
            <w:gridSpan w:val="2"/>
            <w:shd w:val="clear" w:color="auto" w:fill="EBFBFF"/>
          </w:tcPr>
          <w:p>
            <w:pPr>
              <w:jc w:val="right"/>
              <w:ind w:right="10"/>
              <w:spacing w:after="0" w:line="189" w:lineRule="exact"/>
              <w:rPr>
                <w:rFonts w:ascii="Calibri" w:cs="Calibri" w:eastAsia="Calibri" w:hAnsi="Calibri"/>
                <w:sz w:val="18"/>
                <w:szCs w:val="18"/>
                <w:color w:val="7A04DD"/>
                <w:w w:val="96"/>
              </w:rPr>
            </w:pPr>
            <w:hyperlink r:id="rId490">
              <w:r>
                <w:rPr>
                  <w:rFonts w:ascii="Calibri" w:cs="Calibri" w:eastAsia="Calibri" w:hAnsi="Calibri"/>
                  <w:sz w:val="18"/>
                  <w:szCs w:val="18"/>
                  <w:color w:val="7A04DD"/>
                  <w:w w:val="96"/>
                </w:rPr>
                <w:t>2.1</w:t>
              </w:r>
            </w:hyperlink>
          </w:p>
        </w:tc>
        <w:tc>
          <w:tcPr>
            <w:tcW w:w="650" w:type="dxa"/>
            <w:vAlign w:val="bottom"/>
            <w:shd w:val="clear" w:color="auto" w:fill="EBFBFF"/>
          </w:tcPr>
          <w:p>
            <w:pPr>
              <w:spacing w:after="0"/>
              <w:rPr>
                <w:sz w:val="16"/>
                <w:szCs w:val="16"/>
                <w:color w:val="auto"/>
              </w:rPr>
            </w:pPr>
          </w:p>
        </w:tc>
        <w:tc>
          <w:tcPr>
            <w:tcW w:w="4800" w:type="dxa"/>
            <w:vAlign w:val="bottom"/>
            <w:gridSpan w:val="22"/>
            <w:shd w:val="clear" w:color="auto" w:fill="EBFBFF"/>
          </w:tcPr>
          <w:p>
            <w:pPr>
              <w:spacing w:after="0" w:line="189" w:lineRule="exact"/>
              <w:rPr>
                <w:rFonts w:ascii="Calibri" w:cs="Calibri" w:eastAsia="Calibri" w:hAnsi="Calibri"/>
                <w:sz w:val="18"/>
                <w:szCs w:val="18"/>
                <w:color w:val="7A04DD"/>
              </w:rPr>
            </w:pPr>
            <w:hyperlink r:id="rId490">
              <w:r>
                <w:rPr>
                  <w:rFonts w:ascii="Calibri" w:cs="Calibri" w:eastAsia="Calibri" w:hAnsi="Calibri"/>
                  <w:sz w:val="18"/>
                  <w:szCs w:val="18"/>
                  <w:color w:val="7A04DD"/>
                </w:rPr>
                <w:t>Agreement and Plan of Merger and Reincorporaton dated</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S-1/A</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4/6/2004</w:t>
            </w:r>
          </w:p>
        </w:tc>
        <w:tc>
          <w:tcPr>
            <w:tcW w:w="1113" w:type="dxa"/>
            <w:vAlign w:val="bottom"/>
            <w:shd w:val="clear" w:color="auto" w:fill="EBFBFF"/>
          </w:tcPr>
          <w:p>
            <w:pPr>
              <w:jc w:val="right"/>
              <w:ind w:right="6"/>
              <w:spacing w:after="0" w:line="189" w:lineRule="exact"/>
              <w:rPr>
                <w:sz w:val="20"/>
                <w:szCs w:val="20"/>
                <w:color w:val="auto"/>
              </w:rPr>
            </w:pPr>
            <w:r>
              <w:rPr>
                <w:rFonts w:ascii="Calibri" w:cs="Calibri" w:eastAsia="Calibri" w:hAnsi="Calibri"/>
                <w:sz w:val="18"/>
                <w:szCs w:val="18"/>
                <w:color w:val="51555C"/>
              </w:rPr>
              <w:t>2.1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30" w:type="dxa"/>
            <w:vAlign w:val="bottom"/>
            <w:tcBorders>
              <w:top w:val="single" w:sz="8" w:color="EBFBFF"/>
            </w:tcBorders>
            <w:shd w:val="clear" w:color="auto" w:fill="EBFBFF"/>
          </w:tcPr>
          <w:p>
            <w:pPr>
              <w:spacing w:after="0"/>
              <w:rPr>
                <w:sz w:val="17"/>
                <w:szCs w:val="17"/>
                <w:color w:val="auto"/>
              </w:rPr>
            </w:pPr>
          </w:p>
        </w:tc>
        <w:tc>
          <w:tcPr>
            <w:tcW w:w="650" w:type="dxa"/>
            <w:vAlign w:val="bottom"/>
            <w:tcBorders>
              <w:top w:val="single" w:sz="8" w:color="EBFBFF"/>
            </w:tcBorders>
            <w:shd w:val="clear" w:color="auto" w:fill="EBFBFF"/>
          </w:tcPr>
          <w:p>
            <w:pPr>
              <w:spacing w:after="0"/>
              <w:rPr>
                <w:sz w:val="17"/>
                <w:szCs w:val="17"/>
                <w:color w:val="auto"/>
              </w:rPr>
            </w:pPr>
          </w:p>
        </w:tc>
        <w:tc>
          <w:tcPr>
            <w:tcW w:w="4140" w:type="dxa"/>
            <w:vAlign w:val="bottom"/>
            <w:tcBorders>
              <w:top w:val="single" w:sz="8" w:color="7A04DD"/>
            </w:tcBorders>
            <w:gridSpan w:val="12"/>
            <w:shd w:val="clear" w:color="auto" w:fill="EBFBFF"/>
          </w:tcPr>
          <w:p>
            <w:pPr>
              <w:spacing w:after="0" w:line="196" w:lineRule="exact"/>
              <w:rPr>
                <w:rFonts w:ascii="Calibri" w:cs="Calibri" w:eastAsia="Calibri" w:hAnsi="Calibri"/>
                <w:sz w:val="18"/>
                <w:szCs w:val="18"/>
                <w:color w:val="7A04DD"/>
              </w:rPr>
            </w:pPr>
            <w:hyperlink r:id="rId490">
              <w:r>
                <w:rPr>
                  <w:rFonts w:ascii="Calibri" w:cs="Calibri" w:eastAsia="Calibri" w:hAnsi="Calibri"/>
                  <w:sz w:val="18"/>
                  <w:szCs w:val="18"/>
                  <w:color w:val="7A04DD"/>
                </w:rPr>
                <w:t>April 6, 2004</w:t>
              </w:r>
            </w:hyperlink>
          </w:p>
        </w:tc>
        <w:tc>
          <w:tcPr>
            <w:tcW w:w="660" w:type="dxa"/>
            <w:vAlign w:val="bottom"/>
            <w:tcBorders>
              <w:top w:val="single" w:sz="8" w:color="EBFBFF"/>
            </w:tcBorders>
            <w:gridSpan w:val="10"/>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2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65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6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660" w:type="dxa"/>
            <w:vAlign w:val="bottom"/>
            <w:tcBorders>
              <w:top w:val="single" w:sz="8" w:color="EBFBFF"/>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EBFBFF"/>
            </w:tcBorders>
            <w:shd w:val="clear" w:color="auto" w:fill="EBFBFF"/>
          </w:tcPr>
          <w:p>
            <w:pPr>
              <w:spacing w:after="0"/>
              <w:rPr>
                <w:sz w:val="5"/>
                <w:szCs w:val="5"/>
                <w:color w:val="auto"/>
              </w:rPr>
            </w:pPr>
          </w:p>
        </w:tc>
        <w:tc>
          <w:tcPr>
            <w:tcW w:w="15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250" w:type="dxa"/>
            <w:vAlign w:val="bottom"/>
            <w:gridSpan w:val="2"/>
          </w:tcPr>
          <w:p>
            <w:pPr>
              <w:jc w:val="right"/>
              <w:ind w:right="10"/>
              <w:spacing w:after="0" w:line="189" w:lineRule="exact"/>
              <w:rPr>
                <w:rFonts w:ascii="Calibri" w:cs="Calibri" w:eastAsia="Calibri" w:hAnsi="Calibri"/>
                <w:sz w:val="18"/>
                <w:szCs w:val="18"/>
                <w:color w:val="7A04DD"/>
                <w:w w:val="96"/>
              </w:rPr>
            </w:pPr>
            <w:hyperlink r:id="rId491">
              <w:r>
                <w:rPr>
                  <w:rFonts w:ascii="Calibri" w:cs="Calibri" w:eastAsia="Calibri" w:hAnsi="Calibri"/>
                  <w:sz w:val="18"/>
                  <w:szCs w:val="18"/>
                  <w:color w:val="7A04DD"/>
                  <w:w w:val="96"/>
                </w:rPr>
                <w:t>2.</w:t>
              </w:r>
              <w:r>
                <w:rPr>
                  <w:rFonts w:ascii="Calibri" w:cs="Calibri" w:eastAsia="Calibri" w:hAnsi="Calibri"/>
                  <w:sz w:val="18"/>
                  <w:szCs w:val="18"/>
                  <w:u w:val="single" w:color="auto"/>
                  <w:color w:val="7A04DD"/>
                  <w:w w:val="96"/>
                </w:rPr>
                <w:t>2</w:t>
              </w:r>
            </w:hyperlink>
          </w:p>
        </w:tc>
        <w:tc>
          <w:tcPr>
            <w:tcW w:w="650" w:type="dxa"/>
            <w:vAlign w:val="bottom"/>
          </w:tcPr>
          <w:p>
            <w:pPr>
              <w:spacing w:after="0"/>
              <w:rPr>
                <w:sz w:val="16"/>
                <w:szCs w:val="16"/>
                <w:color w:val="auto"/>
              </w:rPr>
            </w:pPr>
          </w:p>
        </w:tc>
        <w:tc>
          <w:tcPr>
            <w:tcW w:w="4800" w:type="dxa"/>
            <w:vAlign w:val="bottom"/>
            <w:gridSpan w:val="22"/>
          </w:tcPr>
          <w:p>
            <w:pPr>
              <w:spacing w:after="0" w:line="189" w:lineRule="exact"/>
              <w:rPr>
                <w:rFonts w:ascii="Calibri" w:cs="Calibri" w:eastAsia="Calibri" w:hAnsi="Calibri"/>
                <w:sz w:val="18"/>
                <w:szCs w:val="18"/>
                <w:color w:val="7A04DD"/>
              </w:rPr>
            </w:pPr>
            <w:hyperlink r:id="rId491">
              <w:r>
                <w:rPr>
                  <w:rFonts w:ascii="Calibri" w:cs="Calibri" w:eastAsia="Calibri" w:hAnsi="Calibri"/>
                  <w:sz w:val="18"/>
                  <w:szCs w:val="18"/>
                  <w:color w:val="7A04DD"/>
                </w:rPr>
                <w:t>Purchase Agreement, dated August 30, 2014, by and among</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10/2/2014</w:t>
            </w:r>
          </w:p>
        </w:tc>
        <w:tc>
          <w:tcPr>
            <w:tcW w:w="1113" w:type="dxa"/>
            <w:vAlign w:val="bottom"/>
          </w:tcPr>
          <w:p>
            <w:pPr>
              <w:jc w:val="right"/>
              <w:ind w:right="6"/>
              <w:spacing w:after="0" w:line="189" w:lineRule="exact"/>
              <w:rPr>
                <w:sz w:val="20"/>
                <w:szCs w:val="20"/>
                <w:color w:val="auto"/>
              </w:rPr>
            </w:pPr>
            <w:r>
              <w:rPr>
                <w:rFonts w:ascii="Calibri" w:cs="Calibri" w:eastAsia="Calibri" w:hAnsi="Calibri"/>
                <w:sz w:val="18"/>
                <w:szCs w:val="18"/>
                <w:color w:val="51555C"/>
              </w:rPr>
              <w:t>10.76</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240" w:type="dxa"/>
            <w:vAlign w:val="bottom"/>
            <w:tcBorders>
              <w:top w:val="single" w:sz="8" w:color="7A04DD"/>
              <w:bottom w:val="single" w:sz="8" w:color="7A04DD"/>
            </w:tcBorders>
            <w:gridSpan w:val="13"/>
          </w:tcPr>
          <w:p>
            <w:pPr>
              <w:spacing w:after="0" w:line="196" w:lineRule="exact"/>
              <w:rPr>
                <w:rFonts w:ascii="Calibri" w:cs="Calibri" w:eastAsia="Calibri" w:hAnsi="Calibri"/>
                <w:sz w:val="18"/>
                <w:szCs w:val="18"/>
                <w:color w:val="7A04DD"/>
                <w:w w:val="96"/>
              </w:rPr>
            </w:pPr>
            <w:hyperlink r:id="rId491">
              <w:r>
                <w:rPr>
                  <w:rFonts w:ascii="Calibri" w:cs="Calibri" w:eastAsia="Calibri" w:hAnsi="Calibri"/>
                  <w:sz w:val="18"/>
                  <w:szCs w:val="18"/>
                  <w:color w:val="7A04DD"/>
                  <w:w w:val="96"/>
                </w:rPr>
                <w:t>MicroEdge Holdings, LLC, Blackbaud, Inc, direct and indirect</w:t>
              </w:r>
            </w:hyperlink>
          </w:p>
        </w:tc>
        <w:tc>
          <w:tcPr>
            <w:tcW w:w="20" w:type="dxa"/>
            <w:vAlign w:val="bottom"/>
            <w:tcBorders>
              <w:top w:val="single" w:sz="8" w:color="7A04DD"/>
            </w:tcBorders>
          </w:tcPr>
          <w:p>
            <w:pPr>
              <w:spacing w:after="0"/>
              <w:rPr>
                <w:sz w:val="17"/>
                <w:szCs w:val="17"/>
                <w:color w:val="auto"/>
              </w:rPr>
            </w:pPr>
          </w:p>
        </w:tc>
        <w:tc>
          <w:tcPr>
            <w:tcW w:w="54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800" w:type="dxa"/>
            <w:vAlign w:val="bottom"/>
            <w:gridSpan w:val="22"/>
          </w:tcPr>
          <w:p>
            <w:pPr>
              <w:spacing w:after="0" w:line="196" w:lineRule="exact"/>
              <w:rPr>
                <w:rFonts w:ascii="Calibri" w:cs="Calibri" w:eastAsia="Calibri" w:hAnsi="Calibri"/>
                <w:sz w:val="18"/>
                <w:szCs w:val="18"/>
                <w:color w:val="7A04DD"/>
              </w:rPr>
            </w:pPr>
            <w:hyperlink r:id="rId491">
              <w:r>
                <w:rPr>
                  <w:rFonts w:ascii="Calibri" w:cs="Calibri" w:eastAsia="Calibri" w:hAnsi="Calibri"/>
                  <w:sz w:val="18"/>
                  <w:szCs w:val="18"/>
                  <w:color w:val="7A04DD"/>
                </w:rPr>
                <w:t>holders of all of the outstanding equity interests of MicroEdge</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400" w:type="dxa"/>
            <w:vAlign w:val="bottom"/>
            <w:tcBorders>
              <w:top w:val="single" w:sz="8" w:color="7A04DD"/>
            </w:tcBorders>
            <w:gridSpan w:val="16"/>
          </w:tcPr>
          <w:p>
            <w:pPr>
              <w:spacing w:after="0" w:line="196" w:lineRule="exact"/>
              <w:rPr>
                <w:rFonts w:ascii="Calibri" w:cs="Calibri" w:eastAsia="Calibri" w:hAnsi="Calibri"/>
                <w:sz w:val="18"/>
                <w:szCs w:val="18"/>
                <w:color w:val="7A04DD"/>
              </w:rPr>
            </w:pPr>
            <w:hyperlink r:id="rId491">
              <w:r>
                <w:rPr>
                  <w:rFonts w:ascii="Calibri" w:cs="Calibri" w:eastAsia="Calibri" w:hAnsi="Calibri"/>
                  <w:sz w:val="18"/>
                  <w:szCs w:val="18"/>
                  <w:color w:val="7A04DD"/>
                </w:rPr>
                <w:t>Holdings, LLC, and VFF I AIV I, L.P., as Sellers’ Representatve</w:t>
              </w:r>
            </w:hyperlink>
          </w:p>
        </w:tc>
        <w:tc>
          <w:tcPr>
            <w:tcW w:w="400" w:type="dxa"/>
            <w:vAlign w:val="bottom"/>
            <w:gridSpan w:val="6"/>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 w:type="dxa"/>
            <w:vAlign w:val="bottom"/>
          </w:tcPr>
          <w:p>
            <w:pPr>
              <w:spacing w:after="0"/>
              <w:rPr>
                <w:sz w:val="5"/>
                <w:szCs w:val="5"/>
                <w:color w:val="auto"/>
              </w:rPr>
            </w:pPr>
          </w:p>
        </w:tc>
        <w:tc>
          <w:tcPr>
            <w:tcW w:w="650" w:type="dxa"/>
            <w:vAlign w:val="bottom"/>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640" w:type="dxa"/>
            <w:vAlign w:val="bottom"/>
            <w:tcBorders>
              <w:top w:val="single" w:sz="8" w:color="7A04DD"/>
            </w:tcBorders>
          </w:tcPr>
          <w:p>
            <w:pPr>
              <w:spacing w:after="0"/>
              <w:rPr>
                <w:sz w:val="5"/>
                <w:szCs w:val="5"/>
                <w:color w:val="auto"/>
              </w:rPr>
            </w:pPr>
          </w:p>
        </w:tc>
        <w:tc>
          <w:tcPr>
            <w:tcW w:w="18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660" w:type="dxa"/>
            <w:vAlign w:val="bottom"/>
            <w:tcBorders>
              <w:top w:val="single" w:sz="8" w:color="7A04DD"/>
            </w:tcBorders>
          </w:tcPr>
          <w:p>
            <w:pPr>
              <w:spacing w:after="0"/>
              <w:rPr>
                <w:sz w:val="5"/>
                <w:szCs w:val="5"/>
                <w:color w:val="auto"/>
              </w:rPr>
            </w:pPr>
          </w:p>
        </w:tc>
        <w:tc>
          <w:tcPr>
            <w:tcW w:w="180" w:type="dxa"/>
            <w:vAlign w:val="bottom"/>
            <w:tcBorders>
              <w:top w:val="single" w:sz="8" w:color="7A04DD"/>
            </w:tcBorders>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1540" w:type="dxa"/>
            <w:vAlign w:val="bottom"/>
            <w:tcBorders>
              <w:top w:val="single" w:sz="8" w:color="7A04DD"/>
            </w:tcBorders>
          </w:tcPr>
          <w:p>
            <w:pPr>
              <w:spacing w:after="0"/>
              <w:rPr>
                <w:sz w:val="5"/>
                <w:szCs w:val="5"/>
                <w:color w:val="auto"/>
              </w:rPr>
            </w:pPr>
          </w:p>
        </w:tc>
        <w:tc>
          <w:tcPr>
            <w:tcW w:w="6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80" w:type="dxa"/>
            <w:vAlign w:val="bottom"/>
            <w:tcBorders>
              <w:top w:val="single" w:sz="8" w:color="7A04DD"/>
            </w:tcBorders>
          </w:tcPr>
          <w:p>
            <w:pPr>
              <w:spacing w:after="0"/>
              <w:rPr>
                <w:sz w:val="5"/>
                <w:szCs w:val="5"/>
                <w:color w:val="auto"/>
              </w:rPr>
            </w:pPr>
          </w:p>
        </w:tc>
        <w:tc>
          <w:tcPr>
            <w:tcW w:w="40" w:type="dxa"/>
            <w:vAlign w:val="bottom"/>
            <w:tcBorders>
              <w:top w:val="single" w:sz="8" w:color="7A04DD"/>
            </w:tcBorders>
          </w:tcPr>
          <w:p>
            <w:pPr>
              <w:spacing w:after="0"/>
              <w:rPr>
                <w:sz w:val="5"/>
                <w:szCs w:val="5"/>
                <w:color w:val="auto"/>
              </w:rPr>
            </w:pPr>
          </w:p>
        </w:tc>
        <w:tc>
          <w:tcPr>
            <w:tcW w:w="100" w:type="dxa"/>
            <w:vAlign w:val="bottom"/>
            <w:tcBorders>
              <w:top w:val="single" w:sz="8" w:color="7A04DD"/>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EBFBFF"/>
          </w:tcPr>
          <w:p>
            <w:pPr>
              <w:spacing w:after="0"/>
              <w:rPr>
                <w:sz w:val="16"/>
                <w:szCs w:val="16"/>
                <w:color w:val="auto"/>
              </w:rPr>
            </w:pPr>
          </w:p>
        </w:tc>
        <w:tc>
          <w:tcPr>
            <w:tcW w:w="250" w:type="dxa"/>
            <w:vAlign w:val="bottom"/>
            <w:gridSpan w:val="2"/>
            <w:shd w:val="clear" w:color="auto" w:fill="EBFBFF"/>
          </w:tcPr>
          <w:p>
            <w:pPr>
              <w:jc w:val="right"/>
              <w:ind w:right="10"/>
              <w:spacing w:after="0" w:line="189" w:lineRule="exact"/>
              <w:rPr>
                <w:rFonts w:ascii="Calibri" w:cs="Calibri" w:eastAsia="Calibri" w:hAnsi="Calibri"/>
                <w:sz w:val="18"/>
                <w:szCs w:val="18"/>
                <w:color w:val="7A04DD"/>
                <w:w w:val="96"/>
              </w:rPr>
            </w:pPr>
            <w:hyperlink r:id="rId492">
              <w:r>
                <w:rPr>
                  <w:rFonts w:ascii="Calibri" w:cs="Calibri" w:eastAsia="Calibri" w:hAnsi="Calibri"/>
                  <w:sz w:val="18"/>
                  <w:szCs w:val="18"/>
                  <w:color w:val="7A04DD"/>
                  <w:w w:val="96"/>
                </w:rPr>
                <w:t>2.</w:t>
              </w:r>
              <w:r>
                <w:rPr>
                  <w:rFonts w:ascii="Calibri" w:cs="Calibri" w:eastAsia="Calibri" w:hAnsi="Calibri"/>
                  <w:sz w:val="18"/>
                  <w:szCs w:val="18"/>
                  <w:u w:val="single" w:color="auto"/>
                  <w:color w:val="7A04DD"/>
                  <w:w w:val="96"/>
                </w:rPr>
                <w:t>3</w:t>
              </w:r>
            </w:hyperlink>
          </w:p>
        </w:tc>
        <w:tc>
          <w:tcPr>
            <w:tcW w:w="650" w:type="dxa"/>
            <w:vAlign w:val="bottom"/>
            <w:shd w:val="clear" w:color="auto" w:fill="EBFBFF"/>
          </w:tcPr>
          <w:p>
            <w:pPr>
              <w:spacing w:after="0"/>
              <w:rPr>
                <w:sz w:val="16"/>
                <w:szCs w:val="16"/>
                <w:color w:val="auto"/>
              </w:rPr>
            </w:pPr>
          </w:p>
        </w:tc>
        <w:tc>
          <w:tcPr>
            <w:tcW w:w="4800" w:type="dxa"/>
            <w:vAlign w:val="bottom"/>
            <w:gridSpan w:val="22"/>
            <w:shd w:val="clear" w:color="auto" w:fill="EBFBFF"/>
          </w:tcPr>
          <w:p>
            <w:pPr>
              <w:spacing w:after="0" w:line="189" w:lineRule="exact"/>
              <w:rPr>
                <w:rFonts w:ascii="Calibri" w:cs="Calibri" w:eastAsia="Calibri" w:hAnsi="Calibri"/>
                <w:sz w:val="18"/>
                <w:szCs w:val="18"/>
                <w:color w:val="7A04DD"/>
              </w:rPr>
            </w:pPr>
            <w:hyperlink r:id="rId492">
              <w:r>
                <w:rPr>
                  <w:rFonts w:ascii="Calibri" w:cs="Calibri" w:eastAsia="Calibri" w:hAnsi="Calibri"/>
                  <w:sz w:val="18"/>
                  <w:szCs w:val="18"/>
                  <w:color w:val="7A04DD"/>
                </w:rPr>
                <w:t>Unit Purchase Agreement, dated as of August 10, 2015, by and</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10/8/2015</w:t>
            </w:r>
          </w:p>
        </w:tc>
        <w:tc>
          <w:tcPr>
            <w:tcW w:w="1113" w:type="dxa"/>
            <w:vAlign w:val="bottom"/>
            <w:shd w:val="clear" w:color="auto" w:fill="EBFBFF"/>
          </w:tcPr>
          <w:p>
            <w:pPr>
              <w:jc w:val="right"/>
              <w:ind w:right="6"/>
              <w:spacing w:after="0" w:line="189" w:lineRule="exact"/>
              <w:rPr>
                <w:sz w:val="20"/>
                <w:szCs w:val="20"/>
                <w:color w:val="auto"/>
              </w:rPr>
            </w:pPr>
            <w:r>
              <w:rPr>
                <w:rFonts w:ascii="Calibri" w:cs="Calibri" w:eastAsia="Calibri" w:hAnsi="Calibri"/>
                <w:sz w:val="18"/>
                <w:szCs w:val="18"/>
                <w:color w:val="51555C"/>
              </w:rPr>
              <w:t>10.78</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30" w:type="dxa"/>
            <w:vAlign w:val="bottom"/>
            <w:tcBorders>
              <w:top w:val="single" w:sz="8" w:color="EBFBFF"/>
            </w:tcBorders>
            <w:shd w:val="clear" w:color="auto" w:fill="EBFBFF"/>
          </w:tcPr>
          <w:p>
            <w:pPr>
              <w:spacing w:after="0"/>
              <w:rPr>
                <w:sz w:val="17"/>
                <w:szCs w:val="17"/>
                <w:color w:val="auto"/>
              </w:rPr>
            </w:pPr>
          </w:p>
        </w:tc>
        <w:tc>
          <w:tcPr>
            <w:tcW w:w="650" w:type="dxa"/>
            <w:vAlign w:val="bottom"/>
            <w:tcBorders>
              <w:top w:val="single" w:sz="8" w:color="EBFBFF"/>
            </w:tcBorders>
            <w:shd w:val="clear" w:color="auto" w:fill="EBFBFF"/>
          </w:tcPr>
          <w:p>
            <w:pPr>
              <w:spacing w:after="0"/>
              <w:rPr>
                <w:sz w:val="17"/>
                <w:szCs w:val="17"/>
                <w:color w:val="auto"/>
              </w:rPr>
            </w:pPr>
          </w:p>
        </w:tc>
        <w:tc>
          <w:tcPr>
            <w:tcW w:w="4460" w:type="dxa"/>
            <w:vAlign w:val="bottom"/>
            <w:tcBorders>
              <w:top w:val="single" w:sz="8" w:color="7A04DD"/>
            </w:tcBorders>
            <w:gridSpan w:val="18"/>
            <w:shd w:val="clear" w:color="auto" w:fill="EBFBFF"/>
          </w:tcPr>
          <w:p>
            <w:pPr>
              <w:spacing w:after="0" w:line="196" w:lineRule="exact"/>
              <w:rPr>
                <w:rFonts w:ascii="Calibri" w:cs="Calibri" w:eastAsia="Calibri" w:hAnsi="Calibri"/>
                <w:sz w:val="18"/>
                <w:szCs w:val="18"/>
                <w:color w:val="7A04DD"/>
              </w:rPr>
            </w:pPr>
            <w:hyperlink r:id="rId492">
              <w:r>
                <w:rPr>
                  <w:rFonts w:ascii="Calibri" w:cs="Calibri" w:eastAsia="Calibri" w:hAnsi="Calibri"/>
                  <w:sz w:val="18"/>
                  <w:szCs w:val="18"/>
                  <w:color w:val="7A04DD"/>
                </w:rPr>
                <w:t>between Smart Tuiton Holdings, LLC and Blackbaud, Inc.</w:t>
              </w:r>
            </w:hyperlink>
          </w:p>
        </w:tc>
        <w:tc>
          <w:tcPr>
            <w:tcW w:w="340" w:type="dxa"/>
            <w:vAlign w:val="bottom"/>
            <w:tcBorders>
              <w:top w:val="single" w:sz="8" w:color="EBFBFF"/>
            </w:tcBorders>
            <w:gridSpan w:val="4"/>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2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65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6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66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154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250" w:type="dxa"/>
            <w:vAlign w:val="bottom"/>
            <w:gridSpan w:val="2"/>
          </w:tcPr>
          <w:p>
            <w:pPr>
              <w:jc w:val="right"/>
              <w:ind w:right="10"/>
              <w:spacing w:after="0" w:line="189" w:lineRule="exact"/>
              <w:rPr>
                <w:rFonts w:ascii="Calibri" w:cs="Calibri" w:eastAsia="Calibri" w:hAnsi="Calibri"/>
                <w:sz w:val="18"/>
                <w:szCs w:val="18"/>
                <w:color w:val="7A04DD"/>
                <w:w w:val="96"/>
              </w:rPr>
            </w:pPr>
            <w:hyperlink r:id="rId493">
              <w:r>
                <w:rPr>
                  <w:rFonts w:ascii="Calibri" w:cs="Calibri" w:eastAsia="Calibri" w:hAnsi="Calibri"/>
                  <w:sz w:val="18"/>
                  <w:szCs w:val="18"/>
                  <w:color w:val="7A04DD"/>
                  <w:w w:val="96"/>
                </w:rPr>
                <w:t>2.</w:t>
              </w:r>
              <w:r>
                <w:rPr>
                  <w:rFonts w:ascii="Calibri" w:cs="Calibri" w:eastAsia="Calibri" w:hAnsi="Calibri"/>
                  <w:sz w:val="18"/>
                  <w:szCs w:val="18"/>
                  <w:u w:val="single" w:color="auto"/>
                  <w:color w:val="7A04DD"/>
                  <w:w w:val="96"/>
                </w:rPr>
                <w:t>4</w:t>
              </w:r>
            </w:hyperlink>
          </w:p>
        </w:tc>
        <w:tc>
          <w:tcPr>
            <w:tcW w:w="650" w:type="dxa"/>
            <w:vAlign w:val="bottom"/>
          </w:tcPr>
          <w:p>
            <w:pPr>
              <w:spacing w:after="0"/>
              <w:rPr>
                <w:sz w:val="16"/>
                <w:szCs w:val="16"/>
                <w:color w:val="auto"/>
              </w:rPr>
            </w:pPr>
          </w:p>
        </w:tc>
        <w:tc>
          <w:tcPr>
            <w:tcW w:w="4800" w:type="dxa"/>
            <w:vAlign w:val="bottom"/>
            <w:gridSpan w:val="22"/>
          </w:tcPr>
          <w:p>
            <w:pPr>
              <w:spacing w:after="0" w:line="189" w:lineRule="exact"/>
              <w:rPr>
                <w:rFonts w:ascii="Calibri" w:cs="Calibri" w:eastAsia="Calibri" w:hAnsi="Calibri"/>
                <w:sz w:val="18"/>
                <w:szCs w:val="18"/>
                <w:color w:val="7A04DD"/>
              </w:rPr>
            </w:pPr>
            <w:hyperlink r:id="rId493">
              <w:r>
                <w:rPr>
                  <w:rFonts w:ascii="Calibri" w:cs="Calibri" w:eastAsia="Calibri" w:hAnsi="Calibri"/>
                  <w:sz w:val="18"/>
                  <w:szCs w:val="18"/>
                  <w:color w:val="7A04DD"/>
                </w:rPr>
                <w:t>Amendment, Consent and Waiver, Agreement dated as of</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10/8/2015</w:t>
            </w:r>
          </w:p>
        </w:tc>
        <w:tc>
          <w:tcPr>
            <w:tcW w:w="1113" w:type="dxa"/>
            <w:vAlign w:val="bottom"/>
          </w:tcPr>
          <w:p>
            <w:pPr>
              <w:jc w:val="right"/>
              <w:ind w:right="6"/>
              <w:spacing w:after="0" w:line="189" w:lineRule="exact"/>
              <w:rPr>
                <w:sz w:val="20"/>
                <w:szCs w:val="20"/>
                <w:color w:val="auto"/>
              </w:rPr>
            </w:pPr>
            <w:r>
              <w:rPr>
                <w:rFonts w:ascii="Calibri" w:cs="Calibri" w:eastAsia="Calibri" w:hAnsi="Calibri"/>
                <w:sz w:val="18"/>
                <w:szCs w:val="18"/>
                <w:color w:val="51555C"/>
              </w:rPr>
              <w:t>10.79</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650" w:type="dxa"/>
            <w:vAlign w:val="bottom"/>
          </w:tcPr>
          <w:p>
            <w:pPr>
              <w:spacing w:after="0" w:line="20" w:lineRule="exact"/>
              <w:rPr>
                <w:sz w:val="1"/>
                <w:szCs w:val="1"/>
                <w:color w:val="auto"/>
              </w:rPr>
            </w:pPr>
          </w:p>
        </w:tc>
        <w:tc>
          <w:tcPr>
            <w:tcW w:w="260" w:type="dxa"/>
            <w:vAlign w:val="bottom"/>
            <w:shd w:val="clear" w:color="auto" w:fill="7A04DD"/>
          </w:tcPr>
          <w:p>
            <w:pPr>
              <w:spacing w:after="0" w:line="20" w:lineRule="exact"/>
              <w:rPr>
                <w:sz w:val="1"/>
                <w:szCs w:val="1"/>
                <w:color w:val="auto"/>
              </w:rPr>
            </w:pPr>
          </w:p>
        </w:tc>
        <w:tc>
          <w:tcPr>
            <w:tcW w:w="820" w:type="dxa"/>
            <w:vAlign w:val="bottom"/>
            <w:gridSpan w:val="2"/>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660" w:type="dxa"/>
            <w:vAlign w:val="bottom"/>
            <w:shd w:val="clear" w:color="auto" w:fill="7A04DD"/>
          </w:tcPr>
          <w:p>
            <w:pPr>
              <w:spacing w:after="0" w:line="20" w:lineRule="exact"/>
              <w:rPr>
                <w:sz w:val="1"/>
                <w:szCs w:val="1"/>
                <w:color w:val="auto"/>
              </w:rPr>
            </w:pPr>
          </w:p>
        </w:tc>
        <w:tc>
          <w:tcPr>
            <w:tcW w:w="180" w:type="dxa"/>
            <w:vAlign w:val="bottom"/>
            <w:shd w:val="clear" w:color="auto" w:fill="7A04DD"/>
          </w:tcPr>
          <w:p>
            <w:pPr>
              <w:spacing w:after="0" w:line="20" w:lineRule="exact"/>
              <w:rPr>
                <w:sz w:val="1"/>
                <w:szCs w:val="1"/>
                <w:color w:val="auto"/>
              </w:rPr>
            </w:pPr>
          </w:p>
        </w:tc>
        <w:tc>
          <w:tcPr>
            <w:tcW w:w="260" w:type="dxa"/>
            <w:vAlign w:val="bottom"/>
            <w:shd w:val="clear" w:color="auto" w:fill="7A04DD"/>
          </w:tcPr>
          <w:p>
            <w:pPr>
              <w:spacing w:after="0" w:line="20" w:lineRule="exact"/>
              <w:rPr>
                <w:sz w:val="1"/>
                <w:szCs w:val="1"/>
                <w:color w:val="auto"/>
              </w:rPr>
            </w:pPr>
          </w:p>
        </w:tc>
        <w:tc>
          <w:tcPr>
            <w:tcW w:w="1540" w:type="dxa"/>
            <w:vAlign w:val="bottom"/>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100" w:type="dxa"/>
            <w:vAlign w:val="bottom"/>
            <w:tcBorders>
              <w:right w:val="single" w:sz="8" w:color="7A04DD"/>
            </w:tcBorders>
            <w:gridSpan w:val="2"/>
            <w:shd w:val="clear" w:color="auto" w:fill="7A04DD"/>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800" w:type="dxa"/>
            <w:vAlign w:val="bottom"/>
            <w:gridSpan w:val="22"/>
          </w:tcPr>
          <w:p>
            <w:pPr>
              <w:spacing w:after="0" w:line="196" w:lineRule="exact"/>
              <w:rPr>
                <w:rFonts w:ascii="Calibri" w:cs="Calibri" w:eastAsia="Calibri" w:hAnsi="Calibri"/>
                <w:sz w:val="18"/>
                <w:szCs w:val="18"/>
                <w:color w:val="7A04DD"/>
              </w:rPr>
            </w:pPr>
            <w:hyperlink r:id="rId493">
              <w:r>
                <w:rPr>
                  <w:rFonts w:ascii="Calibri" w:cs="Calibri" w:eastAsia="Calibri" w:hAnsi="Calibri"/>
                  <w:sz w:val="18"/>
                  <w:szCs w:val="18"/>
                  <w:color w:val="7A04DD"/>
                </w:rPr>
                <w:t>October 2, 2015, by and between Smart Tuiton Holdings, LLC and</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660" w:type="dxa"/>
            <w:vAlign w:val="bottom"/>
            <w:tcBorders>
              <w:top w:val="single" w:sz="8" w:color="7A04DD"/>
            </w:tcBorders>
            <w:gridSpan w:val="21"/>
          </w:tcPr>
          <w:p>
            <w:pPr>
              <w:spacing w:after="0" w:line="196" w:lineRule="exact"/>
              <w:rPr>
                <w:rFonts w:ascii="Calibri" w:cs="Calibri" w:eastAsia="Calibri" w:hAnsi="Calibri"/>
                <w:sz w:val="18"/>
                <w:szCs w:val="18"/>
                <w:color w:val="7A04DD"/>
              </w:rPr>
            </w:pPr>
            <w:hyperlink r:id="rId493">
              <w:r>
                <w:rPr>
                  <w:rFonts w:ascii="Calibri" w:cs="Calibri" w:eastAsia="Calibri" w:hAnsi="Calibri"/>
                  <w:sz w:val="18"/>
                  <w:szCs w:val="18"/>
                  <w:color w:val="7A04DD"/>
                </w:rPr>
                <w:t>Blackbaud, Inc.</w:t>
              </w:r>
            </w:hyperlink>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 w:type="dxa"/>
            <w:vAlign w:val="bottom"/>
          </w:tcPr>
          <w:p>
            <w:pPr>
              <w:spacing w:after="0"/>
              <w:rPr>
                <w:sz w:val="5"/>
                <w:szCs w:val="5"/>
                <w:color w:val="auto"/>
              </w:rPr>
            </w:pPr>
          </w:p>
        </w:tc>
        <w:tc>
          <w:tcPr>
            <w:tcW w:w="650" w:type="dxa"/>
            <w:vAlign w:val="bottom"/>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640" w:type="dxa"/>
            <w:vAlign w:val="bottom"/>
            <w:tcBorders>
              <w:top w:val="single" w:sz="8" w:color="7A04DD"/>
            </w:tcBorders>
          </w:tcPr>
          <w:p>
            <w:pPr>
              <w:spacing w:after="0"/>
              <w:rPr>
                <w:sz w:val="5"/>
                <w:szCs w:val="5"/>
                <w:color w:val="auto"/>
              </w:rPr>
            </w:pPr>
          </w:p>
        </w:tc>
        <w:tc>
          <w:tcPr>
            <w:tcW w:w="180" w:type="dxa"/>
            <w:vAlign w:val="bottom"/>
            <w:tcBorders>
              <w:top w:val="single" w:sz="8" w:color="7A04DD"/>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EBFBFF"/>
          </w:tcPr>
          <w:p>
            <w:pPr>
              <w:spacing w:after="0"/>
              <w:rPr>
                <w:sz w:val="16"/>
                <w:szCs w:val="16"/>
                <w:color w:val="auto"/>
              </w:rPr>
            </w:pPr>
          </w:p>
        </w:tc>
        <w:tc>
          <w:tcPr>
            <w:tcW w:w="250" w:type="dxa"/>
            <w:vAlign w:val="bottom"/>
            <w:gridSpan w:val="2"/>
            <w:shd w:val="clear" w:color="auto" w:fill="EBFBFF"/>
          </w:tcPr>
          <w:p>
            <w:pPr>
              <w:jc w:val="right"/>
              <w:ind w:right="10"/>
              <w:spacing w:after="0" w:line="189" w:lineRule="exact"/>
              <w:rPr>
                <w:rFonts w:ascii="Calibri" w:cs="Calibri" w:eastAsia="Calibri" w:hAnsi="Calibri"/>
                <w:sz w:val="18"/>
                <w:szCs w:val="18"/>
                <w:color w:val="7A04DD"/>
                <w:w w:val="96"/>
              </w:rPr>
            </w:pPr>
            <w:hyperlink r:id="rId494">
              <w:r>
                <w:rPr>
                  <w:rFonts w:ascii="Calibri" w:cs="Calibri" w:eastAsia="Calibri" w:hAnsi="Calibri"/>
                  <w:sz w:val="18"/>
                  <w:szCs w:val="18"/>
                  <w:color w:val="7A04DD"/>
                  <w:w w:val="96"/>
                </w:rPr>
                <w:t>2.</w:t>
              </w:r>
              <w:r>
                <w:rPr>
                  <w:rFonts w:ascii="Calibri" w:cs="Calibri" w:eastAsia="Calibri" w:hAnsi="Calibri"/>
                  <w:sz w:val="18"/>
                  <w:szCs w:val="18"/>
                  <w:u w:val="single" w:color="auto"/>
                  <w:color w:val="7A04DD"/>
                  <w:w w:val="96"/>
                </w:rPr>
                <w:t>5</w:t>
              </w:r>
            </w:hyperlink>
          </w:p>
        </w:tc>
        <w:tc>
          <w:tcPr>
            <w:tcW w:w="650" w:type="dxa"/>
            <w:vAlign w:val="bottom"/>
            <w:shd w:val="clear" w:color="auto" w:fill="EBFBFF"/>
          </w:tcPr>
          <w:p>
            <w:pPr>
              <w:spacing w:after="0"/>
              <w:rPr>
                <w:sz w:val="16"/>
                <w:szCs w:val="16"/>
                <w:color w:val="auto"/>
              </w:rPr>
            </w:pPr>
          </w:p>
        </w:tc>
        <w:tc>
          <w:tcPr>
            <w:tcW w:w="4800" w:type="dxa"/>
            <w:vAlign w:val="bottom"/>
            <w:gridSpan w:val="22"/>
            <w:shd w:val="clear" w:color="auto" w:fill="EBFBFF"/>
          </w:tcPr>
          <w:p>
            <w:pPr>
              <w:spacing w:after="0" w:line="189" w:lineRule="exact"/>
              <w:rPr>
                <w:rFonts w:ascii="Calibri" w:cs="Calibri" w:eastAsia="Calibri" w:hAnsi="Calibri"/>
                <w:sz w:val="18"/>
                <w:szCs w:val="18"/>
                <w:color w:val="7A04DD"/>
              </w:rPr>
            </w:pPr>
            <w:hyperlink r:id="rId494">
              <w:r>
                <w:rPr>
                  <w:rFonts w:ascii="Calibri" w:cs="Calibri" w:eastAsia="Calibri" w:hAnsi="Calibri"/>
                  <w:sz w:val="18"/>
                  <w:szCs w:val="18"/>
                  <w:color w:val="7A04DD"/>
                </w:rPr>
                <w:t>Agreement and Plan of Merger, dated as of December 30, 2021,</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1/3/2022</w:t>
            </w:r>
          </w:p>
        </w:tc>
        <w:tc>
          <w:tcPr>
            <w:tcW w:w="1113" w:type="dxa"/>
            <w:vAlign w:val="bottom"/>
            <w:shd w:val="clear" w:color="auto" w:fill="EBFBFF"/>
          </w:tcPr>
          <w:p>
            <w:pPr>
              <w:jc w:val="right"/>
              <w:ind w:right="6"/>
              <w:spacing w:after="0" w:line="189" w:lineRule="exact"/>
              <w:rPr>
                <w:sz w:val="20"/>
                <w:szCs w:val="20"/>
                <w:color w:val="auto"/>
              </w:rPr>
            </w:pPr>
            <w:r>
              <w:rPr>
                <w:rFonts w:ascii="Calibri" w:cs="Calibri" w:eastAsia="Calibri" w:hAnsi="Calibri"/>
                <w:sz w:val="18"/>
                <w:szCs w:val="18"/>
                <w:color w:val="51555C"/>
              </w:rPr>
              <w:t>2.1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EBFBFF"/>
              <w:bottom w:val="single" w:sz="8" w:color="EBFBFF"/>
            </w:tcBorders>
            <w:shd w:val="clear" w:color="auto" w:fill="EBFBFF"/>
          </w:tcPr>
          <w:p>
            <w:pPr>
              <w:spacing w:after="0"/>
              <w:rPr>
                <w:sz w:val="17"/>
                <w:szCs w:val="17"/>
                <w:color w:val="auto"/>
              </w:rPr>
            </w:pPr>
          </w:p>
        </w:tc>
        <w:tc>
          <w:tcPr>
            <w:tcW w:w="220" w:type="dxa"/>
            <w:vAlign w:val="bottom"/>
            <w:tcBorders>
              <w:top w:val="single" w:sz="8" w:color="7A04DD"/>
              <w:bottom w:val="single" w:sz="8" w:color="EBFBFF"/>
            </w:tcBorders>
            <w:shd w:val="clear" w:color="auto" w:fill="EBFBFF"/>
          </w:tcPr>
          <w:p>
            <w:pPr>
              <w:spacing w:after="0"/>
              <w:rPr>
                <w:sz w:val="17"/>
                <w:szCs w:val="17"/>
                <w:color w:val="auto"/>
              </w:rPr>
            </w:pPr>
          </w:p>
        </w:tc>
        <w:tc>
          <w:tcPr>
            <w:tcW w:w="30" w:type="dxa"/>
            <w:vAlign w:val="bottom"/>
            <w:tcBorders>
              <w:top w:val="single" w:sz="8" w:color="EBFBFF"/>
              <w:bottom w:val="single" w:sz="8" w:color="EBFBFF"/>
            </w:tcBorders>
            <w:shd w:val="clear" w:color="auto" w:fill="EBFBFF"/>
          </w:tcPr>
          <w:p>
            <w:pPr>
              <w:spacing w:after="0"/>
              <w:rPr>
                <w:sz w:val="17"/>
                <w:szCs w:val="17"/>
                <w:color w:val="auto"/>
              </w:rPr>
            </w:pPr>
          </w:p>
        </w:tc>
        <w:tc>
          <w:tcPr>
            <w:tcW w:w="650" w:type="dxa"/>
            <w:vAlign w:val="bottom"/>
            <w:tcBorders>
              <w:top w:val="single" w:sz="8" w:color="EBFBFF"/>
              <w:bottom w:val="single" w:sz="8" w:color="EBFBFF"/>
            </w:tcBorders>
            <w:shd w:val="clear" w:color="auto" w:fill="EBFBFF"/>
          </w:tcPr>
          <w:p>
            <w:pPr>
              <w:spacing w:after="0"/>
              <w:rPr>
                <w:sz w:val="17"/>
                <w:szCs w:val="17"/>
                <w:color w:val="auto"/>
              </w:rPr>
            </w:pPr>
          </w:p>
        </w:tc>
        <w:tc>
          <w:tcPr>
            <w:tcW w:w="4440" w:type="dxa"/>
            <w:vAlign w:val="bottom"/>
            <w:tcBorders>
              <w:top w:val="single" w:sz="8" w:color="7A04DD"/>
              <w:bottom w:val="single" w:sz="8" w:color="7A04DD"/>
            </w:tcBorders>
            <w:gridSpan w:val="17"/>
            <w:shd w:val="clear" w:color="auto" w:fill="EBFBFF"/>
          </w:tcPr>
          <w:p>
            <w:pPr>
              <w:spacing w:after="0" w:line="196" w:lineRule="exact"/>
              <w:rPr>
                <w:rFonts w:ascii="Calibri" w:cs="Calibri" w:eastAsia="Calibri" w:hAnsi="Calibri"/>
                <w:sz w:val="18"/>
                <w:szCs w:val="18"/>
                <w:color w:val="7A04DD"/>
                <w:w w:val="97"/>
              </w:rPr>
            </w:pPr>
            <w:hyperlink r:id="rId494">
              <w:r>
                <w:rPr>
                  <w:rFonts w:ascii="Calibri" w:cs="Calibri" w:eastAsia="Calibri" w:hAnsi="Calibri"/>
                  <w:sz w:val="18"/>
                  <w:szCs w:val="18"/>
                  <w:color w:val="7A04DD"/>
                  <w:w w:val="97"/>
                </w:rPr>
                <w:t>by and among Blackbaud, Inc., Project Montessori Acquisiton,</w:t>
              </w:r>
            </w:hyperlink>
          </w:p>
        </w:tc>
        <w:tc>
          <w:tcPr>
            <w:tcW w:w="100" w:type="dxa"/>
            <w:vAlign w:val="bottom"/>
            <w:tcBorders>
              <w:top w:val="single" w:sz="8" w:color="7A04DD"/>
              <w:bottom w:val="single" w:sz="8" w:color="EBFBFF"/>
            </w:tcBorders>
            <w:gridSpan w:val="2"/>
            <w:shd w:val="clear" w:color="auto" w:fill="EBFBFF"/>
          </w:tcPr>
          <w:p>
            <w:pPr>
              <w:spacing w:after="0"/>
              <w:rPr>
                <w:sz w:val="17"/>
                <w:szCs w:val="17"/>
                <w:color w:val="auto"/>
              </w:rPr>
            </w:pPr>
          </w:p>
        </w:tc>
        <w:tc>
          <w:tcPr>
            <w:tcW w:w="260" w:type="dxa"/>
            <w:vAlign w:val="bottom"/>
            <w:tcBorders>
              <w:top w:val="single" w:sz="8" w:color="EBFBFF"/>
              <w:bottom w:val="single" w:sz="8" w:color="EBFBFF"/>
            </w:tcBorders>
            <w:gridSpan w:val="3"/>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580" w:type="dxa"/>
            <w:vAlign w:val="bottom"/>
            <w:tcBorders>
              <w:top w:val="single" w:sz="8" w:color="EBFBFF"/>
              <w:bottom w:val="single" w:sz="8" w:color="EBFBFF"/>
            </w:tcBorders>
            <w:shd w:val="clear" w:color="auto" w:fill="EBFBFF"/>
          </w:tcPr>
          <w:p>
            <w:pPr>
              <w:spacing w:after="0"/>
              <w:rPr>
                <w:sz w:val="17"/>
                <w:szCs w:val="17"/>
                <w:color w:val="auto"/>
              </w:rPr>
            </w:pPr>
          </w:p>
        </w:tc>
        <w:tc>
          <w:tcPr>
            <w:tcW w:w="1113" w:type="dxa"/>
            <w:vAlign w:val="bottom"/>
            <w:tcBorders>
              <w:top w:val="single" w:sz="8" w:color="EBFBFF"/>
              <w:bottom w:val="single" w:sz="8" w:color="EBFBFF"/>
            </w:tcBorders>
            <w:shd w:val="clear" w:color="auto" w:fill="EBFBFF"/>
          </w:tcPr>
          <w:p>
            <w:pPr>
              <w:spacing w:after="0"/>
              <w:rPr>
                <w:sz w:val="17"/>
                <w:szCs w:val="17"/>
                <w:color w:val="auto"/>
              </w:rPr>
            </w:pPr>
          </w:p>
        </w:tc>
        <w:tc>
          <w:tcPr>
            <w:tcW w:w="928"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shd w:val="clear" w:color="auto" w:fill="EBFBFF"/>
          </w:tcPr>
          <w:p>
            <w:pPr>
              <w:spacing w:after="0"/>
              <w:rPr>
                <w:sz w:val="17"/>
                <w:szCs w:val="17"/>
                <w:color w:val="auto"/>
              </w:rPr>
            </w:pPr>
          </w:p>
        </w:tc>
        <w:tc>
          <w:tcPr>
            <w:tcW w:w="220" w:type="dxa"/>
            <w:vAlign w:val="bottom"/>
            <w:shd w:val="clear" w:color="auto" w:fill="EBFBFF"/>
          </w:tcPr>
          <w:p>
            <w:pPr>
              <w:spacing w:after="0"/>
              <w:rPr>
                <w:sz w:val="17"/>
                <w:szCs w:val="17"/>
                <w:color w:val="auto"/>
              </w:rPr>
            </w:pPr>
          </w:p>
        </w:tc>
        <w:tc>
          <w:tcPr>
            <w:tcW w:w="30" w:type="dxa"/>
            <w:vAlign w:val="bottom"/>
            <w:shd w:val="clear" w:color="auto" w:fill="EBFBFF"/>
          </w:tcPr>
          <w:p>
            <w:pPr>
              <w:spacing w:after="0"/>
              <w:rPr>
                <w:sz w:val="17"/>
                <w:szCs w:val="17"/>
                <w:color w:val="auto"/>
              </w:rPr>
            </w:pPr>
          </w:p>
        </w:tc>
        <w:tc>
          <w:tcPr>
            <w:tcW w:w="650" w:type="dxa"/>
            <w:vAlign w:val="bottom"/>
            <w:shd w:val="clear" w:color="auto" w:fill="EBFBFF"/>
          </w:tcPr>
          <w:p>
            <w:pPr>
              <w:spacing w:after="0"/>
              <w:rPr>
                <w:sz w:val="17"/>
                <w:szCs w:val="17"/>
                <w:color w:val="auto"/>
              </w:rPr>
            </w:pPr>
          </w:p>
        </w:tc>
        <w:tc>
          <w:tcPr>
            <w:tcW w:w="4800" w:type="dxa"/>
            <w:vAlign w:val="bottom"/>
            <w:gridSpan w:val="22"/>
            <w:shd w:val="clear" w:color="auto" w:fill="EBFBFF"/>
          </w:tcPr>
          <w:p>
            <w:pPr>
              <w:spacing w:after="0" w:line="196" w:lineRule="exact"/>
              <w:rPr>
                <w:rFonts w:ascii="Calibri" w:cs="Calibri" w:eastAsia="Calibri" w:hAnsi="Calibri"/>
                <w:sz w:val="18"/>
                <w:szCs w:val="18"/>
                <w:color w:val="7A04DD"/>
              </w:rPr>
            </w:pPr>
            <w:hyperlink r:id="rId494">
              <w:r>
                <w:rPr>
                  <w:rFonts w:ascii="Calibri" w:cs="Calibri" w:eastAsia="Calibri" w:hAnsi="Calibri"/>
                  <w:sz w:val="18"/>
                  <w:szCs w:val="18"/>
                  <w:color w:val="7A04DD"/>
                </w:rPr>
                <w:t>Inc., EverFi, Inc. and Eon Stockholder Representatve, LLC</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2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65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6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66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154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250" w:type="dxa"/>
            <w:vAlign w:val="bottom"/>
            <w:gridSpan w:val="2"/>
          </w:tcPr>
          <w:p>
            <w:pPr>
              <w:jc w:val="right"/>
              <w:ind w:right="10"/>
              <w:spacing w:after="0" w:line="189" w:lineRule="exact"/>
              <w:rPr>
                <w:rFonts w:ascii="Calibri" w:cs="Calibri" w:eastAsia="Calibri" w:hAnsi="Calibri"/>
                <w:sz w:val="18"/>
                <w:szCs w:val="18"/>
                <w:color w:val="7A04DD"/>
                <w:w w:val="96"/>
              </w:rPr>
            </w:pPr>
            <w:hyperlink r:id="rId495">
              <w:r>
                <w:rPr>
                  <w:rFonts w:ascii="Calibri" w:cs="Calibri" w:eastAsia="Calibri" w:hAnsi="Calibri"/>
                  <w:sz w:val="18"/>
                  <w:szCs w:val="18"/>
                  <w:color w:val="7A04DD"/>
                  <w:w w:val="96"/>
                </w:rPr>
                <w:t>3.</w:t>
              </w:r>
              <w:r>
                <w:rPr>
                  <w:rFonts w:ascii="Calibri" w:cs="Calibri" w:eastAsia="Calibri" w:hAnsi="Calibri"/>
                  <w:sz w:val="18"/>
                  <w:szCs w:val="18"/>
                  <w:u w:val="single" w:color="auto"/>
                  <w:color w:val="7A04DD"/>
                  <w:w w:val="96"/>
                </w:rPr>
                <w:t>1</w:t>
              </w:r>
            </w:hyperlink>
          </w:p>
        </w:tc>
        <w:tc>
          <w:tcPr>
            <w:tcW w:w="650" w:type="dxa"/>
            <w:vAlign w:val="bottom"/>
          </w:tcPr>
          <w:p>
            <w:pPr>
              <w:spacing w:after="0"/>
              <w:rPr>
                <w:sz w:val="16"/>
                <w:szCs w:val="16"/>
                <w:color w:val="auto"/>
              </w:rPr>
            </w:pPr>
          </w:p>
        </w:tc>
        <w:tc>
          <w:tcPr>
            <w:tcW w:w="4800" w:type="dxa"/>
            <w:vAlign w:val="bottom"/>
            <w:gridSpan w:val="22"/>
          </w:tcPr>
          <w:p>
            <w:pPr>
              <w:spacing w:after="0" w:line="189" w:lineRule="exact"/>
              <w:rPr>
                <w:rFonts w:ascii="Calibri" w:cs="Calibri" w:eastAsia="Calibri" w:hAnsi="Calibri"/>
                <w:sz w:val="18"/>
                <w:szCs w:val="18"/>
                <w:color w:val="7A04DD"/>
              </w:rPr>
            </w:pPr>
            <w:hyperlink r:id="rId495">
              <w:r>
                <w:rPr>
                  <w:rFonts w:ascii="Calibri" w:cs="Calibri" w:eastAsia="Calibri" w:hAnsi="Calibri"/>
                  <w:sz w:val="18"/>
                  <w:szCs w:val="18"/>
                  <w:color w:val="7A04DD"/>
                </w:rPr>
                <w:t>Amended and Restated Certfcate of Incorporaton of Blackbaud,</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8"/>
              </w:rPr>
              <w:t>DEF 14A</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4/30/2009</w:t>
            </w:r>
          </w:p>
        </w:tc>
        <w:tc>
          <w:tcPr>
            <w:tcW w:w="1113" w:type="dxa"/>
            <w:vAlign w:val="bottom"/>
          </w:tcPr>
          <w:p>
            <w:pPr>
              <w:spacing w:after="0"/>
              <w:rPr>
                <w:sz w:val="16"/>
                <w:szCs w:val="16"/>
                <w:color w:val="auto"/>
              </w:rPr>
            </w:pP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640" w:type="dxa"/>
            <w:vAlign w:val="bottom"/>
            <w:tcBorders>
              <w:top w:val="single" w:sz="8" w:color="7A04DD"/>
            </w:tcBorders>
            <w:gridSpan w:val="20"/>
          </w:tcPr>
          <w:p>
            <w:pPr>
              <w:spacing w:after="0" w:line="196" w:lineRule="exact"/>
              <w:rPr>
                <w:rFonts w:ascii="Calibri" w:cs="Calibri" w:eastAsia="Calibri" w:hAnsi="Calibri"/>
                <w:sz w:val="18"/>
                <w:szCs w:val="18"/>
                <w:color w:val="7A04DD"/>
              </w:rPr>
            </w:pPr>
            <w:hyperlink r:id="rId495">
              <w:r>
                <w:rPr>
                  <w:rFonts w:ascii="Calibri" w:cs="Calibri" w:eastAsia="Calibri" w:hAnsi="Calibri"/>
                  <w:sz w:val="18"/>
                  <w:szCs w:val="18"/>
                  <w:color w:val="7A04DD"/>
                </w:rPr>
                <w:t>Inc.</w:t>
              </w:r>
            </w:hyperlink>
          </w:p>
        </w:tc>
        <w:tc>
          <w:tcPr>
            <w:tcW w:w="1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 w:type="dxa"/>
            <w:vAlign w:val="bottom"/>
          </w:tcPr>
          <w:p>
            <w:pPr>
              <w:spacing w:after="0"/>
              <w:rPr>
                <w:sz w:val="5"/>
                <w:szCs w:val="5"/>
                <w:color w:val="auto"/>
              </w:rPr>
            </w:pPr>
          </w:p>
        </w:tc>
        <w:tc>
          <w:tcPr>
            <w:tcW w:w="650" w:type="dxa"/>
            <w:vAlign w:val="bottom"/>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70" w:type="dxa"/>
            <w:vAlign w:val="bottom"/>
            <w:tcBorders>
              <w:bottom w:val="single" w:sz="8" w:color="EBFBFF"/>
            </w:tcBorders>
            <w:gridSpan w:val="3"/>
            <w:vMerge w:val="restart"/>
            <w:shd w:val="clear" w:color="auto" w:fill="EBFBFF"/>
          </w:tcPr>
          <w:p>
            <w:pPr>
              <w:jc w:val="right"/>
              <w:ind w:right="10"/>
              <w:spacing w:after="0"/>
              <w:rPr>
                <w:rFonts w:ascii="Calibri" w:cs="Calibri" w:eastAsia="Calibri" w:hAnsi="Calibri"/>
                <w:sz w:val="18"/>
                <w:szCs w:val="18"/>
                <w:color w:val="7A04DD"/>
              </w:rPr>
            </w:pPr>
            <w:hyperlink r:id="rId496">
              <w:r>
                <w:rPr>
                  <w:rFonts w:ascii="Calibri" w:cs="Calibri" w:eastAsia="Calibri" w:hAnsi="Calibri"/>
                  <w:sz w:val="18"/>
                  <w:szCs w:val="18"/>
                  <w:color w:val="7A04DD"/>
                </w:rPr>
                <w:t>3.</w:t>
              </w:r>
              <w:r>
                <w:rPr>
                  <w:rFonts w:ascii="Calibri" w:cs="Calibri" w:eastAsia="Calibri" w:hAnsi="Calibri"/>
                  <w:sz w:val="18"/>
                  <w:szCs w:val="18"/>
                  <w:u w:val="single" w:color="auto"/>
                  <w:color w:val="7A04DD"/>
                </w:rPr>
                <w:t>2</w:t>
              </w:r>
            </w:hyperlink>
          </w:p>
        </w:tc>
        <w:tc>
          <w:tcPr>
            <w:tcW w:w="650" w:type="dxa"/>
            <w:vAlign w:val="bottom"/>
            <w:tcBorders>
              <w:bottom w:val="single" w:sz="8" w:color="EBFBFF"/>
            </w:tcBorders>
            <w:shd w:val="clear" w:color="auto" w:fill="EBFBFF"/>
          </w:tcPr>
          <w:p>
            <w:pPr>
              <w:spacing w:after="0"/>
              <w:rPr>
                <w:sz w:val="16"/>
                <w:szCs w:val="16"/>
                <w:color w:val="auto"/>
              </w:rPr>
            </w:pPr>
          </w:p>
        </w:tc>
        <w:tc>
          <w:tcPr>
            <w:tcW w:w="4000" w:type="dxa"/>
            <w:vAlign w:val="bottom"/>
            <w:tcBorders>
              <w:bottom w:val="single" w:sz="8" w:color="7A04DD"/>
            </w:tcBorders>
            <w:gridSpan w:val="9"/>
            <w:shd w:val="clear" w:color="auto" w:fill="EBFBFF"/>
          </w:tcPr>
          <w:p>
            <w:pPr>
              <w:spacing w:after="0" w:line="189" w:lineRule="exact"/>
              <w:rPr>
                <w:rFonts w:ascii="Calibri" w:cs="Calibri" w:eastAsia="Calibri" w:hAnsi="Calibri"/>
                <w:sz w:val="18"/>
                <w:szCs w:val="18"/>
                <w:color w:val="7A04DD"/>
              </w:rPr>
            </w:pPr>
            <w:hyperlink r:id="rId496">
              <w:r>
                <w:rPr>
                  <w:rFonts w:ascii="Calibri" w:cs="Calibri" w:eastAsia="Calibri" w:hAnsi="Calibri"/>
                  <w:sz w:val="18"/>
                  <w:szCs w:val="18"/>
                  <w:color w:val="7A04DD"/>
                </w:rPr>
                <w:t>Certfcate of Designaton of Series A Junior Partcipatng</w:t>
              </w:r>
            </w:hyperlink>
          </w:p>
        </w:tc>
        <w:tc>
          <w:tcPr>
            <w:tcW w:w="800" w:type="dxa"/>
            <w:vAlign w:val="bottom"/>
            <w:tcBorders>
              <w:bottom w:val="single" w:sz="8" w:color="EBFBFF"/>
            </w:tcBorders>
            <w:gridSpan w:val="13"/>
            <w:shd w:val="clear" w:color="auto" w:fill="EBFBFF"/>
          </w:tcPr>
          <w:p>
            <w:pPr>
              <w:spacing w:after="0"/>
              <w:rPr>
                <w:sz w:val="16"/>
                <w:szCs w:val="16"/>
                <w:color w:val="auto"/>
              </w:rPr>
            </w:pPr>
          </w:p>
        </w:tc>
        <w:tc>
          <w:tcPr>
            <w:tcW w:w="1200" w:type="dxa"/>
            <w:vAlign w:val="bottom"/>
            <w:tcBorders>
              <w:bottom w:val="single" w:sz="8" w:color="EBFBFF"/>
            </w:tcBorders>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Borders>
              <w:bottom w:val="single" w:sz="8" w:color="EBFBFF"/>
            </w:tcBorders>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10/11/2022</w:t>
            </w:r>
          </w:p>
        </w:tc>
        <w:tc>
          <w:tcPr>
            <w:tcW w:w="1113" w:type="dxa"/>
            <w:vAlign w:val="bottom"/>
            <w:tcBorders>
              <w:bottom w:val="single" w:sz="8" w:color="EBFBFF"/>
            </w:tcBorders>
            <w:shd w:val="clear" w:color="auto" w:fill="EBFBFF"/>
          </w:tcPr>
          <w:p>
            <w:pPr>
              <w:jc w:val="right"/>
              <w:ind w:right="6"/>
              <w:spacing w:after="0" w:line="189" w:lineRule="exact"/>
              <w:rPr>
                <w:sz w:val="20"/>
                <w:szCs w:val="20"/>
                <w:color w:val="auto"/>
              </w:rPr>
            </w:pPr>
            <w:r>
              <w:rPr>
                <w:rFonts w:ascii="Calibri" w:cs="Calibri" w:eastAsia="Calibri" w:hAnsi="Calibri"/>
                <w:sz w:val="18"/>
                <w:szCs w:val="18"/>
                <w:color w:val="51555C"/>
              </w:rPr>
              <w:t>3.1</w:t>
            </w:r>
          </w:p>
        </w:tc>
        <w:tc>
          <w:tcPr>
            <w:tcW w:w="928" w:type="dxa"/>
            <w:vAlign w:val="bottom"/>
            <w:tcBorders>
              <w:bottom w:val="single" w:sz="8" w:color="EBFBFF"/>
            </w:tcBorders>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70" w:type="dxa"/>
            <w:vAlign w:val="bottom"/>
            <w:gridSpan w:val="3"/>
            <w:vMerge w:val="continue"/>
            <w:shd w:val="clear" w:color="auto" w:fill="EBFBFF"/>
          </w:tcPr>
          <w:p>
            <w:pPr>
              <w:spacing w:after="0"/>
              <w:rPr>
                <w:sz w:val="2"/>
                <w:szCs w:val="2"/>
                <w:color w:val="auto"/>
              </w:rPr>
            </w:pPr>
          </w:p>
        </w:tc>
        <w:tc>
          <w:tcPr>
            <w:tcW w:w="650" w:type="dxa"/>
            <w:vAlign w:val="bottom"/>
            <w:shd w:val="clear" w:color="auto" w:fill="EBFBFF"/>
          </w:tcPr>
          <w:p>
            <w:pPr>
              <w:spacing w:after="0"/>
              <w:rPr>
                <w:sz w:val="2"/>
                <w:szCs w:val="2"/>
                <w:color w:val="auto"/>
              </w:rPr>
            </w:pPr>
          </w:p>
        </w:tc>
        <w:tc>
          <w:tcPr>
            <w:tcW w:w="4800" w:type="dxa"/>
            <w:vAlign w:val="bottom"/>
            <w:gridSpan w:val="22"/>
            <w:vMerge w:val="restart"/>
            <w:shd w:val="clear" w:color="auto" w:fill="EBFBFF"/>
          </w:tcPr>
          <w:p>
            <w:pPr>
              <w:spacing w:after="0" w:line="196" w:lineRule="exact"/>
              <w:rPr>
                <w:rFonts w:ascii="Calibri" w:cs="Calibri" w:eastAsia="Calibri" w:hAnsi="Calibri"/>
                <w:sz w:val="18"/>
                <w:szCs w:val="18"/>
                <w:color w:val="7A04DD"/>
              </w:rPr>
            </w:pPr>
            <w:hyperlink r:id="rId496">
              <w:r>
                <w:rPr>
                  <w:rFonts w:ascii="Calibri" w:cs="Calibri" w:eastAsia="Calibri" w:hAnsi="Calibri"/>
                  <w:sz w:val="18"/>
                  <w:szCs w:val="18"/>
                  <w:color w:val="7A04DD"/>
                </w:rPr>
                <w:t>Preferred Stock of Blackbaud, Inc.</w:t>
              </w:r>
            </w:hyperlink>
          </w:p>
        </w:tc>
        <w:tc>
          <w:tcPr>
            <w:tcW w:w="1200" w:type="dxa"/>
            <w:vAlign w:val="bottom"/>
            <w:shd w:val="clear" w:color="auto" w:fill="EBFBFF"/>
          </w:tcPr>
          <w:p>
            <w:pPr>
              <w:spacing w:after="0"/>
              <w:rPr>
                <w:sz w:val="2"/>
                <w:szCs w:val="2"/>
                <w:color w:val="auto"/>
              </w:rPr>
            </w:pPr>
          </w:p>
        </w:tc>
        <w:tc>
          <w:tcPr>
            <w:tcW w:w="1580" w:type="dxa"/>
            <w:vAlign w:val="bottom"/>
            <w:shd w:val="clear" w:color="auto" w:fill="EBFBFF"/>
          </w:tcPr>
          <w:p>
            <w:pPr>
              <w:spacing w:after="0"/>
              <w:rPr>
                <w:sz w:val="2"/>
                <w:szCs w:val="2"/>
                <w:color w:val="auto"/>
              </w:rPr>
            </w:pPr>
          </w:p>
        </w:tc>
        <w:tc>
          <w:tcPr>
            <w:tcW w:w="1113" w:type="dxa"/>
            <w:vAlign w:val="bottom"/>
            <w:shd w:val="clear" w:color="auto" w:fill="EBFBFF"/>
          </w:tcPr>
          <w:p>
            <w:pPr>
              <w:spacing w:after="0"/>
              <w:rPr>
                <w:sz w:val="2"/>
                <w:szCs w:val="2"/>
                <w:color w:val="auto"/>
              </w:rPr>
            </w:pPr>
          </w:p>
        </w:tc>
        <w:tc>
          <w:tcPr>
            <w:tcW w:w="928" w:type="dxa"/>
            <w:vAlign w:val="bottom"/>
            <w:shd w:val="clear" w:color="auto" w:fill="EBFB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EBFBFF"/>
            </w:tcBorders>
            <w:shd w:val="clear" w:color="auto" w:fill="EBFBFF"/>
          </w:tcPr>
          <w:p>
            <w:pPr>
              <w:spacing w:after="0"/>
              <w:rPr>
                <w:sz w:val="12"/>
                <w:szCs w:val="12"/>
                <w:color w:val="auto"/>
              </w:rPr>
            </w:pPr>
          </w:p>
        </w:tc>
        <w:tc>
          <w:tcPr>
            <w:tcW w:w="220" w:type="dxa"/>
            <w:vAlign w:val="bottom"/>
            <w:tcBorders>
              <w:top w:val="single" w:sz="8" w:color="7A04DD"/>
            </w:tcBorders>
            <w:shd w:val="clear" w:color="auto" w:fill="EBFBFF"/>
          </w:tcPr>
          <w:p>
            <w:pPr>
              <w:spacing w:after="0"/>
              <w:rPr>
                <w:sz w:val="12"/>
                <w:szCs w:val="12"/>
                <w:color w:val="auto"/>
              </w:rPr>
            </w:pPr>
          </w:p>
        </w:tc>
        <w:tc>
          <w:tcPr>
            <w:tcW w:w="30" w:type="dxa"/>
            <w:vAlign w:val="bottom"/>
            <w:tcBorders>
              <w:top w:val="single" w:sz="8" w:color="EBFBFF"/>
            </w:tcBorders>
            <w:shd w:val="clear" w:color="auto" w:fill="EBFBFF"/>
          </w:tcPr>
          <w:p>
            <w:pPr>
              <w:spacing w:after="0"/>
              <w:rPr>
                <w:sz w:val="12"/>
                <w:szCs w:val="12"/>
                <w:color w:val="auto"/>
              </w:rPr>
            </w:pPr>
          </w:p>
        </w:tc>
        <w:tc>
          <w:tcPr>
            <w:tcW w:w="650" w:type="dxa"/>
            <w:vAlign w:val="bottom"/>
            <w:tcBorders>
              <w:top w:val="single" w:sz="8" w:color="EBFBFF"/>
            </w:tcBorders>
            <w:shd w:val="clear" w:color="auto" w:fill="EBFBFF"/>
          </w:tcPr>
          <w:p>
            <w:pPr>
              <w:spacing w:after="0"/>
              <w:rPr>
                <w:sz w:val="12"/>
                <w:szCs w:val="12"/>
                <w:color w:val="auto"/>
              </w:rPr>
            </w:pPr>
          </w:p>
        </w:tc>
        <w:tc>
          <w:tcPr>
            <w:tcW w:w="4800" w:type="dxa"/>
            <w:vAlign w:val="bottom"/>
            <w:tcBorders>
              <w:top w:val="single" w:sz="8" w:color="EBFBFF"/>
            </w:tcBorders>
            <w:gridSpan w:val="22"/>
            <w:vMerge w:val="continue"/>
            <w:shd w:val="clear" w:color="auto" w:fill="EBFBFF"/>
          </w:tcPr>
          <w:p>
            <w:pPr>
              <w:spacing w:after="0"/>
              <w:rPr>
                <w:sz w:val="12"/>
                <w:szCs w:val="12"/>
                <w:color w:val="auto"/>
              </w:rPr>
            </w:pPr>
          </w:p>
        </w:tc>
        <w:tc>
          <w:tcPr>
            <w:tcW w:w="1200" w:type="dxa"/>
            <w:vAlign w:val="bottom"/>
            <w:tcBorders>
              <w:top w:val="single" w:sz="8" w:color="EBFBFF"/>
            </w:tcBorders>
            <w:shd w:val="clear" w:color="auto" w:fill="EBFBFF"/>
          </w:tcPr>
          <w:p>
            <w:pPr>
              <w:spacing w:after="0"/>
              <w:rPr>
                <w:sz w:val="12"/>
                <w:szCs w:val="12"/>
                <w:color w:val="auto"/>
              </w:rPr>
            </w:pPr>
          </w:p>
        </w:tc>
        <w:tc>
          <w:tcPr>
            <w:tcW w:w="1580" w:type="dxa"/>
            <w:vAlign w:val="bottom"/>
            <w:tcBorders>
              <w:top w:val="single" w:sz="8" w:color="EBFBFF"/>
            </w:tcBorders>
            <w:shd w:val="clear" w:color="auto" w:fill="EBFBFF"/>
          </w:tcPr>
          <w:p>
            <w:pPr>
              <w:spacing w:after="0"/>
              <w:rPr>
                <w:sz w:val="12"/>
                <w:szCs w:val="12"/>
                <w:color w:val="auto"/>
              </w:rPr>
            </w:pPr>
          </w:p>
        </w:tc>
        <w:tc>
          <w:tcPr>
            <w:tcW w:w="1113" w:type="dxa"/>
            <w:vAlign w:val="bottom"/>
            <w:tcBorders>
              <w:top w:val="single" w:sz="8" w:color="EBFBFF"/>
            </w:tcBorders>
            <w:shd w:val="clear" w:color="auto" w:fill="EBFBFF"/>
          </w:tcPr>
          <w:p>
            <w:pPr>
              <w:spacing w:after="0"/>
              <w:rPr>
                <w:sz w:val="12"/>
                <w:szCs w:val="12"/>
                <w:color w:val="auto"/>
              </w:rPr>
            </w:pPr>
          </w:p>
        </w:tc>
        <w:tc>
          <w:tcPr>
            <w:tcW w:w="928" w:type="dxa"/>
            <w:vAlign w:val="bottom"/>
            <w:tcBorders>
              <w:top w:val="single" w:sz="8" w:color="EBFBFF"/>
            </w:tcBorders>
            <w:shd w:val="clear" w:color="auto" w:fill="EBFB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72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65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6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66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15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250" w:type="dxa"/>
            <w:vAlign w:val="bottom"/>
            <w:gridSpan w:val="2"/>
          </w:tcPr>
          <w:p>
            <w:pPr>
              <w:jc w:val="right"/>
              <w:ind w:right="10"/>
              <w:spacing w:after="0" w:line="189" w:lineRule="exact"/>
              <w:rPr>
                <w:rFonts w:ascii="Calibri" w:cs="Calibri" w:eastAsia="Calibri" w:hAnsi="Calibri"/>
                <w:sz w:val="18"/>
                <w:szCs w:val="18"/>
                <w:color w:val="7A04DD"/>
                <w:w w:val="96"/>
              </w:rPr>
            </w:pPr>
            <w:hyperlink r:id="rId497">
              <w:r>
                <w:rPr>
                  <w:rFonts w:ascii="Calibri" w:cs="Calibri" w:eastAsia="Calibri" w:hAnsi="Calibri"/>
                  <w:sz w:val="18"/>
                  <w:szCs w:val="18"/>
                  <w:color w:val="7A04DD"/>
                  <w:w w:val="96"/>
                </w:rPr>
                <w:t>3.</w:t>
              </w:r>
              <w:r>
                <w:rPr>
                  <w:rFonts w:ascii="Calibri" w:cs="Calibri" w:eastAsia="Calibri" w:hAnsi="Calibri"/>
                  <w:sz w:val="18"/>
                  <w:szCs w:val="18"/>
                  <w:u w:val="single" w:color="auto"/>
                  <w:color w:val="7A04DD"/>
                  <w:w w:val="96"/>
                </w:rPr>
                <w:t>3</w:t>
              </w:r>
            </w:hyperlink>
          </w:p>
        </w:tc>
        <w:tc>
          <w:tcPr>
            <w:tcW w:w="650" w:type="dxa"/>
            <w:vAlign w:val="bottom"/>
          </w:tcPr>
          <w:p>
            <w:pPr>
              <w:spacing w:after="0"/>
              <w:rPr>
                <w:sz w:val="16"/>
                <w:szCs w:val="16"/>
                <w:color w:val="auto"/>
              </w:rPr>
            </w:pPr>
          </w:p>
        </w:tc>
        <w:tc>
          <w:tcPr>
            <w:tcW w:w="4800" w:type="dxa"/>
            <w:vAlign w:val="bottom"/>
            <w:gridSpan w:val="22"/>
          </w:tcPr>
          <w:p>
            <w:pPr>
              <w:spacing w:after="0" w:line="189" w:lineRule="exact"/>
              <w:rPr>
                <w:rFonts w:ascii="Calibri" w:cs="Calibri" w:eastAsia="Calibri" w:hAnsi="Calibri"/>
                <w:sz w:val="18"/>
                <w:szCs w:val="18"/>
                <w:color w:val="7A04DD"/>
              </w:rPr>
            </w:pPr>
            <w:hyperlink r:id="rId497">
              <w:r>
                <w:rPr>
                  <w:rFonts w:ascii="Calibri" w:cs="Calibri" w:eastAsia="Calibri" w:hAnsi="Calibri"/>
                  <w:sz w:val="18"/>
                  <w:szCs w:val="18"/>
                  <w:color w:val="7A04DD"/>
                </w:rPr>
                <w:t>Amended and Restated Bylaws of Blackbaud, Inc. dated</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12/11/2023</w:t>
            </w:r>
          </w:p>
        </w:tc>
        <w:tc>
          <w:tcPr>
            <w:tcW w:w="1113" w:type="dxa"/>
            <w:vAlign w:val="bottom"/>
          </w:tcPr>
          <w:p>
            <w:pPr>
              <w:jc w:val="right"/>
              <w:ind w:right="6"/>
              <w:spacing w:after="0" w:line="189" w:lineRule="exact"/>
              <w:rPr>
                <w:sz w:val="20"/>
                <w:szCs w:val="20"/>
                <w:color w:val="auto"/>
              </w:rPr>
            </w:pPr>
            <w:r>
              <w:rPr>
                <w:rFonts w:ascii="Calibri" w:cs="Calibri" w:eastAsia="Calibri" w:hAnsi="Calibri"/>
                <w:sz w:val="18"/>
                <w:szCs w:val="18"/>
                <w:color w:val="51555C"/>
              </w:rPr>
              <w:t>3.1</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3940" w:type="dxa"/>
            <w:vAlign w:val="bottom"/>
            <w:tcBorders>
              <w:top w:val="single" w:sz="8" w:color="7A04DD"/>
            </w:tcBorders>
            <w:gridSpan w:val="8"/>
          </w:tcPr>
          <w:p>
            <w:pPr>
              <w:spacing w:after="0" w:line="196" w:lineRule="exact"/>
              <w:rPr>
                <w:rFonts w:ascii="Calibri" w:cs="Calibri" w:eastAsia="Calibri" w:hAnsi="Calibri"/>
                <w:sz w:val="18"/>
                <w:szCs w:val="18"/>
                <w:color w:val="7A04DD"/>
              </w:rPr>
            </w:pPr>
            <w:hyperlink r:id="rId497">
              <w:r>
                <w:rPr>
                  <w:rFonts w:ascii="Calibri" w:cs="Calibri" w:eastAsia="Calibri" w:hAnsi="Calibri"/>
                  <w:sz w:val="18"/>
                  <w:szCs w:val="18"/>
                  <w:color w:val="7A04DD"/>
                </w:rPr>
                <w:t>December 7, 2023</w:t>
              </w:r>
            </w:hyperlink>
          </w:p>
        </w:tc>
        <w:tc>
          <w:tcPr>
            <w:tcW w:w="860" w:type="dxa"/>
            <w:vAlign w:val="bottom"/>
            <w:gridSpan w:val="14"/>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 w:type="dxa"/>
            <w:vAlign w:val="bottom"/>
          </w:tcPr>
          <w:p>
            <w:pPr>
              <w:spacing w:after="0"/>
              <w:rPr>
                <w:sz w:val="5"/>
                <w:szCs w:val="5"/>
                <w:color w:val="auto"/>
              </w:rPr>
            </w:pPr>
          </w:p>
        </w:tc>
        <w:tc>
          <w:tcPr>
            <w:tcW w:w="650" w:type="dxa"/>
            <w:vAlign w:val="bottom"/>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640" w:type="dxa"/>
            <w:vAlign w:val="bottom"/>
            <w:tcBorders>
              <w:top w:val="single" w:sz="8" w:color="7A04DD"/>
            </w:tcBorders>
          </w:tcPr>
          <w:p>
            <w:pPr>
              <w:spacing w:after="0"/>
              <w:rPr>
                <w:sz w:val="5"/>
                <w:szCs w:val="5"/>
                <w:color w:val="auto"/>
              </w:rPr>
            </w:pPr>
          </w:p>
        </w:tc>
        <w:tc>
          <w:tcPr>
            <w:tcW w:w="18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70" w:type="dxa"/>
            <w:vAlign w:val="bottom"/>
            <w:gridSpan w:val="3"/>
            <w:shd w:val="clear" w:color="auto" w:fill="EBFBFF"/>
          </w:tcPr>
          <w:p>
            <w:pPr>
              <w:jc w:val="right"/>
              <w:ind w:right="10"/>
              <w:spacing w:after="0" w:line="189" w:lineRule="exact"/>
              <w:rPr>
                <w:sz w:val="20"/>
                <w:szCs w:val="20"/>
                <w:color w:val="auto"/>
              </w:rPr>
            </w:pPr>
            <w:r>
              <w:rPr>
                <w:rFonts w:ascii="Calibri" w:cs="Calibri" w:eastAsia="Calibri" w:hAnsi="Calibri"/>
                <w:sz w:val="18"/>
                <w:szCs w:val="18"/>
                <w:color w:val="7A04DD"/>
              </w:rPr>
              <w:t>4.</w:t>
            </w:r>
            <w:r>
              <w:rPr>
                <w:rFonts w:ascii="Calibri" w:cs="Calibri" w:eastAsia="Calibri" w:hAnsi="Calibri"/>
                <w:sz w:val="18"/>
                <w:szCs w:val="18"/>
                <w:u w:val="single" w:color="auto"/>
                <w:color w:val="7A04DD"/>
              </w:rPr>
              <w:t>1</w:t>
            </w:r>
          </w:p>
        </w:tc>
        <w:tc>
          <w:tcPr>
            <w:tcW w:w="650" w:type="dxa"/>
            <w:vAlign w:val="bottom"/>
            <w:shd w:val="clear" w:color="auto" w:fill="EBFBFF"/>
          </w:tcPr>
          <w:p>
            <w:pPr>
              <w:spacing w:after="0"/>
              <w:rPr>
                <w:sz w:val="16"/>
                <w:szCs w:val="16"/>
                <w:color w:val="auto"/>
              </w:rPr>
            </w:pPr>
          </w:p>
        </w:tc>
        <w:tc>
          <w:tcPr>
            <w:tcW w:w="4800" w:type="dxa"/>
            <w:vAlign w:val="bottom"/>
            <w:gridSpan w:val="22"/>
            <w:shd w:val="clear" w:color="auto" w:fill="EBFBFF"/>
          </w:tcPr>
          <w:p>
            <w:pPr>
              <w:spacing w:after="0" w:line="189" w:lineRule="exact"/>
              <w:rPr>
                <w:sz w:val="20"/>
                <w:szCs w:val="20"/>
                <w:color w:val="auto"/>
              </w:rPr>
            </w:pPr>
            <w:r>
              <w:rPr>
                <w:rFonts w:ascii="Calibri" w:cs="Calibri" w:eastAsia="Calibri" w:hAnsi="Calibri"/>
                <w:sz w:val="18"/>
                <w:szCs w:val="18"/>
                <w:color w:val="7A04DD"/>
              </w:rPr>
              <w:t>Descripton of Capital Stock</w:t>
            </w:r>
          </w:p>
        </w:tc>
        <w:tc>
          <w:tcPr>
            <w:tcW w:w="1200" w:type="dxa"/>
            <w:vAlign w:val="bottom"/>
            <w:shd w:val="clear" w:color="auto" w:fill="EBFBFF"/>
          </w:tcPr>
          <w:p>
            <w:pPr>
              <w:spacing w:after="0"/>
              <w:rPr>
                <w:sz w:val="16"/>
                <w:szCs w:val="16"/>
                <w:color w:val="auto"/>
              </w:rPr>
            </w:pPr>
          </w:p>
        </w:tc>
        <w:tc>
          <w:tcPr>
            <w:tcW w:w="1580" w:type="dxa"/>
            <w:vAlign w:val="bottom"/>
            <w:shd w:val="clear" w:color="auto" w:fill="EBFBFF"/>
          </w:tcPr>
          <w:p>
            <w:pPr>
              <w:spacing w:after="0"/>
              <w:rPr>
                <w:sz w:val="16"/>
                <w:szCs w:val="16"/>
                <w:color w:val="auto"/>
              </w:rPr>
            </w:pPr>
          </w:p>
        </w:tc>
        <w:tc>
          <w:tcPr>
            <w:tcW w:w="1113" w:type="dxa"/>
            <w:vAlign w:val="bottom"/>
            <w:shd w:val="clear" w:color="auto" w:fill="EBFBFF"/>
          </w:tcPr>
          <w:p>
            <w:pPr>
              <w:spacing w:after="0"/>
              <w:rPr>
                <w:sz w:val="16"/>
                <w:szCs w:val="16"/>
                <w:color w:val="auto"/>
              </w:rPr>
            </w:pPr>
          </w:p>
        </w:tc>
        <w:tc>
          <w:tcPr>
            <w:tcW w:w="928" w:type="dxa"/>
            <w:vAlign w:val="bottom"/>
            <w:shd w:val="clear" w:color="auto" w:fill="EBFBFF"/>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72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0" w:type="dxa"/>
            <w:vAlign w:val="bottom"/>
            <w:tcBorders>
              <w:top w:val="single" w:sz="8" w:color="EBFBFF"/>
            </w:tcBorders>
            <w:shd w:val="clear" w:color="auto" w:fill="EBFBFF"/>
          </w:tcPr>
          <w:p>
            <w:pPr>
              <w:spacing w:after="0"/>
              <w:rPr>
                <w:sz w:val="5"/>
                <w:szCs w:val="5"/>
                <w:color w:val="auto"/>
              </w:rPr>
            </w:pPr>
          </w:p>
        </w:tc>
        <w:tc>
          <w:tcPr>
            <w:tcW w:w="65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64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660" w:type="dxa"/>
            <w:vAlign w:val="bottom"/>
            <w:tcBorders>
              <w:top w:val="single" w:sz="8" w:color="7A04DD"/>
            </w:tcBorders>
            <w:shd w:val="clear" w:color="auto" w:fill="EBFBFF"/>
          </w:tcPr>
          <w:p>
            <w:pPr>
              <w:spacing w:after="0"/>
              <w:rPr>
                <w:sz w:val="5"/>
                <w:szCs w:val="5"/>
                <w:color w:val="auto"/>
              </w:rPr>
            </w:pPr>
          </w:p>
        </w:tc>
        <w:tc>
          <w:tcPr>
            <w:tcW w:w="18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EBFBFF"/>
            </w:tcBorders>
            <w:shd w:val="clear" w:color="auto" w:fill="EBFBFF"/>
          </w:tcPr>
          <w:p>
            <w:pPr>
              <w:spacing w:after="0"/>
              <w:rPr>
                <w:sz w:val="5"/>
                <w:szCs w:val="5"/>
                <w:color w:val="auto"/>
              </w:rPr>
            </w:pPr>
          </w:p>
        </w:tc>
        <w:tc>
          <w:tcPr>
            <w:tcW w:w="154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right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250" w:type="dxa"/>
            <w:vAlign w:val="bottom"/>
            <w:gridSpan w:val="2"/>
          </w:tcPr>
          <w:p>
            <w:pPr>
              <w:jc w:val="right"/>
              <w:ind w:right="10"/>
              <w:spacing w:after="0" w:line="189" w:lineRule="exact"/>
              <w:rPr>
                <w:rFonts w:ascii="Calibri" w:cs="Calibri" w:eastAsia="Calibri" w:hAnsi="Calibri"/>
                <w:sz w:val="18"/>
                <w:szCs w:val="18"/>
                <w:color w:val="7A04DD"/>
                <w:w w:val="96"/>
              </w:rPr>
            </w:pPr>
            <w:hyperlink r:id="rId498">
              <w:r>
                <w:rPr>
                  <w:rFonts w:ascii="Calibri" w:cs="Calibri" w:eastAsia="Calibri" w:hAnsi="Calibri"/>
                  <w:sz w:val="18"/>
                  <w:szCs w:val="18"/>
                  <w:color w:val="7A04DD"/>
                  <w:w w:val="96"/>
                </w:rPr>
                <w:t>4.</w:t>
              </w:r>
              <w:r>
                <w:rPr>
                  <w:rFonts w:ascii="Calibri" w:cs="Calibri" w:eastAsia="Calibri" w:hAnsi="Calibri"/>
                  <w:sz w:val="18"/>
                  <w:szCs w:val="18"/>
                  <w:u w:val="single" w:color="auto"/>
                  <w:color w:val="7A04DD"/>
                  <w:w w:val="96"/>
                </w:rPr>
                <w:t>2</w:t>
              </w:r>
            </w:hyperlink>
          </w:p>
        </w:tc>
        <w:tc>
          <w:tcPr>
            <w:tcW w:w="650" w:type="dxa"/>
            <w:vAlign w:val="bottom"/>
          </w:tcPr>
          <w:p>
            <w:pPr>
              <w:spacing w:after="0"/>
              <w:rPr>
                <w:sz w:val="16"/>
                <w:szCs w:val="16"/>
                <w:color w:val="auto"/>
              </w:rPr>
            </w:pPr>
          </w:p>
        </w:tc>
        <w:tc>
          <w:tcPr>
            <w:tcW w:w="4800" w:type="dxa"/>
            <w:vAlign w:val="bottom"/>
            <w:gridSpan w:val="22"/>
          </w:tcPr>
          <w:p>
            <w:pPr>
              <w:spacing w:after="0" w:line="189" w:lineRule="exact"/>
              <w:rPr>
                <w:rFonts w:ascii="Calibri" w:cs="Calibri" w:eastAsia="Calibri" w:hAnsi="Calibri"/>
                <w:sz w:val="18"/>
                <w:szCs w:val="18"/>
                <w:color w:val="7A04DD"/>
              </w:rPr>
            </w:pPr>
            <w:hyperlink r:id="rId498">
              <w:r>
                <w:rPr>
                  <w:rFonts w:ascii="Calibri" w:cs="Calibri" w:eastAsia="Calibri" w:hAnsi="Calibri"/>
                  <w:sz w:val="18"/>
                  <w:szCs w:val="18"/>
                  <w:color w:val="7A04DD"/>
                </w:rPr>
                <w:t>Stockholder Rights Agreement, dated as of October 7, 2022,</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10/11/2022</w:t>
            </w:r>
          </w:p>
        </w:tc>
        <w:tc>
          <w:tcPr>
            <w:tcW w:w="1113" w:type="dxa"/>
            <w:vAlign w:val="bottom"/>
          </w:tcPr>
          <w:p>
            <w:pPr>
              <w:jc w:val="right"/>
              <w:ind w:right="6"/>
              <w:spacing w:after="0" w:line="189" w:lineRule="exact"/>
              <w:rPr>
                <w:sz w:val="20"/>
                <w:szCs w:val="20"/>
                <w:color w:val="auto"/>
              </w:rPr>
            </w:pPr>
            <w:r>
              <w:rPr>
                <w:rFonts w:ascii="Calibri" w:cs="Calibri" w:eastAsia="Calibri" w:hAnsi="Calibri"/>
                <w:sz w:val="18"/>
                <w:szCs w:val="18"/>
                <w:color w:val="51555C"/>
              </w:rPr>
              <w:t>4.1</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650" w:type="dxa"/>
            <w:vAlign w:val="bottom"/>
          </w:tcPr>
          <w:p>
            <w:pPr>
              <w:spacing w:after="0" w:line="20" w:lineRule="exact"/>
              <w:rPr>
                <w:sz w:val="1"/>
                <w:szCs w:val="1"/>
                <w:color w:val="auto"/>
              </w:rPr>
            </w:pPr>
          </w:p>
        </w:tc>
        <w:tc>
          <w:tcPr>
            <w:tcW w:w="2140" w:type="dxa"/>
            <w:vAlign w:val="bottom"/>
            <w:gridSpan w:val="6"/>
            <w:shd w:val="clear" w:color="auto" w:fill="7A04DD"/>
          </w:tcPr>
          <w:p>
            <w:pPr>
              <w:spacing w:after="0" w:line="20" w:lineRule="exact"/>
              <w:rPr>
                <w:sz w:val="1"/>
                <w:szCs w:val="1"/>
                <w:color w:val="auto"/>
              </w:rPr>
            </w:pPr>
          </w:p>
        </w:tc>
        <w:tc>
          <w:tcPr>
            <w:tcW w:w="2120" w:type="dxa"/>
            <w:vAlign w:val="bottom"/>
            <w:gridSpan w:val="8"/>
            <w:shd w:val="clear" w:color="auto" w:fill="7A04D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360" w:type="dxa"/>
            <w:vAlign w:val="bottom"/>
            <w:tcBorders>
              <w:bottom w:val="single" w:sz="8" w:color="7A04DD"/>
            </w:tcBorders>
            <w:gridSpan w:val="15"/>
          </w:tcPr>
          <w:p>
            <w:pPr>
              <w:spacing w:after="0" w:line="196" w:lineRule="exact"/>
              <w:rPr>
                <w:rFonts w:ascii="Calibri" w:cs="Calibri" w:eastAsia="Calibri" w:hAnsi="Calibri"/>
                <w:sz w:val="18"/>
                <w:szCs w:val="18"/>
                <w:color w:val="7A04DD"/>
                <w:w w:val="96"/>
              </w:rPr>
            </w:pPr>
            <w:hyperlink r:id="rId498">
              <w:r>
                <w:rPr>
                  <w:rFonts w:ascii="Calibri" w:cs="Calibri" w:eastAsia="Calibri" w:hAnsi="Calibri"/>
                  <w:sz w:val="18"/>
                  <w:szCs w:val="18"/>
                  <w:color w:val="7A04DD"/>
                  <w:w w:val="96"/>
                </w:rPr>
                <w:t>between Blackbaud, Inc. and American Stock Transfer &amp; Trust</w:t>
              </w:r>
            </w:hyperlink>
          </w:p>
        </w:tc>
        <w:tc>
          <w:tcPr>
            <w:tcW w:w="44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800" w:type="dxa"/>
            <w:vAlign w:val="bottom"/>
            <w:gridSpan w:val="22"/>
          </w:tcPr>
          <w:p>
            <w:pPr>
              <w:spacing w:after="0" w:line="196" w:lineRule="exact"/>
              <w:rPr>
                <w:rFonts w:ascii="Calibri" w:cs="Calibri" w:eastAsia="Calibri" w:hAnsi="Calibri"/>
                <w:sz w:val="18"/>
                <w:szCs w:val="18"/>
                <w:color w:val="7A04DD"/>
              </w:rPr>
            </w:pPr>
            <w:hyperlink r:id="rId498">
              <w:r>
                <w:rPr>
                  <w:rFonts w:ascii="Calibri" w:cs="Calibri" w:eastAsia="Calibri" w:hAnsi="Calibri"/>
                  <w:sz w:val="18"/>
                  <w:szCs w:val="18"/>
                  <w:color w:val="7A04DD"/>
                </w:rPr>
                <w:t>Company, LLC, as Rights Agent</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720" w:type="dxa"/>
            <w:vAlign w:val="bottom"/>
            <w:tcBorders>
              <w:bottom w:val="single" w:sz="8" w:color="0CD973"/>
            </w:tcBorders>
          </w:tcPr>
          <w:p>
            <w:pPr>
              <w:spacing w:after="0"/>
              <w:rPr>
                <w:sz w:val="5"/>
                <w:szCs w:val="5"/>
                <w:color w:val="auto"/>
              </w:rPr>
            </w:pPr>
          </w:p>
        </w:tc>
        <w:tc>
          <w:tcPr>
            <w:tcW w:w="220" w:type="dxa"/>
            <w:vAlign w:val="bottom"/>
            <w:tcBorders>
              <w:bottom w:val="single" w:sz="8" w:color="0CD973"/>
            </w:tcBorders>
          </w:tcPr>
          <w:p>
            <w:pPr>
              <w:spacing w:after="0"/>
              <w:rPr>
                <w:sz w:val="5"/>
                <w:szCs w:val="5"/>
                <w:color w:val="auto"/>
              </w:rPr>
            </w:pPr>
          </w:p>
        </w:tc>
        <w:tc>
          <w:tcPr>
            <w:tcW w:w="30" w:type="dxa"/>
            <w:vAlign w:val="bottom"/>
            <w:tcBorders>
              <w:bottom w:val="single" w:sz="8" w:color="0CD973"/>
            </w:tcBorders>
          </w:tcPr>
          <w:p>
            <w:pPr>
              <w:spacing w:after="0"/>
              <w:rPr>
                <w:sz w:val="5"/>
                <w:szCs w:val="5"/>
                <w:color w:val="auto"/>
              </w:rPr>
            </w:pPr>
          </w:p>
        </w:tc>
        <w:tc>
          <w:tcPr>
            <w:tcW w:w="650" w:type="dxa"/>
            <w:vAlign w:val="bottom"/>
            <w:tcBorders>
              <w:bottom w:val="single" w:sz="8" w:color="0CD973"/>
            </w:tcBorders>
          </w:tcPr>
          <w:p>
            <w:pPr>
              <w:spacing w:after="0"/>
              <w:rPr>
                <w:sz w:val="5"/>
                <w:szCs w:val="5"/>
                <w:color w:val="auto"/>
              </w:rPr>
            </w:pPr>
          </w:p>
        </w:tc>
        <w:tc>
          <w:tcPr>
            <w:tcW w:w="260" w:type="dxa"/>
            <w:vAlign w:val="bottom"/>
            <w:tcBorders>
              <w:top w:val="single" w:sz="8" w:color="7A04DD"/>
              <w:bottom w:val="single" w:sz="8" w:color="0CD973"/>
            </w:tcBorders>
          </w:tcPr>
          <w:p>
            <w:pPr>
              <w:spacing w:after="0"/>
              <w:rPr>
                <w:sz w:val="5"/>
                <w:szCs w:val="5"/>
                <w:color w:val="auto"/>
              </w:rPr>
            </w:pPr>
          </w:p>
        </w:tc>
        <w:tc>
          <w:tcPr>
            <w:tcW w:w="640" w:type="dxa"/>
            <w:vAlign w:val="bottom"/>
            <w:tcBorders>
              <w:top w:val="single" w:sz="8" w:color="7A04DD"/>
              <w:bottom w:val="single" w:sz="8" w:color="0CD973"/>
            </w:tcBorders>
          </w:tcPr>
          <w:p>
            <w:pPr>
              <w:spacing w:after="0"/>
              <w:rPr>
                <w:sz w:val="5"/>
                <w:szCs w:val="5"/>
                <w:color w:val="auto"/>
              </w:rPr>
            </w:pPr>
          </w:p>
        </w:tc>
        <w:tc>
          <w:tcPr>
            <w:tcW w:w="180" w:type="dxa"/>
            <w:vAlign w:val="bottom"/>
            <w:tcBorders>
              <w:top w:val="single" w:sz="8" w:color="7A04DD"/>
              <w:bottom w:val="single" w:sz="8" w:color="0CD973"/>
            </w:tcBorders>
          </w:tcPr>
          <w:p>
            <w:pPr>
              <w:spacing w:after="0"/>
              <w:rPr>
                <w:sz w:val="5"/>
                <w:szCs w:val="5"/>
                <w:color w:val="auto"/>
              </w:rPr>
            </w:pPr>
          </w:p>
        </w:tc>
        <w:tc>
          <w:tcPr>
            <w:tcW w:w="220" w:type="dxa"/>
            <w:vAlign w:val="bottom"/>
            <w:tcBorders>
              <w:top w:val="single" w:sz="8" w:color="7A04DD"/>
              <w:bottom w:val="single" w:sz="8" w:color="0CD973"/>
            </w:tcBorders>
          </w:tcPr>
          <w:p>
            <w:pPr>
              <w:spacing w:after="0"/>
              <w:rPr>
                <w:sz w:val="5"/>
                <w:szCs w:val="5"/>
                <w:color w:val="auto"/>
              </w:rPr>
            </w:pPr>
          </w:p>
        </w:tc>
        <w:tc>
          <w:tcPr>
            <w:tcW w:w="660" w:type="dxa"/>
            <w:vAlign w:val="bottom"/>
            <w:tcBorders>
              <w:top w:val="single" w:sz="8" w:color="7A04DD"/>
              <w:bottom w:val="single" w:sz="8" w:color="0CD973"/>
            </w:tcBorders>
          </w:tcPr>
          <w:p>
            <w:pPr>
              <w:spacing w:after="0"/>
              <w:rPr>
                <w:sz w:val="5"/>
                <w:szCs w:val="5"/>
                <w:color w:val="auto"/>
              </w:rPr>
            </w:pPr>
          </w:p>
        </w:tc>
        <w:tc>
          <w:tcPr>
            <w:tcW w:w="180" w:type="dxa"/>
            <w:vAlign w:val="bottom"/>
            <w:tcBorders>
              <w:top w:val="single" w:sz="8" w:color="7A04DD"/>
              <w:bottom w:val="single" w:sz="8" w:color="0CD973"/>
            </w:tcBorders>
          </w:tcPr>
          <w:p>
            <w:pPr>
              <w:spacing w:after="0"/>
              <w:rPr>
                <w:sz w:val="5"/>
                <w:szCs w:val="5"/>
                <w:color w:val="auto"/>
              </w:rPr>
            </w:pPr>
          </w:p>
        </w:tc>
        <w:tc>
          <w:tcPr>
            <w:tcW w:w="260" w:type="dxa"/>
            <w:vAlign w:val="bottom"/>
            <w:tcBorders>
              <w:bottom w:val="single" w:sz="8" w:color="0CD973"/>
            </w:tcBorders>
          </w:tcPr>
          <w:p>
            <w:pPr>
              <w:spacing w:after="0"/>
              <w:rPr>
                <w:sz w:val="5"/>
                <w:szCs w:val="5"/>
                <w:color w:val="auto"/>
              </w:rPr>
            </w:pPr>
          </w:p>
        </w:tc>
        <w:tc>
          <w:tcPr>
            <w:tcW w:w="1540" w:type="dxa"/>
            <w:vAlign w:val="bottom"/>
            <w:tcBorders>
              <w:bottom w:val="single" w:sz="8" w:color="0CD973"/>
            </w:tcBorders>
          </w:tcPr>
          <w:p>
            <w:pPr>
              <w:spacing w:after="0"/>
              <w:rPr>
                <w:sz w:val="5"/>
                <w:szCs w:val="5"/>
                <w:color w:val="auto"/>
              </w:rPr>
            </w:pPr>
          </w:p>
        </w:tc>
        <w:tc>
          <w:tcPr>
            <w:tcW w:w="6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80" w:type="dxa"/>
            <w:vAlign w:val="bottom"/>
            <w:tcBorders>
              <w:bottom w:val="single" w:sz="8" w:color="0CD973"/>
            </w:tcBorders>
          </w:tcPr>
          <w:p>
            <w:pPr>
              <w:spacing w:after="0"/>
              <w:rPr>
                <w:sz w:val="5"/>
                <w:szCs w:val="5"/>
                <w:color w:val="auto"/>
              </w:rPr>
            </w:pPr>
          </w:p>
        </w:tc>
        <w:tc>
          <w:tcPr>
            <w:tcW w:w="40" w:type="dxa"/>
            <w:vAlign w:val="bottom"/>
            <w:tcBorders>
              <w:bottom w:val="single" w:sz="8" w:color="0CD973"/>
            </w:tcBorders>
          </w:tcPr>
          <w:p>
            <w:pPr>
              <w:spacing w:after="0"/>
              <w:rPr>
                <w:sz w:val="5"/>
                <w:szCs w:val="5"/>
                <w:color w:val="auto"/>
              </w:rPr>
            </w:pPr>
          </w:p>
        </w:tc>
        <w:tc>
          <w:tcPr>
            <w:tcW w:w="10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100" w:type="dxa"/>
            <w:vAlign w:val="bottom"/>
            <w:tcBorders>
              <w:bottom w:val="single" w:sz="8" w:color="0CD973"/>
            </w:tcBorders>
          </w:tcPr>
          <w:p>
            <w:pPr>
              <w:spacing w:after="0"/>
              <w:rPr>
                <w:sz w:val="5"/>
                <w:szCs w:val="5"/>
                <w:color w:val="auto"/>
              </w:rPr>
            </w:pPr>
          </w:p>
        </w:tc>
        <w:tc>
          <w:tcPr>
            <w:tcW w:w="40" w:type="dxa"/>
            <w:vAlign w:val="bottom"/>
            <w:tcBorders>
              <w:bottom w:val="single" w:sz="8" w:color="0CD973"/>
            </w:tcBorders>
          </w:tcPr>
          <w:p>
            <w:pPr>
              <w:spacing w:after="0"/>
              <w:rPr>
                <w:sz w:val="5"/>
                <w:szCs w:val="5"/>
                <w:color w:val="auto"/>
              </w:rPr>
            </w:pPr>
          </w:p>
        </w:tc>
        <w:tc>
          <w:tcPr>
            <w:tcW w:w="4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80" w:type="dxa"/>
            <w:vAlign w:val="bottom"/>
            <w:tcBorders>
              <w:bottom w:val="single" w:sz="8" w:color="0CD973"/>
            </w:tcBorders>
          </w:tcPr>
          <w:p>
            <w:pPr>
              <w:spacing w:after="0"/>
              <w:rPr>
                <w:sz w:val="5"/>
                <w:szCs w:val="5"/>
                <w:color w:val="auto"/>
              </w:rPr>
            </w:pPr>
          </w:p>
        </w:tc>
        <w:tc>
          <w:tcPr>
            <w:tcW w:w="10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140" w:type="dxa"/>
            <w:vAlign w:val="bottom"/>
            <w:tcBorders>
              <w:bottom w:val="single" w:sz="8" w:color="0CD973"/>
            </w:tcBorders>
          </w:tcPr>
          <w:p>
            <w:pPr>
              <w:spacing w:after="0"/>
              <w:rPr>
                <w:sz w:val="5"/>
                <w:szCs w:val="5"/>
                <w:color w:val="auto"/>
              </w:rPr>
            </w:pPr>
          </w:p>
        </w:tc>
        <w:tc>
          <w:tcPr>
            <w:tcW w:w="120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c>
          <w:tcPr>
            <w:tcW w:w="1113" w:type="dxa"/>
            <w:vAlign w:val="bottom"/>
            <w:tcBorders>
              <w:bottom w:val="single" w:sz="8" w:color="0CD973"/>
            </w:tcBorders>
          </w:tcPr>
          <w:p>
            <w:pPr>
              <w:spacing w:after="0"/>
              <w:rPr>
                <w:sz w:val="5"/>
                <w:szCs w:val="5"/>
                <w:color w:val="auto"/>
              </w:rPr>
            </w:pPr>
          </w:p>
        </w:tc>
        <w:tc>
          <w:tcPr>
            <w:tcW w:w="928" w:type="dxa"/>
            <w:vAlign w:val="bottom"/>
            <w:tcBorders>
              <w:bottom w:val="single" w:sz="8" w:color="0CD973"/>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-3917315</wp:posOffset>
            </wp:positionV>
            <wp:extent cx="307721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9">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394335</wp:posOffset>
            </wp:positionV>
            <wp:extent cx="728980" cy="1885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115</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700" w:type="dxa"/>
            <w:vAlign w:val="bottom"/>
            <w:tcBorders>
              <w:left w:val="single" w:sz="8" w:color="004054"/>
            </w:tcBorders>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72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740" w:type="dxa"/>
            <w:vAlign w:val="bottom"/>
            <w:shd w:val="clear" w:color="auto" w:fill="004054"/>
          </w:tcPr>
          <w:p>
            <w:pPr>
              <w:spacing w:after="0"/>
              <w:rPr>
                <w:sz w:val="16"/>
                <w:szCs w:val="16"/>
                <w:color w:val="auto"/>
              </w:rPr>
            </w:pPr>
          </w:p>
        </w:tc>
        <w:tc>
          <w:tcPr>
            <w:tcW w:w="100" w:type="dxa"/>
            <w:vAlign w:val="bottom"/>
            <w:tcBorders>
              <w:left w:val="single" w:sz="8" w:color="004054"/>
            </w:tcBorders>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12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580" w:type="dxa"/>
            <w:vAlign w:val="bottom"/>
            <w:shd w:val="clear" w:color="auto" w:fill="004054"/>
          </w:tcPr>
          <w:p>
            <w:pPr>
              <w:jc w:val="right"/>
              <w:ind w:right="72"/>
              <w:spacing w:after="0"/>
              <w:rPr>
                <w:sz w:val="20"/>
                <w:szCs w:val="20"/>
                <w:color w:val="auto"/>
              </w:rPr>
            </w:pPr>
            <w:r>
              <w:rPr>
                <w:rFonts w:ascii="Calibri" w:cs="Calibri" w:eastAsia="Calibri" w:hAnsi="Calibri"/>
                <w:sz w:val="14"/>
                <w:szCs w:val="14"/>
                <w:b w:val="1"/>
                <w:bCs w:val="1"/>
                <w:color w:val="FFFFFF"/>
              </w:rPr>
              <w:t>Filed In</w:t>
            </w:r>
          </w:p>
        </w:tc>
        <w:tc>
          <w:tcPr>
            <w:tcW w:w="1113" w:type="dxa"/>
            <w:vAlign w:val="bottom"/>
            <w:shd w:val="clear" w:color="auto" w:fill="004054"/>
          </w:tcPr>
          <w:p>
            <w:pPr>
              <w:spacing w:after="0"/>
              <w:rPr>
                <w:sz w:val="16"/>
                <w:szCs w:val="16"/>
                <w:color w:val="auto"/>
              </w:rPr>
            </w:pPr>
          </w:p>
        </w:tc>
        <w:tc>
          <w:tcPr>
            <w:tcW w:w="928"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40" w:type="dxa"/>
            <w:vAlign w:val="bottom"/>
            <w:gridSpan w:val="4"/>
            <w:shd w:val="clear" w:color="auto" w:fill="004054"/>
          </w:tcPr>
          <w:p>
            <w:pPr>
              <w:jc w:val="center"/>
              <w:ind w:left="393"/>
              <w:spacing w:after="0"/>
              <w:rPr>
                <w:sz w:val="20"/>
                <w:szCs w:val="20"/>
                <w:color w:val="auto"/>
              </w:rPr>
            </w:pPr>
            <w:r>
              <w:rPr>
                <w:rFonts w:ascii="Calibri" w:cs="Calibri" w:eastAsia="Calibri" w:hAnsi="Calibri"/>
                <w:sz w:val="14"/>
                <w:szCs w:val="14"/>
                <w:b w:val="1"/>
                <w:bCs w:val="1"/>
                <w:color w:val="FFFFFF"/>
              </w:rPr>
              <w:t>Exhibit</w:t>
            </w:r>
          </w:p>
        </w:tc>
        <w:tc>
          <w:tcPr>
            <w:tcW w:w="700" w:type="dxa"/>
            <w:vAlign w:val="bottom"/>
            <w:tcBorders>
              <w:left w:val="single" w:sz="8" w:color="004054"/>
            </w:tcBorders>
            <w:shd w:val="clear" w:color="auto" w:fill="004054"/>
          </w:tcPr>
          <w:p>
            <w:pPr>
              <w:spacing w:after="0"/>
              <w:rPr>
                <w:sz w:val="20"/>
                <w:szCs w:val="20"/>
                <w:color w:val="auto"/>
              </w:rPr>
            </w:pPr>
          </w:p>
        </w:tc>
        <w:tc>
          <w:tcPr>
            <w:tcW w:w="300" w:type="dxa"/>
            <w:vAlign w:val="bottom"/>
            <w:shd w:val="clear" w:color="auto" w:fill="004054"/>
          </w:tcPr>
          <w:p>
            <w:pPr>
              <w:spacing w:after="0"/>
              <w:rPr>
                <w:sz w:val="20"/>
                <w:szCs w:val="20"/>
                <w:color w:val="auto"/>
              </w:rPr>
            </w:pPr>
          </w:p>
        </w:tc>
        <w:tc>
          <w:tcPr>
            <w:tcW w:w="300" w:type="dxa"/>
            <w:vAlign w:val="bottom"/>
            <w:shd w:val="clear" w:color="auto" w:fill="004054"/>
          </w:tcPr>
          <w:p>
            <w:pPr>
              <w:spacing w:after="0"/>
              <w:rPr>
                <w:sz w:val="20"/>
                <w:szCs w:val="20"/>
                <w:color w:val="auto"/>
              </w:rPr>
            </w:pPr>
          </w:p>
        </w:tc>
        <w:tc>
          <w:tcPr>
            <w:tcW w:w="16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220" w:type="dxa"/>
            <w:vAlign w:val="bottom"/>
            <w:shd w:val="clear" w:color="auto" w:fill="004054"/>
          </w:tcPr>
          <w:p>
            <w:pPr>
              <w:spacing w:after="0"/>
              <w:rPr>
                <w:sz w:val="20"/>
                <w:szCs w:val="20"/>
                <w:color w:val="auto"/>
              </w:rPr>
            </w:pPr>
          </w:p>
        </w:tc>
        <w:tc>
          <w:tcPr>
            <w:tcW w:w="380" w:type="dxa"/>
            <w:vAlign w:val="bottom"/>
            <w:shd w:val="clear" w:color="auto" w:fill="004054"/>
          </w:tcPr>
          <w:p>
            <w:pPr>
              <w:spacing w:after="0"/>
              <w:rPr>
                <w:sz w:val="20"/>
                <w:szCs w:val="20"/>
                <w:color w:val="auto"/>
              </w:rPr>
            </w:pPr>
          </w:p>
        </w:tc>
        <w:tc>
          <w:tcPr>
            <w:tcW w:w="172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740" w:type="dxa"/>
            <w:vAlign w:val="bottom"/>
            <w:shd w:val="clear" w:color="auto" w:fill="004054"/>
          </w:tcPr>
          <w:p>
            <w:pPr>
              <w:spacing w:after="0"/>
              <w:rPr>
                <w:sz w:val="20"/>
                <w:szCs w:val="20"/>
                <w:color w:val="auto"/>
              </w:rPr>
            </w:pPr>
          </w:p>
        </w:tc>
        <w:tc>
          <w:tcPr>
            <w:tcW w:w="100" w:type="dxa"/>
            <w:vAlign w:val="bottom"/>
            <w:tcBorders>
              <w:left w:val="single" w:sz="8" w:color="004054"/>
            </w:tcBorders>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120" w:type="dxa"/>
            <w:vAlign w:val="bottom"/>
            <w:shd w:val="clear" w:color="auto" w:fill="004054"/>
          </w:tcPr>
          <w:p>
            <w:pPr>
              <w:spacing w:after="0"/>
              <w:rPr>
                <w:sz w:val="20"/>
                <w:szCs w:val="20"/>
                <w:color w:val="auto"/>
              </w:rPr>
            </w:pPr>
          </w:p>
        </w:tc>
        <w:tc>
          <w:tcPr>
            <w:tcW w:w="1200" w:type="dxa"/>
            <w:vAlign w:val="bottom"/>
            <w:shd w:val="clear" w:color="auto" w:fill="004054"/>
          </w:tcPr>
          <w:p>
            <w:pPr>
              <w:jc w:val="center"/>
              <w:ind w:right="12"/>
              <w:spacing w:after="0"/>
              <w:rPr>
                <w:sz w:val="20"/>
                <w:szCs w:val="20"/>
                <w:color w:val="auto"/>
              </w:rPr>
            </w:pPr>
            <w:r>
              <w:rPr>
                <w:rFonts w:ascii="Calibri" w:cs="Calibri" w:eastAsia="Calibri" w:hAnsi="Calibri"/>
                <w:sz w:val="14"/>
                <w:szCs w:val="14"/>
                <w:b w:val="1"/>
                <w:bCs w:val="1"/>
                <w:color w:val="FFFFFF"/>
              </w:rPr>
              <w:t>Registrant’s</w:t>
            </w:r>
          </w:p>
        </w:tc>
        <w:tc>
          <w:tcPr>
            <w:tcW w:w="1580" w:type="dxa"/>
            <w:vAlign w:val="bottom"/>
            <w:shd w:val="clear" w:color="auto" w:fill="004054"/>
          </w:tcPr>
          <w:p>
            <w:pPr>
              <w:spacing w:after="0"/>
              <w:rPr>
                <w:sz w:val="20"/>
                <w:szCs w:val="20"/>
                <w:color w:val="auto"/>
              </w:rPr>
            </w:pPr>
          </w:p>
        </w:tc>
        <w:tc>
          <w:tcPr>
            <w:tcW w:w="1113" w:type="dxa"/>
            <w:vAlign w:val="bottom"/>
            <w:shd w:val="clear" w:color="auto" w:fill="004054"/>
          </w:tcPr>
          <w:p>
            <w:pPr>
              <w:jc w:val="right"/>
              <w:ind w:right="405"/>
              <w:spacing w:after="0"/>
              <w:rPr>
                <w:sz w:val="20"/>
                <w:szCs w:val="20"/>
                <w:color w:val="auto"/>
              </w:rPr>
            </w:pPr>
            <w:r>
              <w:rPr>
                <w:rFonts w:ascii="Calibri" w:cs="Calibri" w:eastAsia="Calibri" w:hAnsi="Calibri"/>
                <w:sz w:val="14"/>
                <w:szCs w:val="14"/>
                <w:b w:val="1"/>
                <w:bCs w:val="1"/>
                <w:color w:val="FFFFFF"/>
              </w:rPr>
              <w:t>Exhibit</w:t>
            </w: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Filed</w:t>
            </w:r>
          </w:p>
        </w:tc>
        <w:tc>
          <w:tcPr>
            <w:tcW w:w="20" w:type="dxa"/>
            <w:vAlign w:val="bottom"/>
            <w:shd w:val="clear" w:color="auto" w:fill="004054"/>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40" w:type="dxa"/>
            <w:vAlign w:val="bottom"/>
            <w:gridSpan w:val="4"/>
            <w:shd w:val="clear" w:color="auto" w:fill="004054"/>
          </w:tcPr>
          <w:p>
            <w:pPr>
              <w:jc w:val="center"/>
              <w:ind w:left="373"/>
              <w:spacing w:after="0"/>
              <w:rPr>
                <w:sz w:val="20"/>
                <w:szCs w:val="20"/>
                <w:color w:val="auto"/>
              </w:rPr>
            </w:pPr>
            <w:r>
              <w:rPr>
                <w:rFonts w:ascii="Calibri" w:cs="Calibri" w:eastAsia="Calibri" w:hAnsi="Calibri"/>
                <w:sz w:val="14"/>
                <w:szCs w:val="14"/>
                <w:b w:val="1"/>
                <w:bCs w:val="1"/>
                <w:color w:val="FFFFFF"/>
              </w:rPr>
              <w:t>Number</w:t>
            </w:r>
          </w:p>
        </w:tc>
        <w:tc>
          <w:tcPr>
            <w:tcW w:w="700" w:type="dxa"/>
            <w:vAlign w:val="bottom"/>
            <w:tcBorders>
              <w:left w:val="single" w:sz="8" w:color="004054"/>
            </w:tcBorders>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16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220" w:type="dxa"/>
            <w:vAlign w:val="bottom"/>
            <w:shd w:val="clear" w:color="auto" w:fill="004054"/>
          </w:tcPr>
          <w:p>
            <w:pPr>
              <w:spacing w:after="0"/>
              <w:rPr>
                <w:sz w:val="15"/>
                <w:szCs w:val="15"/>
                <w:color w:val="auto"/>
              </w:rPr>
            </w:pPr>
          </w:p>
        </w:tc>
        <w:tc>
          <w:tcPr>
            <w:tcW w:w="380" w:type="dxa"/>
            <w:vAlign w:val="bottom"/>
            <w:shd w:val="clear" w:color="auto" w:fill="004054"/>
          </w:tcPr>
          <w:p>
            <w:pPr>
              <w:spacing w:after="0"/>
              <w:rPr>
                <w:sz w:val="15"/>
                <w:szCs w:val="15"/>
                <w:color w:val="auto"/>
              </w:rPr>
            </w:pPr>
          </w:p>
        </w:tc>
        <w:tc>
          <w:tcPr>
            <w:tcW w:w="3280" w:type="dxa"/>
            <w:vAlign w:val="bottom"/>
            <w:gridSpan w:val="17"/>
            <w:shd w:val="clear" w:color="auto" w:fill="004054"/>
          </w:tcPr>
          <w:p>
            <w:pPr>
              <w:ind w:left="80"/>
              <w:spacing w:after="0"/>
              <w:rPr>
                <w:sz w:val="20"/>
                <w:szCs w:val="20"/>
                <w:color w:val="auto"/>
              </w:rPr>
            </w:pPr>
            <w:r>
              <w:rPr>
                <w:rFonts w:ascii="Calibri" w:cs="Calibri" w:eastAsia="Calibri" w:hAnsi="Calibri"/>
                <w:sz w:val="14"/>
                <w:szCs w:val="14"/>
                <w:b w:val="1"/>
                <w:bCs w:val="1"/>
                <w:color w:val="FFFFFF"/>
              </w:rPr>
              <w:t>Descripton of Document</w:t>
            </w:r>
          </w:p>
        </w:tc>
        <w:tc>
          <w:tcPr>
            <w:tcW w:w="1200" w:type="dxa"/>
            <w:vAlign w:val="bottom"/>
            <w:shd w:val="clear" w:color="auto" w:fill="004054"/>
          </w:tcPr>
          <w:p>
            <w:pPr>
              <w:jc w:val="center"/>
              <w:ind w:right="12"/>
              <w:spacing w:after="0"/>
              <w:rPr>
                <w:sz w:val="20"/>
                <w:szCs w:val="20"/>
                <w:color w:val="auto"/>
              </w:rPr>
            </w:pPr>
            <w:r>
              <w:rPr>
                <w:rFonts w:ascii="Calibri" w:cs="Calibri" w:eastAsia="Calibri" w:hAnsi="Calibri"/>
                <w:sz w:val="14"/>
                <w:szCs w:val="14"/>
                <w:b w:val="1"/>
                <w:bCs w:val="1"/>
                <w:color w:val="FFFFFF"/>
                <w:w w:val="98"/>
              </w:rPr>
              <w:t>Form</w:t>
            </w:r>
          </w:p>
        </w:tc>
        <w:tc>
          <w:tcPr>
            <w:tcW w:w="1580" w:type="dxa"/>
            <w:vAlign w:val="bottom"/>
            <w:shd w:val="clear" w:color="auto" w:fill="004054"/>
          </w:tcPr>
          <w:p>
            <w:pPr>
              <w:jc w:val="right"/>
              <w:ind w:right="672"/>
              <w:spacing w:after="0"/>
              <w:rPr>
                <w:sz w:val="20"/>
                <w:szCs w:val="20"/>
                <w:color w:val="auto"/>
              </w:rPr>
            </w:pPr>
            <w:r>
              <w:rPr>
                <w:rFonts w:ascii="Calibri" w:cs="Calibri" w:eastAsia="Calibri" w:hAnsi="Calibri"/>
                <w:sz w:val="14"/>
                <w:szCs w:val="14"/>
                <w:b w:val="1"/>
                <w:bCs w:val="1"/>
                <w:color w:val="FFFFFF"/>
              </w:rPr>
              <w:t>Dated</w:t>
            </w:r>
          </w:p>
        </w:tc>
        <w:tc>
          <w:tcPr>
            <w:tcW w:w="1113" w:type="dxa"/>
            <w:vAlign w:val="bottom"/>
            <w:shd w:val="clear" w:color="auto" w:fill="004054"/>
          </w:tcPr>
          <w:p>
            <w:pPr>
              <w:jc w:val="right"/>
              <w:ind w:right="365"/>
              <w:spacing w:after="0"/>
              <w:rPr>
                <w:sz w:val="20"/>
                <w:szCs w:val="20"/>
                <w:color w:val="auto"/>
              </w:rPr>
            </w:pPr>
            <w:r>
              <w:rPr>
                <w:rFonts w:ascii="Calibri" w:cs="Calibri" w:eastAsia="Calibri" w:hAnsi="Calibri"/>
                <w:sz w:val="14"/>
                <w:szCs w:val="14"/>
                <w:b w:val="1"/>
                <w:bCs w:val="1"/>
                <w:color w:val="FFFFFF"/>
              </w:rPr>
              <w:t>Number</w:t>
            </w: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Herewith</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700" w:type="dxa"/>
            <w:vAlign w:val="bottom"/>
            <w:tcBorders>
              <w:left w:val="single" w:sz="8" w:color="004054"/>
            </w:tcBorders>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16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380" w:type="dxa"/>
            <w:vAlign w:val="bottom"/>
            <w:shd w:val="clear" w:color="auto" w:fill="004054"/>
          </w:tcPr>
          <w:p>
            <w:pPr>
              <w:spacing w:after="0"/>
              <w:rPr>
                <w:sz w:val="6"/>
                <w:szCs w:val="6"/>
                <w:color w:val="auto"/>
              </w:rPr>
            </w:pPr>
          </w:p>
        </w:tc>
        <w:tc>
          <w:tcPr>
            <w:tcW w:w="172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740" w:type="dxa"/>
            <w:vAlign w:val="bottom"/>
            <w:shd w:val="clear" w:color="auto" w:fill="004054"/>
          </w:tcPr>
          <w:p>
            <w:pPr>
              <w:spacing w:after="0"/>
              <w:rPr>
                <w:sz w:val="6"/>
                <w:szCs w:val="6"/>
                <w:color w:val="auto"/>
              </w:rPr>
            </w:pPr>
          </w:p>
        </w:tc>
        <w:tc>
          <w:tcPr>
            <w:tcW w:w="100" w:type="dxa"/>
            <w:vAlign w:val="bottom"/>
            <w:tcBorders>
              <w:left w:val="single" w:sz="8" w:color="004054"/>
            </w:tcBorders>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12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1580" w:type="dxa"/>
            <w:vAlign w:val="bottom"/>
            <w:shd w:val="clear" w:color="auto" w:fill="004054"/>
          </w:tcPr>
          <w:p>
            <w:pPr>
              <w:spacing w:after="0"/>
              <w:rPr>
                <w:sz w:val="6"/>
                <w:szCs w:val="6"/>
                <w:color w:val="auto"/>
              </w:rPr>
            </w:pPr>
          </w:p>
        </w:tc>
        <w:tc>
          <w:tcPr>
            <w:tcW w:w="1113" w:type="dxa"/>
            <w:vAlign w:val="bottom"/>
            <w:shd w:val="clear" w:color="auto" w:fill="004054"/>
          </w:tcPr>
          <w:p>
            <w:pPr>
              <w:spacing w:after="0"/>
              <w:rPr>
                <w:sz w:val="6"/>
                <w:szCs w:val="6"/>
                <w:color w:val="auto"/>
              </w:rPr>
            </w:pPr>
          </w:p>
        </w:tc>
        <w:tc>
          <w:tcPr>
            <w:tcW w:w="928"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940" w:type="dxa"/>
            <w:vAlign w:val="bottom"/>
            <w:gridSpan w:val="4"/>
            <w:vMerge w:val="restart"/>
            <w:shd w:val="clear" w:color="auto" w:fill="EBFBFF"/>
          </w:tcPr>
          <w:p>
            <w:pPr>
              <w:jc w:val="right"/>
              <w:spacing w:after="0"/>
              <w:rPr>
                <w:rFonts w:ascii="Calibri" w:cs="Calibri" w:eastAsia="Calibri" w:hAnsi="Calibri"/>
                <w:sz w:val="18"/>
                <w:szCs w:val="18"/>
                <w:color w:val="7A04DD"/>
              </w:rPr>
            </w:pPr>
            <w:hyperlink r:id="rId503">
              <w:r>
                <w:rPr>
                  <w:rFonts w:ascii="Calibri" w:cs="Calibri" w:eastAsia="Calibri" w:hAnsi="Calibri"/>
                  <w:sz w:val="18"/>
                  <w:szCs w:val="18"/>
                  <w:color w:val="7A04DD"/>
                </w:rPr>
                <w:t>4.3</w:t>
              </w:r>
            </w:hyperlink>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3"/>
            <w:shd w:val="clear" w:color="auto" w:fill="EBFBFF"/>
          </w:tcPr>
          <w:p>
            <w:pPr>
              <w:spacing w:after="0" w:line="189" w:lineRule="exact"/>
              <w:rPr>
                <w:rFonts w:ascii="Calibri" w:cs="Calibri" w:eastAsia="Calibri" w:hAnsi="Calibri"/>
                <w:sz w:val="18"/>
                <w:szCs w:val="18"/>
                <w:color w:val="7A04DD"/>
              </w:rPr>
            </w:pPr>
            <w:hyperlink r:id="rId503">
              <w:r>
                <w:rPr>
                  <w:rFonts w:ascii="Calibri" w:cs="Calibri" w:eastAsia="Calibri" w:hAnsi="Calibri"/>
                  <w:sz w:val="18"/>
                  <w:szCs w:val="18"/>
                  <w:color w:val="7A04DD"/>
                </w:rPr>
                <w:t>Amendment to Stockholder Rights Agreement, dated as of</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10/2/2023</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4.2</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gridSpan w:val="4"/>
            <w:vMerge w:val="continue"/>
            <w:shd w:val="clear" w:color="auto" w:fill="EBFBFF"/>
          </w:tcPr>
          <w:p>
            <w:pPr>
              <w:spacing w:after="0" w:line="20" w:lineRule="exact"/>
              <w:rPr>
                <w:sz w:val="1"/>
                <w:szCs w:val="1"/>
                <w:color w:val="auto"/>
              </w:rPr>
            </w:pPr>
          </w:p>
        </w:tc>
        <w:tc>
          <w:tcPr>
            <w:tcW w:w="700" w:type="dxa"/>
            <w:vAlign w:val="bottom"/>
            <w:tcBorders>
              <w:left w:val="single" w:sz="8" w:color="EBFBFF"/>
            </w:tcBorders>
            <w:shd w:val="clear" w:color="auto" w:fill="EBFBFF"/>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16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380" w:type="dxa"/>
            <w:vAlign w:val="bottom"/>
            <w:shd w:val="clear" w:color="auto" w:fill="7A04DD"/>
          </w:tcPr>
          <w:p>
            <w:pPr>
              <w:spacing w:after="0" w:line="20" w:lineRule="exact"/>
              <w:rPr>
                <w:sz w:val="1"/>
                <w:szCs w:val="1"/>
                <w:color w:val="auto"/>
              </w:rPr>
            </w:pPr>
          </w:p>
        </w:tc>
        <w:tc>
          <w:tcPr>
            <w:tcW w:w="172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100" w:type="dxa"/>
            <w:vAlign w:val="bottom"/>
            <w:tcBorders>
              <w:left w:val="single" w:sz="8" w:color="EBFBFF"/>
            </w:tcBorders>
            <w:shd w:val="clear" w:color="auto" w:fill="EBFBFF"/>
          </w:tcPr>
          <w:p>
            <w:pPr>
              <w:spacing w:after="0" w:line="20" w:lineRule="exact"/>
              <w:rPr>
                <w:sz w:val="1"/>
                <w:szCs w:val="1"/>
                <w:color w:val="auto"/>
              </w:rPr>
            </w:pPr>
          </w:p>
        </w:tc>
        <w:tc>
          <w:tcPr>
            <w:tcW w:w="80" w:type="dxa"/>
            <w:vAlign w:val="bottom"/>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60" w:type="dxa"/>
            <w:vAlign w:val="bottom"/>
            <w:shd w:val="clear" w:color="auto" w:fill="EBFBFF"/>
          </w:tcPr>
          <w:p>
            <w:pPr>
              <w:spacing w:after="0" w:line="20" w:lineRule="exact"/>
              <w:rPr>
                <w:sz w:val="1"/>
                <w:szCs w:val="1"/>
                <w:color w:val="auto"/>
              </w:rPr>
            </w:pPr>
          </w:p>
        </w:tc>
        <w:tc>
          <w:tcPr>
            <w:tcW w:w="60" w:type="dxa"/>
            <w:vAlign w:val="bottom"/>
            <w:shd w:val="clear" w:color="auto" w:fill="EBFBFF"/>
          </w:tcPr>
          <w:p>
            <w:pPr>
              <w:spacing w:after="0" w:line="20" w:lineRule="exact"/>
              <w:rPr>
                <w:sz w:val="1"/>
                <w:szCs w:val="1"/>
                <w:color w:val="auto"/>
              </w:rPr>
            </w:pPr>
          </w:p>
        </w:tc>
        <w:tc>
          <w:tcPr>
            <w:tcW w:w="6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20" w:type="dxa"/>
            <w:vAlign w:val="bottom"/>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1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940" w:type="dxa"/>
            <w:vAlign w:val="bottom"/>
            <w:gridSpan w:val="4"/>
            <w:vMerge w:val="continue"/>
            <w:shd w:val="clear" w:color="auto" w:fill="EBFBFF"/>
          </w:tcPr>
          <w:p>
            <w:pPr>
              <w:spacing w:after="0"/>
              <w:rPr>
                <w:sz w:val="2"/>
                <w:szCs w:val="2"/>
                <w:color w:val="auto"/>
              </w:rPr>
            </w:pPr>
          </w:p>
        </w:tc>
        <w:tc>
          <w:tcPr>
            <w:tcW w:w="700" w:type="dxa"/>
            <w:vAlign w:val="bottom"/>
            <w:tcBorders>
              <w:left w:val="single" w:sz="8" w:color="EBFBFF"/>
            </w:tcBorders>
            <w:shd w:val="clear" w:color="auto" w:fill="EBFBFF"/>
          </w:tcPr>
          <w:p>
            <w:pPr>
              <w:spacing w:after="0"/>
              <w:rPr>
                <w:sz w:val="2"/>
                <w:szCs w:val="2"/>
                <w:color w:val="auto"/>
              </w:rPr>
            </w:pPr>
          </w:p>
        </w:tc>
        <w:tc>
          <w:tcPr>
            <w:tcW w:w="4780" w:type="dxa"/>
            <w:vAlign w:val="bottom"/>
            <w:gridSpan w:val="23"/>
            <w:vMerge w:val="restart"/>
            <w:shd w:val="clear" w:color="auto" w:fill="EBFBFF"/>
          </w:tcPr>
          <w:p>
            <w:pPr>
              <w:spacing w:after="0" w:line="196" w:lineRule="exact"/>
              <w:rPr>
                <w:rFonts w:ascii="Calibri" w:cs="Calibri" w:eastAsia="Calibri" w:hAnsi="Calibri"/>
                <w:sz w:val="18"/>
                <w:szCs w:val="18"/>
                <w:color w:val="7A04DD"/>
              </w:rPr>
            </w:pPr>
            <w:hyperlink r:id="rId503">
              <w:r>
                <w:rPr>
                  <w:rFonts w:ascii="Calibri" w:cs="Calibri" w:eastAsia="Calibri" w:hAnsi="Calibri"/>
                  <w:sz w:val="18"/>
                  <w:szCs w:val="18"/>
                  <w:color w:val="7A04DD"/>
                </w:rPr>
                <w:t>October 2, 2023, between Blackbaud, Inc. and Equinit Trust</w:t>
              </w:r>
            </w:hyperlink>
          </w:p>
        </w:tc>
        <w:tc>
          <w:tcPr>
            <w:tcW w:w="1200" w:type="dxa"/>
            <w:vAlign w:val="bottom"/>
            <w:shd w:val="clear" w:color="auto" w:fill="EBFBFF"/>
          </w:tcPr>
          <w:p>
            <w:pPr>
              <w:spacing w:after="0"/>
              <w:rPr>
                <w:sz w:val="2"/>
                <w:szCs w:val="2"/>
                <w:color w:val="auto"/>
              </w:rPr>
            </w:pPr>
          </w:p>
        </w:tc>
        <w:tc>
          <w:tcPr>
            <w:tcW w:w="1580" w:type="dxa"/>
            <w:vAlign w:val="bottom"/>
            <w:shd w:val="clear" w:color="auto" w:fill="EBFBFF"/>
          </w:tcPr>
          <w:p>
            <w:pPr>
              <w:spacing w:after="0"/>
              <w:rPr>
                <w:sz w:val="2"/>
                <w:szCs w:val="2"/>
                <w:color w:val="auto"/>
              </w:rPr>
            </w:pPr>
          </w:p>
        </w:tc>
        <w:tc>
          <w:tcPr>
            <w:tcW w:w="1113" w:type="dxa"/>
            <w:vAlign w:val="bottom"/>
            <w:shd w:val="clear" w:color="auto" w:fill="EBFBFF"/>
          </w:tcPr>
          <w:p>
            <w:pPr>
              <w:spacing w:after="0"/>
              <w:rPr>
                <w:sz w:val="2"/>
                <w:szCs w:val="2"/>
                <w:color w:val="auto"/>
              </w:rPr>
            </w:pPr>
          </w:p>
        </w:tc>
        <w:tc>
          <w:tcPr>
            <w:tcW w:w="928" w:type="dxa"/>
            <w:vAlign w:val="bottom"/>
            <w:shd w:val="clear" w:color="auto" w:fill="EBFB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Borders>
              <w:top w:val="single" w:sz="8" w:color="EBFBFF"/>
            </w:tcBorders>
            <w:shd w:val="clear" w:color="auto" w:fill="EBFBFF"/>
          </w:tcPr>
          <w:p>
            <w:pPr>
              <w:spacing w:after="0"/>
              <w:rPr>
                <w:sz w:val="12"/>
                <w:szCs w:val="12"/>
                <w:color w:val="auto"/>
              </w:rPr>
            </w:pPr>
          </w:p>
        </w:tc>
        <w:tc>
          <w:tcPr>
            <w:tcW w:w="100" w:type="dxa"/>
            <w:vAlign w:val="bottom"/>
            <w:tcBorders>
              <w:top w:val="single" w:sz="8" w:color="EBFBFF"/>
            </w:tcBorders>
            <w:shd w:val="clear" w:color="auto" w:fill="EBFBFF"/>
          </w:tcPr>
          <w:p>
            <w:pPr>
              <w:spacing w:after="0"/>
              <w:rPr>
                <w:sz w:val="12"/>
                <w:szCs w:val="12"/>
                <w:color w:val="auto"/>
              </w:rPr>
            </w:pPr>
          </w:p>
        </w:tc>
        <w:tc>
          <w:tcPr>
            <w:tcW w:w="80" w:type="dxa"/>
            <w:vAlign w:val="bottom"/>
            <w:tcBorders>
              <w:top w:val="single" w:sz="8" w:color="EBFBFF"/>
            </w:tcBorders>
            <w:shd w:val="clear" w:color="auto" w:fill="EBFBFF"/>
          </w:tcPr>
          <w:p>
            <w:pPr>
              <w:spacing w:after="0"/>
              <w:rPr>
                <w:sz w:val="12"/>
                <w:szCs w:val="12"/>
                <w:color w:val="auto"/>
              </w:rPr>
            </w:pPr>
          </w:p>
        </w:tc>
        <w:tc>
          <w:tcPr>
            <w:tcW w:w="220" w:type="dxa"/>
            <w:vAlign w:val="bottom"/>
            <w:tcBorders>
              <w:top w:val="single" w:sz="8" w:color="7A04DD"/>
            </w:tcBorders>
            <w:shd w:val="clear" w:color="auto" w:fill="EBFBFF"/>
          </w:tcPr>
          <w:p>
            <w:pPr>
              <w:spacing w:after="0"/>
              <w:rPr>
                <w:sz w:val="12"/>
                <w:szCs w:val="12"/>
                <w:color w:val="auto"/>
              </w:rPr>
            </w:pPr>
          </w:p>
        </w:tc>
        <w:tc>
          <w:tcPr>
            <w:tcW w:w="700" w:type="dxa"/>
            <w:vAlign w:val="bottom"/>
            <w:tcBorders>
              <w:top w:val="single" w:sz="8" w:color="EBFBFF"/>
              <w:left w:val="single" w:sz="8" w:color="EBFBFF"/>
            </w:tcBorders>
            <w:shd w:val="clear" w:color="auto" w:fill="EBFBFF"/>
          </w:tcPr>
          <w:p>
            <w:pPr>
              <w:spacing w:after="0"/>
              <w:rPr>
                <w:sz w:val="12"/>
                <w:szCs w:val="12"/>
                <w:color w:val="auto"/>
              </w:rPr>
            </w:pPr>
          </w:p>
        </w:tc>
        <w:tc>
          <w:tcPr>
            <w:tcW w:w="4780" w:type="dxa"/>
            <w:vAlign w:val="bottom"/>
            <w:tcBorders>
              <w:top w:val="single" w:sz="8" w:color="EBFBFF"/>
            </w:tcBorders>
            <w:gridSpan w:val="23"/>
            <w:vMerge w:val="continue"/>
            <w:shd w:val="clear" w:color="auto" w:fill="EBFBFF"/>
          </w:tcPr>
          <w:p>
            <w:pPr>
              <w:spacing w:after="0"/>
              <w:rPr>
                <w:sz w:val="12"/>
                <w:szCs w:val="12"/>
                <w:color w:val="auto"/>
              </w:rPr>
            </w:pPr>
          </w:p>
        </w:tc>
        <w:tc>
          <w:tcPr>
            <w:tcW w:w="1200" w:type="dxa"/>
            <w:vAlign w:val="bottom"/>
            <w:tcBorders>
              <w:top w:val="single" w:sz="8" w:color="EBFBFF"/>
            </w:tcBorders>
            <w:shd w:val="clear" w:color="auto" w:fill="EBFBFF"/>
          </w:tcPr>
          <w:p>
            <w:pPr>
              <w:spacing w:after="0"/>
              <w:rPr>
                <w:sz w:val="12"/>
                <w:szCs w:val="12"/>
                <w:color w:val="auto"/>
              </w:rPr>
            </w:pPr>
          </w:p>
        </w:tc>
        <w:tc>
          <w:tcPr>
            <w:tcW w:w="1580" w:type="dxa"/>
            <w:vAlign w:val="bottom"/>
            <w:tcBorders>
              <w:top w:val="single" w:sz="8" w:color="EBFBFF"/>
            </w:tcBorders>
            <w:shd w:val="clear" w:color="auto" w:fill="EBFBFF"/>
          </w:tcPr>
          <w:p>
            <w:pPr>
              <w:spacing w:after="0"/>
              <w:rPr>
                <w:sz w:val="12"/>
                <w:szCs w:val="12"/>
                <w:color w:val="auto"/>
              </w:rPr>
            </w:pPr>
          </w:p>
        </w:tc>
        <w:tc>
          <w:tcPr>
            <w:tcW w:w="1113" w:type="dxa"/>
            <w:vAlign w:val="bottom"/>
            <w:tcBorders>
              <w:top w:val="single" w:sz="8" w:color="EBFBFF"/>
            </w:tcBorders>
            <w:shd w:val="clear" w:color="auto" w:fill="EBFBFF"/>
          </w:tcPr>
          <w:p>
            <w:pPr>
              <w:spacing w:after="0"/>
              <w:rPr>
                <w:sz w:val="12"/>
                <w:szCs w:val="12"/>
                <w:color w:val="auto"/>
              </w:rPr>
            </w:pPr>
          </w:p>
        </w:tc>
        <w:tc>
          <w:tcPr>
            <w:tcW w:w="928" w:type="dxa"/>
            <w:vAlign w:val="bottom"/>
            <w:tcBorders>
              <w:top w:val="single" w:sz="8" w:color="EBFBFF"/>
            </w:tcBorders>
            <w:shd w:val="clear" w:color="auto" w:fill="EBFB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80" w:type="dxa"/>
            <w:vAlign w:val="bottom"/>
            <w:shd w:val="clear" w:color="auto" w:fill="EBFBFF"/>
          </w:tcPr>
          <w:p>
            <w:pPr>
              <w:spacing w:after="0" w:line="20" w:lineRule="exact"/>
              <w:rPr>
                <w:sz w:val="1"/>
                <w:szCs w:val="1"/>
                <w:color w:val="auto"/>
              </w:rPr>
            </w:pPr>
          </w:p>
        </w:tc>
        <w:tc>
          <w:tcPr>
            <w:tcW w:w="220" w:type="dxa"/>
            <w:vAlign w:val="bottom"/>
            <w:shd w:val="clear" w:color="auto" w:fill="EBFBFF"/>
          </w:tcPr>
          <w:p>
            <w:pPr>
              <w:spacing w:after="0" w:line="20" w:lineRule="exact"/>
              <w:rPr>
                <w:sz w:val="1"/>
                <w:szCs w:val="1"/>
                <w:color w:val="auto"/>
              </w:rPr>
            </w:pPr>
          </w:p>
        </w:tc>
        <w:tc>
          <w:tcPr>
            <w:tcW w:w="700" w:type="dxa"/>
            <w:vAlign w:val="bottom"/>
            <w:tcBorders>
              <w:left w:val="single" w:sz="8" w:color="EBFBFF"/>
            </w:tcBorders>
            <w:shd w:val="clear" w:color="auto" w:fill="EBFBFF"/>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16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380" w:type="dxa"/>
            <w:vAlign w:val="bottom"/>
            <w:shd w:val="clear" w:color="auto" w:fill="7A04DD"/>
          </w:tcPr>
          <w:p>
            <w:pPr>
              <w:spacing w:after="0" w:line="20" w:lineRule="exact"/>
              <w:rPr>
                <w:sz w:val="1"/>
                <w:szCs w:val="1"/>
                <w:color w:val="auto"/>
              </w:rPr>
            </w:pPr>
          </w:p>
        </w:tc>
        <w:tc>
          <w:tcPr>
            <w:tcW w:w="172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100" w:type="dxa"/>
            <w:vAlign w:val="bottom"/>
            <w:tcBorders>
              <w:left w:val="single" w:sz="8" w:color="7A04DD"/>
            </w:tcBorders>
            <w:shd w:val="clear" w:color="auto" w:fill="7A04DD"/>
          </w:tcPr>
          <w:p>
            <w:pPr>
              <w:spacing w:after="0" w:line="20" w:lineRule="exact"/>
              <w:rPr>
                <w:sz w:val="1"/>
                <w:szCs w:val="1"/>
                <w:color w:val="auto"/>
              </w:rPr>
            </w:pPr>
          </w:p>
        </w:tc>
        <w:tc>
          <w:tcPr>
            <w:tcW w:w="80" w:type="dxa"/>
            <w:vAlign w:val="bottom"/>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60" w:type="dxa"/>
            <w:vAlign w:val="bottom"/>
            <w:shd w:val="clear" w:color="auto" w:fill="EBFBFF"/>
          </w:tcPr>
          <w:p>
            <w:pPr>
              <w:spacing w:after="0" w:line="20" w:lineRule="exact"/>
              <w:rPr>
                <w:sz w:val="1"/>
                <w:szCs w:val="1"/>
                <w:color w:val="auto"/>
              </w:rPr>
            </w:pPr>
          </w:p>
        </w:tc>
        <w:tc>
          <w:tcPr>
            <w:tcW w:w="60" w:type="dxa"/>
            <w:vAlign w:val="bottom"/>
            <w:shd w:val="clear" w:color="auto" w:fill="EBFBFF"/>
          </w:tcPr>
          <w:p>
            <w:pPr>
              <w:spacing w:after="0" w:line="20" w:lineRule="exact"/>
              <w:rPr>
                <w:sz w:val="1"/>
                <w:szCs w:val="1"/>
                <w:color w:val="auto"/>
              </w:rPr>
            </w:pPr>
          </w:p>
        </w:tc>
        <w:tc>
          <w:tcPr>
            <w:tcW w:w="6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20" w:type="dxa"/>
            <w:vAlign w:val="bottom"/>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1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220" w:type="dxa"/>
            <w:vAlign w:val="bottom"/>
            <w:shd w:val="clear" w:color="auto" w:fill="EBFBFF"/>
          </w:tcPr>
          <w:p>
            <w:pPr>
              <w:spacing w:after="0"/>
              <w:rPr>
                <w:sz w:val="17"/>
                <w:szCs w:val="17"/>
                <w:color w:val="auto"/>
              </w:rPr>
            </w:pPr>
          </w:p>
        </w:tc>
        <w:tc>
          <w:tcPr>
            <w:tcW w:w="70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3"/>
            <w:shd w:val="clear" w:color="auto" w:fill="EBFBFF"/>
          </w:tcPr>
          <w:p>
            <w:pPr>
              <w:spacing w:after="0" w:line="196" w:lineRule="exact"/>
              <w:rPr>
                <w:rFonts w:ascii="Calibri" w:cs="Calibri" w:eastAsia="Calibri" w:hAnsi="Calibri"/>
                <w:sz w:val="18"/>
                <w:szCs w:val="18"/>
                <w:color w:val="7A04DD"/>
              </w:rPr>
            </w:pPr>
            <w:hyperlink r:id="rId503">
              <w:r>
                <w:rPr>
                  <w:rFonts w:ascii="Calibri" w:cs="Calibri" w:eastAsia="Calibri" w:hAnsi="Calibri"/>
                  <w:sz w:val="18"/>
                  <w:szCs w:val="18"/>
                  <w:color w:val="7A04DD"/>
                </w:rPr>
                <w:t>Company, LLC (f/k/a American Stock Transfer &amp; Trust Company,</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EBFBFF"/>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460" w:type="dxa"/>
            <w:vAlign w:val="bottom"/>
            <w:tcBorders>
              <w:top w:val="single" w:sz="8" w:color="7A04DD"/>
            </w:tcBorders>
            <w:gridSpan w:val="18"/>
            <w:shd w:val="clear" w:color="auto" w:fill="EBFBFF"/>
          </w:tcPr>
          <w:p>
            <w:pPr>
              <w:spacing w:after="0" w:line="196" w:lineRule="exact"/>
              <w:rPr>
                <w:rFonts w:ascii="Calibri" w:cs="Calibri" w:eastAsia="Calibri" w:hAnsi="Calibri"/>
                <w:sz w:val="18"/>
                <w:szCs w:val="18"/>
                <w:color w:val="7A04DD"/>
              </w:rPr>
            </w:pPr>
            <w:hyperlink r:id="rId503">
              <w:r>
                <w:rPr>
                  <w:rFonts w:ascii="Calibri" w:cs="Calibri" w:eastAsia="Calibri" w:hAnsi="Calibri"/>
                  <w:sz w:val="18"/>
                  <w:szCs w:val="18"/>
                  <w:color w:val="7A04DD"/>
                </w:rPr>
                <w:t>LLC), as Rights Agent.</w:t>
              </w:r>
            </w:hyperlink>
          </w:p>
        </w:tc>
        <w:tc>
          <w:tcPr>
            <w:tcW w:w="320" w:type="dxa"/>
            <w:vAlign w:val="bottom"/>
            <w:tcBorders>
              <w:top w:val="single" w:sz="8" w:color="EBFBFF"/>
            </w:tcBorders>
            <w:gridSpan w:val="5"/>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7A04DD"/>
            </w:tcBorders>
            <w:shd w:val="clear" w:color="auto" w:fill="EBFBFF"/>
          </w:tcPr>
          <w:p>
            <w:pPr>
              <w:spacing w:after="0"/>
              <w:rPr>
                <w:sz w:val="5"/>
                <w:szCs w:val="5"/>
                <w:color w:val="auto"/>
              </w:rPr>
            </w:pPr>
          </w:p>
        </w:tc>
        <w:tc>
          <w:tcPr>
            <w:tcW w:w="17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vMerge w:val="restart"/>
          </w:tcPr>
          <w:p>
            <w:pPr>
              <w:jc w:val="right"/>
              <w:spacing w:after="0"/>
              <w:rPr>
                <w:rFonts w:ascii="Calibri" w:cs="Calibri" w:eastAsia="Calibri" w:hAnsi="Calibri"/>
                <w:sz w:val="18"/>
                <w:szCs w:val="18"/>
                <w:color w:val="7A04DD"/>
              </w:rPr>
            </w:pPr>
            <w:hyperlink r:id="rId504">
              <w:r>
                <w:rPr>
                  <w:rFonts w:ascii="Calibri" w:cs="Calibri" w:eastAsia="Calibri" w:hAnsi="Calibri"/>
                  <w:sz w:val="18"/>
                  <w:szCs w:val="18"/>
                  <w:color w:val="7A04DD"/>
                </w:rPr>
                <w:t>4.</w:t>
              </w:r>
              <w:r>
                <w:rPr>
                  <w:rFonts w:ascii="Calibri" w:cs="Calibri" w:eastAsia="Calibri" w:hAnsi="Calibri"/>
                  <w:sz w:val="18"/>
                  <w:szCs w:val="18"/>
                  <w:u w:val="single" w:color="auto"/>
                  <w:color w:val="7A04DD"/>
                </w:rPr>
                <w:t>4</w:t>
              </w:r>
            </w:hyperlink>
          </w:p>
        </w:tc>
        <w:tc>
          <w:tcPr>
            <w:tcW w:w="700" w:type="dxa"/>
            <w:vAlign w:val="bottom"/>
          </w:tcPr>
          <w:p>
            <w:pPr>
              <w:spacing w:after="0"/>
              <w:rPr>
                <w:sz w:val="16"/>
                <w:szCs w:val="16"/>
                <w:color w:val="auto"/>
              </w:rPr>
            </w:pPr>
          </w:p>
        </w:tc>
        <w:tc>
          <w:tcPr>
            <w:tcW w:w="4780" w:type="dxa"/>
            <w:vAlign w:val="bottom"/>
            <w:gridSpan w:val="23"/>
          </w:tcPr>
          <w:p>
            <w:pPr>
              <w:spacing w:after="0" w:line="189" w:lineRule="exact"/>
              <w:rPr>
                <w:rFonts w:ascii="Calibri" w:cs="Calibri" w:eastAsia="Calibri" w:hAnsi="Calibri"/>
                <w:sz w:val="18"/>
                <w:szCs w:val="18"/>
                <w:color w:val="7A04DD"/>
              </w:rPr>
            </w:pPr>
            <w:hyperlink r:id="rId504">
              <w:r>
                <w:rPr>
                  <w:rFonts w:ascii="Calibri" w:cs="Calibri" w:eastAsia="Calibri" w:hAnsi="Calibri"/>
                  <w:sz w:val="18"/>
                  <w:szCs w:val="18"/>
                  <w:color w:val="7A04DD"/>
                </w:rPr>
                <w:t>Amendment to Stockholder Rights Agreement, dated as of</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1/26/2024</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4.3</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gridSpan w:val="4"/>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16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380" w:type="dxa"/>
            <w:vAlign w:val="bottom"/>
            <w:shd w:val="clear" w:color="auto" w:fill="7A04DD"/>
          </w:tcPr>
          <w:p>
            <w:pPr>
              <w:spacing w:after="0" w:line="20" w:lineRule="exact"/>
              <w:rPr>
                <w:sz w:val="1"/>
                <w:szCs w:val="1"/>
                <w:color w:val="auto"/>
              </w:rPr>
            </w:pPr>
          </w:p>
        </w:tc>
        <w:tc>
          <w:tcPr>
            <w:tcW w:w="172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94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4140" w:type="dxa"/>
            <w:vAlign w:val="bottom"/>
            <w:gridSpan w:val="10"/>
            <w:vMerge w:val="restart"/>
          </w:tcPr>
          <w:p>
            <w:pPr>
              <w:spacing w:after="0" w:line="196" w:lineRule="exact"/>
              <w:rPr>
                <w:rFonts w:ascii="Calibri" w:cs="Calibri" w:eastAsia="Calibri" w:hAnsi="Calibri"/>
                <w:sz w:val="18"/>
                <w:szCs w:val="18"/>
                <w:color w:val="7A04DD"/>
                <w:w w:val="95"/>
              </w:rPr>
            </w:pPr>
            <w:hyperlink r:id="rId504">
              <w:r>
                <w:rPr>
                  <w:rFonts w:ascii="Calibri" w:cs="Calibri" w:eastAsia="Calibri" w:hAnsi="Calibri"/>
                  <w:sz w:val="18"/>
                  <w:szCs w:val="18"/>
                  <w:color w:val="7A04DD"/>
                  <w:w w:val="95"/>
                </w:rPr>
                <w:t>January 26, 2024, between Blackbaud, Inc. and Broadridge</w:t>
              </w:r>
            </w:hyperlink>
          </w:p>
        </w:tc>
        <w:tc>
          <w:tcPr>
            <w:tcW w:w="640" w:type="dxa"/>
            <w:vAlign w:val="bottom"/>
            <w:gridSpan w:val="13"/>
            <w:vMerge w:val="restart"/>
          </w:tcPr>
          <w:p>
            <w:pPr>
              <w:spacing w:after="0"/>
              <w:rPr>
                <w:sz w:val="2"/>
                <w:szCs w:val="2"/>
                <w:color w:val="auto"/>
              </w:rPr>
            </w:pPr>
          </w:p>
        </w:tc>
        <w:tc>
          <w:tcPr>
            <w:tcW w:w="1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13" w:type="dxa"/>
            <w:vAlign w:val="bottom"/>
          </w:tcPr>
          <w:p>
            <w:pPr>
              <w:spacing w:after="0"/>
              <w:rPr>
                <w:sz w:val="2"/>
                <w:szCs w:val="2"/>
                <w:color w:val="auto"/>
              </w:rPr>
            </w:pPr>
          </w:p>
        </w:tc>
        <w:tc>
          <w:tcPr>
            <w:tcW w:w="928"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7A04DD"/>
            </w:tcBorders>
          </w:tcPr>
          <w:p>
            <w:pPr>
              <w:spacing w:after="0"/>
              <w:rPr>
                <w:sz w:val="12"/>
                <w:szCs w:val="12"/>
                <w:color w:val="auto"/>
              </w:rPr>
            </w:pPr>
          </w:p>
        </w:tc>
        <w:tc>
          <w:tcPr>
            <w:tcW w:w="700" w:type="dxa"/>
            <w:vAlign w:val="bottom"/>
          </w:tcPr>
          <w:p>
            <w:pPr>
              <w:spacing w:after="0"/>
              <w:rPr>
                <w:sz w:val="12"/>
                <w:szCs w:val="12"/>
                <w:color w:val="auto"/>
              </w:rPr>
            </w:pPr>
          </w:p>
        </w:tc>
        <w:tc>
          <w:tcPr>
            <w:tcW w:w="4140" w:type="dxa"/>
            <w:vAlign w:val="bottom"/>
            <w:tcBorders>
              <w:bottom w:val="single" w:sz="8" w:color="7A04DD"/>
            </w:tcBorders>
            <w:gridSpan w:val="10"/>
            <w:vMerge w:val="continue"/>
          </w:tcPr>
          <w:p>
            <w:pPr>
              <w:spacing w:after="0"/>
              <w:rPr>
                <w:sz w:val="12"/>
                <w:szCs w:val="12"/>
                <w:color w:val="auto"/>
              </w:rPr>
            </w:pPr>
          </w:p>
        </w:tc>
        <w:tc>
          <w:tcPr>
            <w:tcW w:w="640" w:type="dxa"/>
            <w:vAlign w:val="bottom"/>
            <w:gridSpan w:val="13"/>
            <w:vMerge w:val="continue"/>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13" w:type="dxa"/>
            <w:vAlign w:val="bottom"/>
          </w:tcPr>
          <w:p>
            <w:pPr>
              <w:spacing w:after="0"/>
              <w:rPr>
                <w:sz w:val="12"/>
                <w:szCs w:val="12"/>
                <w:color w:val="auto"/>
              </w:rPr>
            </w:pPr>
          </w:p>
        </w:tc>
        <w:tc>
          <w:tcPr>
            <w:tcW w:w="928"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80" w:type="dxa"/>
            <w:vAlign w:val="bottom"/>
            <w:gridSpan w:val="23"/>
          </w:tcPr>
          <w:p>
            <w:pPr>
              <w:spacing w:after="0" w:line="196" w:lineRule="exact"/>
              <w:rPr>
                <w:rFonts w:ascii="Calibri" w:cs="Calibri" w:eastAsia="Calibri" w:hAnsi="Calibri"/>
                <w:sz w:val="18"/>
                <w:szCs w:val="18"/>
                <w:color w:val="7A04DD"/>
              </w:rPr>
            </w:pPr>
            <w:hyperlink r:id="rId504">
              <w:r>
                <w:rPr>
                  <w:rFonts w:ascii="Calibri" w:cs="Calibri" w:eastAsia="Calibri" w:hAnsi="Calibri"/>
                  <w:sz w:val="18"/>
                  <w:szCs w:val="18"/>
                  <w:color w:val="7A04DD"/>
                </w:rPr>
                <w:t>Corporate Issuer Solutons, LLC, as Rights Agent.</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1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380" w:type="dxa"/>
            <w:vAlign w:val="bottom"/>
            <w:tcBorders>
              <w:top w:val="single" w:sz="8" w:color="7A04DD"/>
            </w:tcBorders>
          </w:tcPr>
          <w:p>
            <w:pPr>
              <w:spacing w:after="0"/>
              <w:rPr>
                <w:sz w:val="5"/>
                <w:szCs w:val="5"/>
                <w:color w:val="auto"/>
              </w:rPr>
            </w:pPr>
          </w:p>
        </w:tc>
        <w:tc>
          <w:tcPr>
            <w:tcW w:w="172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40" w:type="dxa"/>
            <w:vAlign w:val="bottom"/>
            <w:tcBorders>
              <w:top w:val="single" w:sz="8" w:color="7A04DD"/>
            </w:tcBorders>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shd w:val="clear" w:color="auto" w:fill="EBFBFF"/>
          </w:tcPr>
          <w:p>
            <w:pPr>
              <w:jc w:val="right"/>
              <w:spacing w:after="0" w:line="189" w:lineRule="exact"/>
              <w:rPr>
                <w:rFonts w:ascii="Calibri" w:cs="Calibri" w:eastAsia="Calibri" w:hAnsi="Calibri"/>
                <w:sz w:val="18"/>
                <w:szCs w:val="18"/>
                <w:color w:val="7A04DD"/>
              </w:rPr>
            </w:pPr>
            <w:hyperlink r:id="rId505">
              <w:r>
                <w:rPr>
                  <w:rFonts w:ascii="Calibri" w:cs="Calibri" w:eastAsia="Calibri" w:hAnsi="Calibri"/>
                  <w:sz w:val="18"/>
                  <w:szCs w:val="18"/>
                  <w:color w:val="7A04DD"/>
                </w:rPr>
                <w:t>10.</w:t>
              </w:r>
              <w:r>
                <w:rPr>
                  <w:rFonts w:ascii="Calibri" w:cs="Calibri" w:eastAsia="Calibri" w:hAnsi="Calibri"/>
                  <w:sz w:val="18"/>
                  <w:szCs w:val="18"/>
                  <w:u w:val="single" w:color="auto"/>
                  <w:color w:val="7A04DD"/>
                </w:rPr>
                <w:t>1</w:t>
              </w:r>
            </w:hyperlink>
          </w:p>
        </w:tc>
        <w:tc>
          <w:tcPr>
            <w:tcW w:w="700" w:type="dxa"/>
            <w:vAlign w:val="bottom"/>
            <w:tcBorders>
              <w:left w:val="single" w:sz="8" w:color="EBFBFF"/>
            </w:tcBorders>
            <w:shd w:val="clear" w:color="auto" w:fill="EBFBFF"/>
          </w:tcPr>
          <w:p>
            <w:pPr>
              <w:ind w:left="40"/>
              <w:spacing w:after="0" w:line="189" w:lineRule="exact"/>
              <w:rPr>
                <w:sz w:val="20"/>
                <w:szCs w:val="20"/>
                <w:color w:val="auto"/>
              </w:rPr>
            </w:pPr>
            <w:r>
              <w:rPr>
                <w:rFonts w:ascii="Calibri" w:cs="Calibri" w:eastAsia="Calibri" w:hAnsi="Calibri"/>
                <w:sz w:val="18"/>
                <w:szCs w:val="18"/>
                <w:color w:val="51555C"/>
              </w:rPr>
              <w:t>†</w:t>
            </w:r>
          </w:p>
        </w:tc>
        <w:tc>
          <w:tcPr>
            <w:tcW w:w="4780" w:type="dxa"/>
            <w:vAlign w:val="bottom"/>
            <w:gridSpan w:val="23"/>
            <w:shd w:val="clear" w:color="auto" w:fill="EBFBFF"/>
          </w:tcPr>
          <w:p>
            <w:pPr>
              <w:spacing w:after="0" w:line="189" w:lineRule="exact"/>
              <w:rPr>
                <w:rFonts w:ascii="Calibri" w:cs="Calibri" w:eastAsia="Calibri" w:hAnsi="Calibri"/>
                <w:sz w:val="18"/>
                <w:szCs w:val="18"/>
                <w:color w:val="7A04DD"/>
              </w:rPr>
            </w:pPr>
            <w:hyperlink r:id="rId505">
              <w:r>
                <w:rPr>
                  <w:rFonts w:ascii="Calibri" w:cs="Calibri" w:eastAsia="Calibri" w:hAnsi="Calibri"/>
                  <w:sz w:val="18"/>
                  <w:szCs w:val="18"/>
                  <w:color w:val="7A04DD"/>
                </w:rPr>
                <w:t>Form of Employment Agreement between Blackbaud, Inc. and</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w w:val="96"/>
              </w:rPr>
              <w:t>10-K</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2/27/2013</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10.65</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440" w:type="dxa"/>
            <w:vAlign w:val="bottom"/>
            <w:tcBorders>
              <w:top w:val="single" w:sz="8" w:color="7A04DD"/>
            </w:tcBorders>
            <w:gridSpan w:val="17"/>
            <w:shd w:val="clear" w:color="auto" w:fill="EBFBFF"/>
          </w:tcPr>
          <w:p>
            <w:pPr>
              <w:spacing w:after="0" w:line="196" w:lineRule="exact"/>
              <w:rPr>
                <w:rFonts w:ascii="Calibri" w:cs="Calibri" w:eastAsia="Calibri" w:hAnsi="Calibri"/>
                <w:sz w:val="18"/>
                <w:szCs w:val="18"/>
                <w:color w:val="7A04DD"/>
              </w:rPr>
            </w:pPr>
            <w:hyperlink r:id="rId505">
              <w:r>
                <w:rPr>
                  <w:rFonts w:ascii="Calibri" w:cs="Calibri" w:eastAsia="Calibri" w:hAnsi="Calibri"/>
                  <w:sz w:val="18"/>
                  <w:szCs w:val="18"/>
                  <w:color w:val="7A04DD"/>
                </w:rPr>
                <w:t>each of Anthony W. Boor and Kevin W. Mooney</w:t>
              </w:r>
            </w:hyperlink>
          </w:p>
        </w:tc>
        <w:tc>
          <w:tcPr>
            <w:tcW w:w="340" w:type="dxa"/>
            <w:vAlign w:val="bottom"/>
            <w:tcBorders>
              <w:top w:val="single" w:sz="8" w:color="EBFBFF"/>
            </w:tcBorders>
            <w:gridSpan w:val="6"/>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7A04DD"/>
            </w:tcBorders>
            <w:shd w:val="clear" w:color="auto" w:fill="EBFBFF"/>
          </w:tcPr>
          <w:p>
            <w:pPr>
              <w:spacing w:after="0"/>
              <w:rPr>
                <w:sz w:val="5"/>
                <w:szCs w:val="5"/>
                <w:color w:val="auto"/>
              </w:rPr>
            </w:pPr>
          </w:p>
        </w:tc>
        <w:tc>
          <w:tcPr>
            <w:tcW w:w="172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tcPr>
          <w:p>
            <w:pPr>
              <w:jc w:val="right"/>
              <w:spacing w:after="0" w:line="189" w:lineRule="exact"/>
              <w:rPr>
                <w:rFonts w:ascii="Calibri" w:cs="Calibri" w:eastAsia="Calibri" w:hAnsi="Calibri"/>
                <w:sz w:val="18"/>
                <w:szCs w:val="18"/>
                <w:color w:val="7A04DD"/>
              </w:rPr>
            </w:pPr>
            <w:hyperlink r:id="rId505">
              <w:r>
                <w:rPr>
                  <w:rFonts w:ascii="Calibri" w:cs="Calibri" w:eastAsia="Calibri" w:hAnsi="Calibri"/>
                  <w:sz w:val="18"/>
                  <w:szCs w:val="18"/>
                  <w:color w:val="7A04DD"/>
                </w:rPr>
                <w:t>10.</w:t>
              </w:r>
              <w:r>
                <w:rPr>
                  <w:rFonts w:ascii="Calibri" w:cs="Calibri" w:eastAsia="Calibri" w:hAnsi="Calibri"/>
                  <w:sz w:val="18"/>
                  <w:szCs w:val="18"/>
                  <w:u w:val="single" w:color="auto"/>
                  <w:color w:val="7A04DD"/>
                </w:rPr>
                <w:t>2</w:t>
              </w:r>
            </w:hyperlink>
          </w:p>
        </w:tc>
        <w:tc>
          <w:tcPr>
            <w:tcW w:w="700" w:type="dxa"/>
            <w:vAlign w:val="bottom"/>
          </w:tcPr>
          <w:p>
            <w:pPr>
              <w:ind w:left="40"/>
              <w:spacing w:after="0" w:line="189" w:lineRule="exact"/>
              <w:rPr>
                <w:sz w:val="20"/>
                <w:szCs w:val="20"/>
                <w:color w:val="auto"/>
              </w:rPr>
            </w:pPr>
            <w:r>
              <w:rPr>
                <w:rFonts w:ascii="Calibri" w:cs="Calibri" w:eastAsia="Calibri" w:hAnsi="Calibri"/>
                <w:sz w:val="18"/>
                <w:szCs w:val="18"/>
                <w:color w:val="51555C"/>
              </w:rPr>
              <w:t>†</w:t>
            </w:r>
          </w:p>
        </w:tc>
        <w:tc>
          <w:tcPr>
            <w:tcW w:w="4780" w:type="dxa"/>
            <w:vAlign w:val="bottom"/>
            <w:gridSpan w:val="23"/>
          </w:tcPr>
          <w:p>
            <w:pPr>
              <w:spacing w:after="0" w:line="189" w:lineRule="exact"/>
              <w:rPr>
                <w:rFonts w:ascii="Calibri" w:cs="Calibri" w:eastAsia="Calibri" w:hAnsi="Calibri"/>
                <w:sz w:val="18"/>
                <w:szCs w:val="18"/>
                <w:color w:val="7A04DD"/>
              </w:rPr>
            </w:pPr>
            <w:hyperlink r:id="rId505">
              <w:r>
                <w:rPr>
                  <w:rFonts w:ascii="Calibri" w:cs="Calibri" w:eastAsia="Calibri" w:hAnsi="Calibri"/>
                  <w:sz w:val="18"/>
                  <w:szCs w:val="18"/>
                  <w:color w:val="7A04DD"/>
                </w:rPr>
                <w:t>Form of Employment Agreement between Blackbaud, Inc. and</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w w:val="96"/>
              </w:rPr>
              <w:t>10-K</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2/27/2013</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10.65</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7A04DD"/>
            </w:tcBorders>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700" w:type="dxa"/>
            <w:vAlign w:val="bottom"/>
          </w:tcPr>
          <w:p>
            <w:pPr>
              <w:spacing w:after="0"/>
              <w:rPr>
                <w:sz w:val="17"/>
                <w:szCs w:val="17"/>
                <w:color w:val="auto"/>
              </w:rPr>
            </w:pPr>
          </w:p>
        </w:tc>
        <w:tc>
          <w:tcPr>
            <w:tcW w:w="4440" w:type="dxa"/>
            <w:vAlign w:val="bottom"/>
            <w:tcBorders>
              <w:top w:val="single" w:sz="8" w:color="7A04DD"/>
            </w:tcBorders>
            <w:gridSpan w:val="17"/>
          </w:tcPr>
          <w:p>
            <w:pPr>
              <w:spacing w:after="0" w:line="196" w:lineRule="exact"/>
              <w:rPr>
                <w:rFonts w:ascii="Calibri" w:cs="Calibri" w:eastAsia="Calibri" w:hAnsi="Calibri"/>
                <w:sz w:val="18"/>
                <w:szCs w:val="18"/>
                <w:color w:val="7A04DD"/>
              </w:rPr>
            </w:pPr>
            <w:hyperlink r:id="rId505">
              <w:r>
                <w:rPr>
                  <w:rFonts w:ascii="Calibri" w:cs="Calibri" w:eastAsia="Calibri" w:hAnsi="Calibri"/>
                  <w:sz w:val="18"/>
                  <w:szCs w:val="18"/>
                  <w:color w:val="7A04DD"/>
                </w:rPr>
                <w:t>Jon W. Olson</w:t>
              </w:r>
            </w:hyperlink>
          </w:p>
        </w:tc>
        <w:tc>
          <w:tcPr>
            <w:tcW w:w="340" w:type="dxa"/>
            <w:vAlign w:val="bottom"/>
            <w:gridSpan w:val="6"/>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1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shd w:val="clear" w:color="auto" w:fill="EBFBFF"/>
          </w:tcPr>
          <w:p>
            <w:pPr>
              <w:jc w:val="right"/>
              <w:spacing w:after="0" w:line="189" w:lineRule="exact"/>
              <w:rPr>
                <w:rFonts w:ascii="Calibri" w:cs="Calibri" w:eastAsia="Calibri" w:hAnsi="Calibri"/>
                <w:sz w:val="18"/>
                <w:szCs w:val="18"/>
                <w:color w:val="7A04DD"/>
              </w:rPr>
            </w:pPr>
            <w:hyperlink r:id="rId506">
              <w:r>
                <w:rPr>
                  <w:rFonts w:ascii="Calibri" w:cs="Calibri" w:eastAsia="Calibri" w:hAnsi="Calibri"/>
                  <w:sz w:val="18"/>
                  <w:szCs w:val="18"/>
                  <w:color w:val="7A04DD"/>
                </w:rPr>
                <w:t>10.</w:t>
              </w:r>
              <w:r>
                <w:rPr>
                  <w:rFonts w:ascii="Calibri" w:cs="Calibri" w:eastAsia="Calibri" w:hAnsi="Calibri"/>
                  <w:sz w:val="18"/>
                  <w:szCs w:val="18"/>
                  <w:u w:val="single" w:color="auto"/>
                  <w:color w:val="7A04DD"/>
                </w:rPr>
                <w:t>3</w:t>
              </w:r>
            </w:hyperlink>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3"/>
            <w:shd w:val="clear" w:color="auto" w:fill="EBFBFF"/>
          </w:tcPr>
          <w:p>
            <w:pPr>
              <w:spacing w:after="0" w:line="189" w:lineRule="exact"/>
              <w:rPr>
                <w:rFonts w:ascii="Calibri" w:cs="Calibri" w:eastAsia="Calibri" w:hAnsi="Calibri"/>
                <w:sz w:val="18"/>
                <w:szCs w:val="18"/>
                <w:color w:val="7A04DD"/>
              </w:rPr>
            </w:pPr>
            <w:hyperlink r:id="rId506">
              <w:r>
                <w:rPr>
                  <w:rFonts w:ascii="Calibri" w:cs="Calibri" w:eastAsia="Calibri" w:hAnsi="Calibri"/>
                  <w:sz w:val="18"/>
                  <w:szCs w:val="18"/>
                  <w:color w:val="7A04DD"/>
                </w:rPr>
                <w:t>Lease Agreement dated May 16, 2016 between BBHQ1, LLC (a</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8/4/2016</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10.84</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400" w:type="dxa"/>
            <w:vAlign w:val="bottom"/>
            <w:tcBorders>
              <w:top w:val="single" w:sz="8" w:color="7A04DD"/>
            </w:tcBorders>
            <w:gridSpan w:val="15"/>
            <w:shd w:val="clear" w:color="auto" w:fill="EBFBFF"/>
          </w:tcPr>
          <w:p>
            <w:pPr>
              <w:spacing w:after="0" w:line="196" w:lineRule="exact"/>
              <w:rPr>
                <w:rFonts w:ascii="Calibri" w:cs="Calibri" w:eastAsia="Calibri" w:hAnsi="Calibri"/>
                <w:sz w:val="18"/>
                <w:szCs w:val="18"/>
                <w:color w:val="7A04DD"/>
              </w:rPr>
            </w:pPr>
            <w:hyperlink r:id="rId506">
              <w:r>
                <w:rPr>
                  <w:rFonts w:ascii="Calibri" w:cs="Calibri" w:eastAsia="Calibri" w:hAnsi="Calibri"/>
                  <w:sz w:val="18"/>
                  <w:szCs w:val="18"/>
                  <w:color w:val="7A04DD"/>
                </w:rPr>
                <w:t>subsidiary of Blackbaud, Inc.) and HPBB1, LLC</w:t>
              </w:r>
            </w:hyperlink>
          </w:p>
        </w:tc>
        <w:tc>
          <w:tcPr>
            <w:tcW w:w="380" w:type="dxa"/>
            <w:vAlign w:val="bottom"/>
            <w:tcBorders>
              <w:top w:val="single" w:sz="8" w:color="EBFBFF"/>
            </w:tcBorders>
            <w:gridSpan w:val="8"/>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7A04DD"/>
            </w:tcBorders>
            <w:shd w:val="clear" w:color="auto" w:fill="EBFBFF"/>
          </w:tcPr>
          <w:p>
            <w:pPr>
              <w:spacing w:after="0"/>
              <w:rPr>
                <w:sz w:val="5"/>
                <w:szCs w:val="5"/>
                <w:color w:val="auto"/>
              </w:rPr>
            </w:pPr>
          </w:p>
        </w:tc>
        <w:tc>
          <w:tcPr>
            <w:tcW w:w="172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tcPr>
          <w:p>
            <w:pPr>
              <w:jc w:val="right"/>
              <w:spacing w:after="0" w:line="189" w:lineRule="exact"/>
              <w:rPr>
                <w:rFonts w:ascii="Calibri" w:cs="Calibri" w:eastAsia="Calibri" w:hAnsi="Calibri"/>
                <w:sz w:val="18"/>
                <w:szCs w:val="18"/>
                <w:color w:val="7A04DD"/>
              </w:rPr>
            </w:pPr>
            <w:hyperlink r:id="rId507">
              <w:r>
                <w:rPr>
                  <w:rFonts w:ascii="Calibri" w:cs="Calibri" w:eastAsia="Calibri" w:hAnsi="Calibri"/>
                  <w:sz w:val="18"/>
                  <w:szCs w:val="18"/>
                  <w:color w:val="7A04DD"/>
                </w:rPr>
                <w:t>10.</w:t>
              </w:r>
              <w:r>
                <w:rPr>
                  <w:rFonts w:ascii="Calibri" w:cs="Calibri" w:eastAsia="Calibri" w:hAnsi="Calibri"/>
                  <w:sz w:val="18"/>
                  <w:szCs w:val="18"/>
                  <w:u w:val="single" w:color="auto"/>
                  <w:color w:val="7A04DD"/>
                </w:rPr>
                <w:t>4</w:t>
              </w:r>
            </w:hyperlink>
          </w:p>
        </w:tc>
        <w:tc>
          <w:tcPr>
            <w:tcW w:w="700" w:type="dxa"/>
            <w:vAlign w:val="bottom"/>
          </w:tcPr>
          <w:p>
            <w:pPr>
              <w:spacing w:after="0"/>
              <w:rPr>
                <w:sz w:val="16"/>
                <w:szCs w:val="16"/>
                <w:color w:val="auto"/>
              </w:rPr>
            </w:pPr>
          </w:p>
        </w:tc>
        <w:tc>
          <w:tcPr>
            <w:tcW w:w="4780" w:type="dxa"/>
            <w:vAlign w:val="bottom"/>
            <w:gridSpan w:val="23"/>
          </w:tcPr>
          <w:p>
            <w:pPr>
              <w:spacing w:after="0" w:line="189" w:lineRule="exact"/>
              <w:rPr>
                <w:rFonts w:ascii="Calibri" w:cs="Calibri" w:eastAsia="Calibri" w:hAnsi="Calibri"/>
                <w:sz w:val="18"/>
                <w:szCs w:val="18"/>
                <w:color w:val="7A04DD"/>
              </w:rPr>
            </w:pPr>
            <w:hyperlink r:id="rId507">
              <w:r>
                <w:rPr>
                  <w:rFonts w:ascii="Calibri" w:cs="Calibri" w:eastAsia="Calibri" w:hAnsi="Calibri"/>
                  <w:sz w:val="18"/>
                  <w:szCs w:val="18"/>
                  <w:color w:val="7A04DD"/>
                </w:rPr>
                <w:t>First Amendment to Lease Agreement, dated as of August 22,</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11/4/2016</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10.87</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7A04DD"/>
            </w:tcBorders>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700" w:type="dxa"/>
            <w:vAlign w:val="bottom"/>
          </w:tcPr>
          <w:p>
            <w:pPr>
              <w:spacing w:after="0"/>
              <w:rPr>
                <w:sz w:val="17"/>
                <w:szCs w:val="17"/>
                <w:color w:val="auto"/>
              </w:rPr>
            </w:pPr>
          </w:p>
        </w:tc>
        <w:tc>
          <w:tcPr>
            <w:tcW w:w="4360" w:type="dxa"/>
            <w:vAlign w:val="bottom"/>
            <w:tcBorders>
              <w:top w:val="single" w:sz="8" w:color="7A04DD"/>
            </w:tcBorders>
            <w:gridSpan w:val="13"/>
          </w:tcPr>
          <w:p>
            <w:pPr>
              <w:spacing w:after="0" w:line="196" w:lineRule="exact"/>
              <w:rPr>
                <w:rFonts w:ascii="Calibri" w:cs="Calibri" w:eastAsia="Calibri" w:hAnsi="Calibri"/>
                <w:sz w:val="18"/>
                <w:szCs w:val="18"/>
                <w:color w:val="7A04DD"/>
              </w:rPr>
            </w:pPr>
            <w:hyperlink r:id="rId507">
              <w:r>
                <w:rPr>
                  <w:rFonts w:ascii="Calibri" w:cs="Calibri" w:eastAsia="Calibri" w:hAnsi="Calibri"/>
                  <w:sz w:val="18"/>
                  <w:szCs w:val="18"/>
                  <w:color w:val="7A04DD"/>
                </w:rPr>
                <w:t>2016, between HPBB1, LLC and BBHQ1, LLC (a subsidiary of</w:t>
              </w:r>
            </w:hyperlink>
          </w:p>
        </w:tc>
        <w:tc>
          <w:tcPr>
            <w:tcW w:w="420" w:type="dxa"/>
            <w:vAlign w:val="bottom"/>
            <w:gridSpan w:val="10"/>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140" w:type="dxa"/>
            <w:vAlign w:val="bottom"/>
            <w:tcBorders>
              <w:top w:val="single" w:sz="8" w:color="7A04DD"/>
            </w:tcBorders>
            <w:gridSpan w:val="10"/>
          </w:tcPr>
          <w:p>
            <w:pPr>
              <w:spacing w:after="0" w:line="196" w:lineRule="exact"/>
              <w:rPr>
                <w:rFonts w:ascii="Calibri" w:cs="Calibri" w:eastAsia="Calibri" w:hAnsi="Calibri"/>
                <w:sz w:val="18"/>
                <w:szCs w:val="18"/>
                <w:color w:val="7A04DD"/>
              </w:rPr>
            </w:pPr>
            <w:hyperlink r:id="rId507">
              <w:r>
                <w:rPr>
                  <w:rFonts w:ascii="Calibri" w:cs="Calibri" w:eastAsia="Calibri" w:hAnsi="Calibri"/>
                  <w:sz w:val="18"/>
                  <w:szCs w:val="18"/>
                  <w:color w:val="7A04DD"/>
                </w:rPr>
                <w:t>Blackbaud, Inc.)</w:t>
              </w:r>
            </w:hyperlink>
          </w:p>
        </w:tc>
        <w:tc>
          <w:tcPr>
            <w:tcW w:w="640" w:type="dxa"/>
            <w:vAlign w:val="bottom"/>
            <w:gridSpan w:val="13"/>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1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shd w:val="clear" w:color="auto" w:fill="EBFBFF"/>
          </w:tcPr>
          <w:p>
            <w:pPr>
              <w:jc w:val="right"/>
              <w:spacing w:after="0" w:line="189" w:lineRule="exact"/>
              <w:rPr>
                <w:rFonts w:ascii="Calibri" w:cs="Calibri" w:eastAsia="Calibri" w:hAnsi="Calibri"/>
                <w:sz w:val="18"/>
                <w:szCs w:val="18"/>
                <w:color w:val="7A04DD"/>
              </w:rPr>
            </w:pPr>
            <w:hyperlink r:id="rId508">
              <w:r>
                <w:rPr>
                  <w:rFonts w:ascii="Calibri" w:cs="Calibri" w:eastAsia="Calibri" w:hAnsi="Calibri"/>
                  <w:sz w:val="18"/>
                  <w:szCs w:val="18"/>
                  <w:color w:val="7A04DD"/>
                </w:rPr>
                <w:t>10.</w:t>
              </w:r>
              <w:r>
                <w:rPr>
                  <w:rFonts w:ascii="Calibri" w:cs="Calibri" w:eastAsia="Calibri" w:hAnsi="Calibri"/>
                  <w:sz w:val="18"/>
                  <w:szCs w:val="18"/>
                  <w:u w:val="single" w:color="auto"/>
                  <w:color w:val="7A04DD"/>
                </w:rPr>
                <w:t>5</w:t>
              </w:r>
            </w:hyperlink>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3"/>
            <w:shd w:val="clear" w:color="auto" w:fill="EBFBFF"/>
          </w:tcPr>
          <w:p>
            <w:pPr>
              <w:spacing w:after="0" w:line="189" w:lineRule="exact"/>
              <w:rPr>
                <w:rFonts w:ascii="Calibri" w:cs="Calibri" w:eastAsia="Calibri" w:hAnsi="Calibri"/>
                <w:sz w:val="18"/>
                <w:szCs w:val="18"/>
                <w:color w:val="7A04DD"/>
              </w:rPr>
            </w:pPr>
            <w:hyperlink r:id="rId508">
              <w:r>
                <w:rPr>
                  <w:rFonts w:ascii="Calibri" w:cs="Calibri" w:eastAsia="Calibri" w:hAnsi="Calibri"/>
                  <w:sz w:val="18"/>
                  <w:szCs w:val="18"/>
                  <w:color w:val="7A04DD"/>
                </w:rPr>
                <w:t>Second Amendment to Lease Agreement, dated as of May 18,</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w w:val="96"/>
              </w:rPr>
              <w:t>10-K</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2/20/2018</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10.93</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380" w:type="dxa"/>
            <w:vAlign w:val="bottom"/>
            <w:tcBorders>
              <w:top w:val="single" w:sz="8" w:color="7A04DD"/>
            </w:tcBorders>
            <w:gridSpan w:val="14"/>
            <w:shd w:val="clear" w:color="auto" w:fill="EBFBFF"/>
          </w:tcPr>
          <w:p>
            <w:pPr>
              <w:spacing w:after="0" w:line="196" w:lineRule="exact"/>
              <w:rPr>
                <w:rFonts w:ascii="Calibri" w:cs="Calibri" w:eastAsia="Calibri" w:hAnsi="Calibri"/>
                <w:sz w:val="18"/>
                <w:szCs w:val="18"/>
                <w:color w:val="7A04DD"/>
              </w:rPr>
            </w:pPr>
            <w:hyperlink r:id="rId508">
              <w:r>
                <w:rPr>
                  <w:rFonts w:ascii="Calibri" w:cs="Calibri" w:eastAsia="Calibri" w:hAnsi="Calibri"/>
                  <w:sz w:val="18"/>
                  <w:szCs w:val="18"/>
                  <w:color w:val="7A04DD"/>
                </w:rPr>
                <w:t>2017, between HPBB1, LLC and BBHQ1, LLC (a subsidiary of</w:t>
              </w:r>
            </w:hyperlink>
          </w:p>
        </w:tc>
        <w:tc>
          <w:tcPr>
            <w:tcW w:w="400" w:type="dxa"/>
            <w:vAlign w:val="bottom"/>
            <w:tcBorders>
              <w:top w:val="single" w:sz="8" w:color="EBFBFF"/>
            </w:tcBorders>
            <w:gridSpan w:val="9"/>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EBFBFF"/>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140" w:type="dxa"/>
            <w:vAlign w:val="bottom"/>
            <w:tcBorders>
              <w:top w:val="single" w:sz="8" w:color="7A04DD"/>
            </w:tcBorders>
            <w:gridSpan w:val="10"/>
            <w:shd w:val="clear" w:color="auto" w:fill="EBFBFF"/>
          </w:tcPr>
          <w:p>
            <w:pPr>
              <w:spacing w:after="0" w:line="196" w:lineRule="exact"/>
              <w:rPr>
                <w:rFonts w:ascii="Calibri" w:cs="Calibri" w:eastAsia="Calibri" w:hAnsi="Calibri"/>
                <w:sz w:val="18"/>
                <w:szCs w:val="18"/>
                <w:color w:val="7A04DD"/>
              </w:rPr>
            </w:pPr>
            <w:hyperlink r:id="rId508">
              <w:r>
                <w:rPr>
                  <w:rFonts w:ascii="Calibri" w:cs="Calibri" w:eastAsia="Calibri" w:hAnsi="Calibri"/>
                  <w:sz w:val="18"/>
                  <w:szCs w:val="18"/>
                  <w:color w:val="7A04DD"/>
                </w:rPr>
                <w:t>Blackbaud, Inc.)</w:t>
              </w:r>
            </w:hyperlink>
          </w:p>
        </w:tc>
        <w:tc>
          <w:tcPr>
            <w:tcW w:w="640" w:type="dxa"/>
            <w:vAlign w:val="bottom"/>
            <w:tcBorders>
              <w:top w:val="single" w:sz="8" w:color="EBFBFF"/>
              <w:left w:val="single" w:sz="8" w:color="EBFBFF"/>
            </w:tcBorders>
            <w:gridSpan w:val="13"/>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EBFBFF"/>
            </w:tcBorders>
            <w:shd w:val="clear" w:color="auto" w:fill="EBFBFF"/>
          </w:tcPr>
          <w:p>
            <w:pPr>
              <w:spacing w:after="0"/>
              <w:rPr>
                <w:sz w:val="5"/>
                <w:szCs w:val="5"/>
                <w:color w:val="auto"/>
              </w:rPr>
            </w:pPr>
          </w:p>
        </w:tc>
        <w:tc>
          <w:tcPr>
            <w:tcW w:w="17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tcPr>
          <w:p>
            <w:pPr>
              <w:jc w:val="right"/>
              <w:spacing w:after="0" w:line="189" w:lineRule="exact"/>
              <w:rPr>
                <w:rFonts w:ascii="Calibri" w:cs="Calibri" w:eastAsia="Calibri" w:hAnsi="Calibri"/>
                <w:sz w:val="18"/>
                <w:szCs w:val="18"/>
                <w:color w:val="7A04DD"/>
              </w:rPr>
            </w:pPr>
            <w:hyperlink r:id="rId509">
              <w:r>
                <w:rPr>
                  <w:rFonts w:ascii="Calibri" w:cs="Calibri" w:eastAsia="Calibri" w:hAnsi="Calibri"/>
                  <w:sz w:val="18"/>
                  <w:szCs w:val="18"/>
                  <w:color w:val="7A04DD"/>
                </w:rPr>
                <w:t>10.</w:t>
              </w:r>
              <w:r>
                <w:rPr>
                  <w:rFonts w:ascii="Calibri" w:cs="Calibri" w:eastAsia="Calibri" w:hAnsi="Calibri"/>
                  <w:sz w:val="18"/>
                  <w:szCs w:val="18"/>
                  <w:u w:val="single" w:color="auto"/>
                  <w:color w:val="7A04DD"/>
                </w:rPr>
                <w:t>6</w:t>
              </w:r>
            </w:hyperlink>
          </w:p>
        </w:tc>
        <w:tc>
          <w:tcPr>
            <w:tcW w:w="700" w:type="dxa"/>
            <w:vAlign w:val="bottom"/>
          </w:tcPr>
          <w:p>
            <w:pPr>
              <w:spacing w:after="0"/>
              <w:rPr>
                <w:sz w:val="16"/>
                <w:szCs w:val="16"/>
                <w:color w:val="auto"/>
              </w:rPr>
            </w:pPr>
          </w:p>
        </w:tc>
        <w:tc>
          <w:tcPr>
            <w:tcW w:w="4780" w:type="dxa"/>
            <w:vAlign w:val="bottom"/>
            <w:gridSpan w:val="23"/>
          </w:tcPr>
          <w:p>
            <w:pPr>
              <w:spacing w:after="0" w:line="189" w:lineRule="exact"/>
              <w:rPr>
                <w:rFonts w:ascii="Calibri" w:cs="Calibri" w:eastAsia="Calibri" w:hAnsi="Calibri"/>
                <w:sz w:val="18"/>
                <w:szCs w:val="18"/>
                <w:color w:val="7A04DD"/>
              </w:rPr>
            </w:pPr>
            <w:hyperlink r:id="rId509">
              <w:r>
                <w:rPr>
                  <w:rFonts w:ascii="Calibri" w:cs="Calibri" w:eastAsia="Calibri" w:hAnsi="Calibri"/>
                  <w:sz w:val="18"/>
                  <w:szCs w:val="18"/>
                  <w:color w:val="7A04DD"/>
                </w:rPr>
                <w:t>Third Amendment to Lease Agreement, dated as of December</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w w:val="96"/>
              </w:rPr>
              <w:t>10-K</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2/20/2018</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10.94</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160" w:type="dxa"/>
            <w:vAlign w:val="bottom"/>
            <w:shd w:val="clear" w:color="auto" w:fill="7A04DD"/>
          </w:tcPr>
          <w:p>
            <w:pPr>
              <w:spacing w:after="0" w:line="20" w:lineRule="exact"/>
              <w:rPr>
                <w:sz w:val="1"/>
                <w:szCs w:val="1"/>
                <w:color w:val="auto"/>
              </w:rPr>
            </w:pPr>
          </w:p>
        </w:tc>
        <w:tc>
          <w:tcPr>
            <w:tcW w:w="3560" w:type="dxa"/>
            <w:vAlign w:val="bottom"/>
            <w:gridSpan w:val="9"/>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40" w:type="dxa"/>
            <w:vAlign w:val="bottom"/>
            <w:gridSpan w:val="2"/>
            <w:shd w:val="clear" w:color="auto" w:fill="7A04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80" w:type="dxa"/>
            <w:vAlign w:val="bottom"/>
            <w:gridSpan w:val="23"/>
          </w:tcPr>
          <w:p>
            <w:pPr>
              <w:spacing w:after="0" w:line="196" w:lineRule="exact"/>
              <w:rPr>
                <w:rFonts w:ascii="Calibri" w:cs="Calibri" w:eastAsia="Calibri" w:hAnsi="Calibri"/>
                <w:sz w:val="18"/>
                <w:szCs w:val="18"/>
                <w:color w:val="7A04DD"/>
              </w:rPr>
            </w:pPr>
            <w:hyperlink r:id="rId509">
              <w:r>
                <w:rPr>
                  <w:rFonts w:ascii="Calibri" w:cs="Calibri" w:eastAsia="Calibri" w:hAnsi="Calibri"/>
                  <w:sz w:val="18"/>
                  <w:szCs w:val="18"/>
                  <w:color w:val="7A04DD"/>
                </w:rPr>
                <w:t>11, 2017, between HPBB1, LLC and BBHQ1, LLC (a subsidiary of</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Borders>
              <w:top w:val="single" w:sz="8" w:color="7A04DD"/>
            </w:tcBorders>
            <w:gridSpan w:val="18"/>
          </w:tcPr>
          <w:p>
            <w:pPr>
              <w:spacing w:after="0" w:line="196" w:lineRule="exact"/>
              <w:rPr>
                <w:rFonts w:ascii="Calibri" w:cs="Calibri" w:eastAsia="Calibri" w:hAnsi="Calibri"/>
                <w:sz w:val="18"/>
                <w:szCs w:val="18"/>
                <w:color w:val="7A04DD"/>
              </w:rPr>
            </w:pPr>
            <w:hyperlink r:id="rId509">
              <w:r>
                <w:rPr>
                  <w:rFonts w:ascii="Calibri" w:cs="Calibri" w:eastAsia="Calibri" w:hAnsi="Calibri"/>
                  <w:sz w:val="18"/>
                  <w:szCs w:val="18"/>
                  <w:color w:val="7A04DD"/>
                </w:rPr>
                <w:t>Blackbaud, Inc.)</w:t>
              </w:r>
            </w:hyperlink>
          </w:p>
        </w:tc>
        <w:tc>
          <w:tcPr>
            <w:tcW w:w="32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1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shd w:val="clear" w:color="auto" w:fill="EBFBFF"/>
          </w:tcPr>
          <w:p>
            <w:pPr>
              <w:jc w:val="right"/>
              <w:spacing w:after="0" w:line="189" w:lineRule="exact"/>
              <w:rPr>
                <w:rFonts w:ascii="Calibri" w:cs="Calibri" w:eastAsia="Calibri" w:hAnsi="Calibri"/>
                <w:sz w:val="18"/>
                <w:szCs w:val="18"/>
                <w:color w:val="7A04DD"/>
              </w:rPr>
            </w:pPr>
            <w:hyperlink r:id="rId510">
              <w:r>
                <w:rPr>
                  <w:rFonts w:ascii="Calibri" w:cs="Calibri" w:eastAsia="Calibri" w:hAnsi="Calibri"/>
                  <w:sz w:val="18"/>
                  <w:szCs w:val="18"/>
                  <w:color w:val="7A04DD"/>
                </w:rPr>
                <w:t>10.</w:t>
              </w:r>
              <w:r>
                <w:rPr>
                  <w:rFonts w:ascii="Calibri" w:cs="Calibri" w:eastAsia="Calibri" w:hAnsi="Calibri"/>
                  <w:sz w:val="18"/>
                  <w:szCs w:val="18"/>
                  <w:u w:val="single" w:color="auto"/>
                  <w:color w:val="7A04DD"/>
                </w:rPr>
                <w:t>7</w:t>
              </w:r>
            </w:hyperlink>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3"/>
            <w:shd w:val="clear" w:color="auto" w:fill="EBFBFF"/>
          </w:tcPr>
          <w:p>
            <w:pPr>
              <w:spacing w:after="0" w:line="189" w:lineRule="exact"/>
              <w:rPr>
                <w:rFonts w:ascii="Calibri" w:cs="Calibri" w:eastAsia="Calibri" w:hAnsi="Calibri"/>
                <w:sz w:val="18"/>
                <w:szCs w:val="18"/>
                <w:color w:val="7A04DD"/>
              </w:rPr>
            </w:pPr>
            <w:hyperlink r:id="rId510">
              <w:r>
                <w:rPr>
                  <w:rFonts w:ascii="Calibri" w:cs="Calibri" w:eastAsia="Calibri" w:hAnsi="Calibri"/>
                  <w:sz w:val="18"/>
                  <w:szCs w:val="18"/>
                  <w:color w:val="7A04DD"/>
                </w:rPr>
                <w:t>Fourth Amendment to Lease Agreement, dated as of February</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5/4/2018</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10.95</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700" w:type="dxa"/>
            <w:vAlign w:val="bottom"/>
            <w:tcBorders>
              <w:left w:val="single" w:sz="8" w:color="EBFBFF"/>
            </w:tcBorders>
            <w:shd w:val="clear" w:color="auto" w:fill="EBFBFF"/>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160" w:type="dxa"/>
            <w:vAlign w:val="bottom"/>
            <w:shd w:val="clear" w:color="auto" w:fill="7A04DD"/>
          </w:tcPr>
          <w:p>
            <w:pPr>
              <w:spacing w:after="0" w:line="20" w:lineRule="exact"/>
              <w:rPr>
                <w:sz w:val="1"/>
                <w:szCs w:val="1"/>
                <w:color w:val="auto"/>
              </w:rPr>
            </w:pPr>
          </w:p>
        </w:tc>
        <w:tc>
          <w:tcPr>
            <w:tcW w:w="3560" w:type="dxa"/>
            <w:vAlign w:val="bottom"/>
            <w:gridSpan w:val="9"/>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60" w:type="dxa"/>
            <w:vAlign w:val="bottom"/>
            <w:gridSpan w:val="3"/>
            <w:shd w:val="clear" w:color="auto" w:fill="7A04DD"/>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60" w:type="dxa"/>
            <w:vAlign w:val="bottom"/>
            <w:shd w:val="clear" w:color="auto" w:fill="EBFBFF"/>
          </w:tcPr>
          <w:p>
            <w:pPr>
              <w:spacing w:after="0" w:line="20" w:lineRule="exact"/>
              <w:rPr>
                <w:sz w:val="1"/>
                <w:szCs w:val="1"/>
                <w:color w:val="auto"/>
              </w:rPr>
            </w:pPr>
          </w:p>
        </w:tc>
        <w:tc>
          <w:tcPr>
            <w:tcW w:w="60" w:type="dxa"/>
            <w:vAlign w:val="bottom"/>
            <w:shd w:val="clear" w:color="auto" w:fill="EBFBFF"/>
          </w:tcPr>
          <w:p>
            <w:pPr>
              <w:spacing w:after="0" w:line="20" w:lineRule="exact"/>
              <w:rPr>
                <w:sz w:val="1"/>
                <w:szCs w:val="1"/>
                <w:color w:val="auto"/>
              </w:rPr>
            </w:pPr>
          </w:p>
        </w:tc>
        <w:tc>
          <w:tcPr>
            <w:tcW w:w="6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20" w:type="dxa"/>
            <w:vAlign w:val="bottom"/>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1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220" w:type="dxa"/>
            <w:vAlign w:val="bottom"/>
            <w:shd w:val="clear" w:color="auto" w:fill="EBFBFF"/>
          </w:tcPr>
          <w:p>
            <w:pPr>
              <w:spacing w:after="0"/>
              <w:rPr>
                <w:sz w:val="17"/>
                <w:szCs w:val="17"/>
                <w:color w:val="auto"/>
              </w:rPr>
            </w:pPr>
          </w:p>
        </w:tc>
        <w:tc>
          <w:tcPr>
            <w:tcW w:w="70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3"/>
            <w:shd w:val="clear" w:color="auto" w:fill="EBFBFF"/>
          </w:tcPr>
          <w:p>
            <w:pPr>
              <w:spacing w:after="0" w:line="196" w:lineRule="exact"/>
              <w:rPr>
                <w:rFonts w:ascii="Calibri" w:cs="Calibri" w:eastAsia="Calibri" w:hAnsi="Calibri"/>
                <w:sz w:val="18"/>
                <w:szCs w:val="18"/>
                <w:color w:val="7A04DD"/>
              </w:rPr>
            </w:pPr>
            <w:hyperlink r:id="rId510">
              <w:r>
                <w:rPr>
                  <w:rFonts w:ascii="Calibri" w:cs="Calibri" w:eastAsia="Calibri" w:hAnsi="Calibri"/>
                  <w:sz w:val="18"/>
                  <w:szCs w:val="18"/>
                  <w:color w:val="7A04DD"/>
                </w:rPr>
                <w:t>28, 2018, between HPBB1, LLC and BBHQ1, LLC (a subsidiary of</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EBFBFF"/>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460" w:type="dxa"/>
            <w:vAlign w:val="bottom"/>
            <w:tcBorders>
              <w:top w:val="single" w:sz="8" w:color="7A04DD"/>
            </w:tcBorders>
            <w:gridSpan w:val="18"/>
            <w:shd w:val="clear" w:color="auto" w:fill="EBFBFF"/>
          </w:tcPr>
          <w:p>
            <w:pPr>
              <w:spacing w:after="0" w:line="196" w:lineRule="exact"/>
              <w:rPr>
                <w:rFonts w:ascii="Calibri" w:cs="Calibri" w:eastAsia="Calibri" w:hAnsi="Calibri"/>
                <w:sz w:val="18"/>
                <w:szCs w:val="18"/>
                <w:color w:val="7A04DD"/>
              </w:rPr>
            </w:pPr>
            <w:hyperlink r:id="rId510">
              <w:r>
                <w:rPr>
                  <w:rFonts w:ascii="Calibri" w:cs="Calibri" w:eastAsia="Calibri" w:hAnsi="Calibri"/>
                  <w:sz w:val="18"/>
                  <w:szCs w:val="18"/>
                  <w:color w:val="7A04DD"/>
                </w:rPr>
                <w:t>Blackbaud, Inc.)</w:t>
              </w:r>
            </w:hyperlink>
          </w:p>
        </w:tc>
        <w:tc>
          <w:tcPr>
            <w:tcW w:w="320" w:type="dxa"/>
            <w:vAlign w:val="bottom"/>
            <w:tcBorders>
              <w:top w:val="single" w:sz="8" w:color="EBFBFF"/>
            </w:tcBorders>
            <w:gridSpan w:val="5"/>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EBFBFF"/>
            </w:tcBorders>
            <w:shd w:val="clear" w:color="auto" w:fill="EBFBFF"/>
          </w:tcPr>
          <w:p>
            <w:pPr>
              <w:spacing w:after="0"/>
              <w:rPr>
                <w:sz w:val="5"/>
                <w:szCs w:val="5"/>
                <w:color w:val="auto"/>
              </w:rPr>
            </w:pPr>
          </w:p>
        </w:tc>
        <w:tc>
          <w:tcPr>
            <w:tcW w:w="17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tcPr>
          <w:p>
            <w:pPr>
              <w:jc w:val="right"/>
              <w:spacing w:after="0" w:line="189" w:lineRule="exact"/>
              <w:rPr>
                <w:rFonts w:ascii="Calibri" w:cs="Calibri" w:eastAsia="Calibri" w:hAnsi="Calibri"/>
                <w:sz w:val="18"/>
                <w:szCs w:val="18"/>
                <w:color w:val="7A04DD"/>
              </w:rPr>
            </w:pPr>
            <w:hyperlink r:id="rId511">
              <w:r>
                <w:rPr>
                  <w:rFonts w:ascii="Calibri" w:cs="Calibri" w:eastAsia="Calibri" w:hAnsi="Calibri"/>
                  <w:sz w:val="18"/>
                  <w:szCs w:val="18"/>
                  <w:color w:val="7A04DD"/>
                </w:rPr>
                <w:t>10.</w:t>
              </w:r>
              <w:r>
                <w:rPr>
                  <w:rFonts w:ascii="Calibri" w:cs="Calibri" w:eastAsia="Calibri" w:hAnsi="Calibri"/>
                  <w:sz w:val="18"/>
                  <w:szCs w:val="18"/>
                  <w:u w:val="single" w:color="auto"/>
                  <w:color w:val="7A04DD"/>
                </w:rPr>
                <w:t>8</w:t>
              </w:r>
            </w:hyperlink>
          </w:p>
        </w:tc>
        <w:tc>
          <w:tcPr>
            <w:tcW w:w="700" w:type="dxa"/>
            <w:vAlign w:val="bottom"/>
          </w:tcPr>
          <w:p>
            <w:pPr>
              <w:ind w:left="40"/>
              <w:spacing w:after="0" w:line="189" w:lineRule="exact"/>
              <w:rPr>
                <w:sz w:val="20"/>
                <w:szCs w:val="20"/>
                <w:color w:val="auto"/>
              </w:rPr>
            </w:pPr>
            <w:r>
              <w:rPr>
                <w:rFonts w:ascii="Calibri" w:cs="Calibri" w:eastAsia="Calibri" w:hAnsi="Calibri"/>
                <w:sz w:val="18"/>
                <w:szCs w:val="18"/>
                <w:color w:val="51555C"/>
              </w:rPr>
              <w:t>†</w:t>
            </w:r>
          </w:p>
        </w:tc>
        <w:tc>
          <w:tcPr>
            <w:tcW w:w="4780" w:type="dxa"/>
            <w:vAlign w:val="bottom"/>
            <w:gridSpan w:val="23"/>
          </w:tcPr>
          <w:p>
            <w:pPr>
              <w:spacing w:after="0" w:line="189" w:lineRule="exact"/>
              <w:rPr>
                <w:rFonts w:ascii="Calibri" w:cs="Calibri" w:eastAsia="Calibri" w:hAnsi="Calibri"/>
                <w:sz w:val="18"/>
                <w:szCs w:val="18"/>
                <w:color w:val="7A04DD"/>
              </w:rPr>
            </w:pPr>
            <w:hyperlink r:id="rId511">
              <w:r>
                <w:rPr>
                  <w:rFonts w:ascii="Calibri" w:cs="Calibri" w:eastAsia="Calibri" w:hAnsi="Calibri"/>
                  <w:sz w:val="18"/>
                  <w:szCs w:val="18"/>
                  <w:color w:val="7A04DD"/>
                </w:rPr>
                <w:t>Ofer Leter Agreement between Blackbaud, Inc. and Kevin P.</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5/3/2019</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10.96</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7A04DD"/>
            </w:tcBorders>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700" w:type="dxa"/>
            <w:vAlign w:val="bottom"/>
          </w:tcPr>
          <w:p>
            <w:pPr>
              <w:spacing w:after="0"/>
              <w:rPr>
                <w:sz w:val="17"/>
                <w:szCs w:val="17"/>
                <w:color w:val="auto"/>
              </w:rPr>
            </w:pPr>
          </w:p>
        </w:tc>
        <w:tc>
          <w:tcPr>
            <w:tcW w:w="4320" w:type="dxa"/>
            <w:vAlign w:val="bottom"/>
            <w:tcBorders>
              <w:top w:val="single" w:sz="8" w:color="7A04DD"/>
            </w:tcBorders>
            <w:gridSpan w:val="12"/>
          </w:tcPr>
          <w:p>
            <w:pPr>
              <w:spacing w:after="0" w:line="196" w:lineRule="exact"/>
              <w:rPr>
                <w:rFonts w:ascii="Calibri" w:cs="Calibri" w:eastAsia="Calibri" w:hAnsi="Calibri"/>
                <w:sz w:val="18"/>
                <w:szCs w:val="18"/>
                <w:color w:val="7A04DD"/>
              </w:rPr>
            </w:pPr>
            <w:hyperlink r:id="rId511">
              <w:r>
                <w:rPr>
                  <w:rFonts w:ascii="Calibri" w:cs="Calibri" w:eastAsia="Calibri" w:hAnsi="Calibri"/>
                  <w:sz w:val="18"/>
                  <w:szCs w:val="18"/>
                  <w:color w:val="7A04DD"/>
                </w:rPr>
                <w:t>Gregoire</w:t>
              </w:r>
            </w:hyperlink>
          </w:p>
        </w:tc>
        <w:tc>
          <w:tcPr>
            <w:tcW w:w="460" w:type="dxa"/>
            <w:vAlign w:val="bottom"/>
            <w:gridSpan w:val="11"/>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gridSpan w:val="4"/>
            <w:shd w:val="clear" w:color="auto" w:fill="EBFBFF"/>
          </w:tcPr>
          <w:p>
            <w:pPr>
              <w:jc w:val="right"/>
              <w:spacing w:after="0" w:line="189" w:lineRule="exact"/>
              <w:rPr>
                <w:rFonts w:ascii="Calibri" w:cs="Calibri" w:eastAsia="Calibri" w:hAnsi="Calibri"/>
                <w:sz w:val="18"/>
                <w:szCs w:val="18"/>
                <w:color w:val="7A04DD"/>
              </w:rPr>
            </w:pPr>
            <w:hyperlink r:id="rId512">
              <w:r>
                <w:rPr>
                  <w:rFonts w:ascii="Calibri" w:cs="Calibri" w:eastAsia="Calibri" w:hAnsi="Calibri"/>
                  <w:sz w:val="18"/>
                  <w:szCs w:val="18"/>
                  <w:color w:val="7A04DD"/>
                </w:rPr>
                <w:t>10.</w:t>
              </w:r>
              <w:r>
                <w:rPr>
                  <w:rFonts w:ascii="Calibri" w:cs="Calibri" w:eastAsia="Calibri" w:hAnsi="Calibri"/>
                  <w:sz w:val="18"/>
                  <w:szCs w:val="18"/>
                  <w:u w:val="single" w:color="auto"/>
                  <w:color w:val="7A04DD"/>
                </w:rPr>
                <w:t>9</w:t>
              </w:r>
            </w:hyperlink>
          </w:p>
        </w:tc>
        <w:tc>
          <w:tcPr>
            <w:tcW w:w="700" w:type="dxa"/>
            <w:vAlign w:val="bottom"/>
            <w:tcBorders>
              <w:left w:val="single" w:sz="8" w:color="EBFBFF"/>
            </w:tcBorders>
            <w:shd w:val="clear" w:color="auto" w:fill="EBFBFF"/>
          </w:tcPr>
          <w:p>
            <w:pPr>
              <w:ind w:left="40"/>
              <w:spacing w:after="0" w:line="189" w:lineRule="exact"/>
              <w:rPr>
                <w:sz w:val="20"/>
                <w:szCs w:val="20"/>
                <w:color w:val="auto"/>
              </w:rPr>
            </w:pPr>
            <w:r>
              <w:rPr>
                <w:rFonts w:ascii="Calibri" w:cs="Calibri" w:eastAsia="Calibri" w:hAnsi="Calibri"/>
                <w:sz w:val="18"/>
                <w:szCs w:val="18"/>
                <w:color w:val="51555C"/>
              </w:rPr>
              <w:t>†</w:t>
            </w:r>
          </w:p>
        </w:tc>
        <w:tc>
          <w:tcPr>
            <w:tcW w:w="4780" w:type="dxa"/>
            <w:vAlign w:val="bottom"/>
            <w:gridSpan w:val="23"/>
            <w:shd w:val="clear" w:color="auto" w:fill="EBFBFF"/>
          </w:tcPr>
          <w:p>
            <w:pPr>
              <w:spacing w:after="0" w:line="189" w:lineRule="exact"/>
              <w:rPr>
                <w:rFonts w:ascii="Calibri" w:cs="Calibri" w:eastAsia="Calibri" w:hAnsi="Calibri"/>
                <w:sz w:val="18"/>
                <w:szCs w:val="18"/>
                <w:color w:val="7A04DD"/>
                <w:w w:val="99"/>
              </w:rPr>
            </w:pPr>
            <w:hyperlink r:id="rId512">
              <w:r>
                <w:rPr>
                  <w:rFonts w:ascii="Calibri" w:cs="Calibri" w:eastAsia="Calibri" w:hAnsi="Calibri"/>
                  <w:sz w:val="18"/>
                  <w:szCs w:val="18"/>
                  <w:color w:val="7A04DD"/>
                  <w:w w:val="99"/>
                </w:rPr>
                <w:t>Form of Employee Agreement between Blackbaud, Inc. and Kevin</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5/3/2019</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10.97</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660" w:type="dxa"/>
            <w:vAlign w:val="bottom"/>
            <w:tcBorders>
              <w:top w:val="single" w:sz="8" w:color="7A04DD"/>
            </w:tcBorders>
            <w:gridSpan w:val="22"/>
            <w:shd w:val="clear" w:color="auto" w:fill="EBFBFF"/>
          </w:tcPr>
          <w:p>
            <w:pPr>
              <w:spacing w:after="0" w:line="196" w:lineRule="exact"/>
              <w:rPr>
                <w:rFonts w:ascii="Calibri" w:cs="Calibri" w:eastAsia="Calibri" w:hAnsi="Calibri"/>
                <w:sz w:val="18"/>
                <w:szCs w:val="18"/>
                <w:color w:val="7A04DD"/>
              </w:rPr>
            </w:pPr>
            <w:hyperlink r:id="rId512">
              <w:r>
                <w:rPr>
                  <w:rFonts w:ascii="Calibri" w:cs="Calibri" w:eastAsia="Calibri" w:hAnsi="Calibri"/>
                  <w:sz w:val="18"/>
                  <w:szCs w:val="18"/>
                  <w:color w:val="7A04DD"/>
                </w:rPr>
                <w:t>P. Gregoire</w:t>
              </w:r>
            </w:hyperlink>
          </w:p>
        </w:tc>
        <w:tc>
          <w:tcPr>
            <w:tcW w:w="120" w:type="dxa"/>
            <w:vAlign w:val="bottom"/>
            <w:tcBorders>
              <w:top w:val="single" w:sz="8" w:color="EBFBFF"/>
            </w:tcBorders>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380" w:type="dxa"/>
            <w:vAlign w:val="bottom"/>
            <w:tcBorders>
              <w:top w:val="single" w:sz="8" w:color="EBFBFF"/>
            </w:tcBorders>
            <w:shd w:val="clear" w:color="auto" w:fill="EBFBFF"/>
          </w:tcPr>
          <w:p>
            <w:pPr>
              <w:spacing w:after="0"/>
              <w:rPr>
                <w:sz w:val="5"/>
                <w:szCs w:val="5"/>
                <w:color w:val="auto"/>
              </w:rPr>
            </w:pPr>
          </w:p>
        </w:tc>
        <w:tc>
          <w:tcPr>
            <w:tcW w:w="17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00" w:type="dxa"/>
            <w:vAlign w:val="bottom"/>
            <w:gridSpan w:val="3"/>
          </w:tcPr>
          <w:p>
            <w:pPr>
              <w:jc w:val="right"/>
              <w:spacing w:after="0" w:line="189" w:lineRule="exact"/>
              <w:rPr>
                <w:rFonts w:ascii="Calibri" w:cs="Calibri" w:eastAsia="Calibri" w:hAnsi="Calibri"/>
                <w:sz w:val="18"/>
                <w:szCs w:val="18"/>
                <w:color w:val="7A04DD"/>
                <w:w w:val="97"/>
              </w:rPr>
            </w:pPr>
            <w:hyperlink r:id="rId513">
              <w:r>
                <w:rPr>
                  <w:rFonts w:ascii="Calibri" w:cs="Calibri" w:eastAsia="Calibri" w:hAnsi="Calibri"/>
                  <w:sz w:val="18"/>
                  <w:szCs w:val="18"/>
                  <w:color w:val="7A04DD"/>
                  <w:w w:val="97"/>
                </w:rPr>
                <w:t>10.</w:t>
              </w:r>
              <w:r>
                <w:rPr>
                  <w:rFonts w:ascii="Calibri" w:cs="Calibri" w:eastAsia="Calibri" w:hAnsi="Calibri"/>
                  <w:sz w:val="18"/>
                  <w:szCs w:val="18"/>
                  <w:u w:val="single" w:color="auto"/>
                  <w:color w:val="7A04DD"/>
                  <w:w w:val="97"/>
                </w:rPr>
                <w:t>10</w:t>
              </w:r>
            </w:hyperlink>
          </w:p>
        </w:tc>
        <w:tc>
          <w:tcPr>
            <w:tcW w:w="700" w:type="dxa"/>
            <w:vAlign w:val="bottom"/>
          </w:tcPr>
          <w:p>
            <w:pPr>
              <w:spacing w:after="0"/>
              <w:rPr>
                <w:sz w:val="16"/>
                <w:szCs w:val="16"/>
                <w:color w:val="auto"/>
              </w:rPr>
            </w:pPr>
          </w:p>
        </w:tc>
        <w:tc>
          <w:tcPr>
            <w:tcW w:w="4780" w:type="dxa"/>
            <w:vAlign w:val="bottom"/>
            <w:gridSpan w:val="23"/>
          </w:tcPr>
          <w:p>
            <w:pPr>
              <w:spacing w:after="0" w:line="189" w:lineRule="exact"/>
              <w:rPr>
                <w:rFonts w:ascii="Calibri" w:cs="Calibri" w:eastAsia="Calibri" w:hAnsi="Calibri"/>
                <w:sz w:val="18"/>
                <w:szCs w:val="18"/>
                <w:color w:val="7A04DD"/>
              </w:rPr>
            </w:pPr>
            <w:hyperlink r:id="rId513">
              <w:r>
                <w:rPr>
                  <w:rFonts w:ascii="Calibri" w:cs="Calibri" w:eastAsia="Calibri" w:hAnsi="Calibri"/>
                  <w:sz w:val="18"/>
                  <w:szCs w:val="18"/>
                  <w:color w:val="7A04DD"/>
                </w:rPr>
                <w:t>Fifh Amendment to Lease Agreement, dated as of February 18,</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8/4/2020</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Borders>
              <w:top w:val="single" w:sz="8" w:color="7A04DD"/>
            </w:tcBorders>
          </w:tcPr>
          <w:p>
            <w:pPr>
              <w:spacing w:after="0"/>
              <w:rPr>
                <w:sz w:val="17"/>
                <w:szCs w:val="17"/>
                <w:color w:val="auto"/>
              </w:rPr>
            </w:pPr>
          </w:p>
        </w:tc>
        <w:tc>
          <w:tcPr>
            <w:tcW w:w="80" w:type="dxa"/>
            <w:vAlign w:val="bottom"/>
            <w:tcBorders>
              <w:top w:val="single" w:sz="8" w:color="7A04DD"/>
            </w:tcBorders>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700" w:type="dxa"/>
            <w:vAlign w:val="bottom"/>
          </w:tcPr>
          <w:p>
            <w:pPr>
              <w:spacing w:after="0"/>
              <w:rPr>
                <w:sz w:val="17"/>
                <w:szCs w:val="17"/>
                <w:color w:val="auto"/>
              </w:rPr>
            </w:pPr>
          </w:p>
        </w:tc>
        <w:tc>
          <w:tcPr>
            <w:tcW w:w="4520" w:type="dxa"/>
            <w:vAlign w:val="bottom"/>
            <w:tcBorders>
              <w:top w:val="single" w:sz="8" w:color="7A04DD"/>
            </w:tcBorders>
            <w:gridSpan w:val="19"/>
          </w:tcPr>
          <w:p>
            <w:pPr>
              <w:spacing w:after="0" w:line="196" w:lineRule="exact"/>
              <w:rPr>
                <w:rFonts w:ascii="Calibri" w:cs="Calibri" w:eastAsia="Calibri" w:hAnsi="Calibri"/>
                <w:sz w:val="18"/>
                <w:szCs w:val="18"/>
                <w:color w:val="7A04DD"/>
              </w:rPr>
            </w:pPr>
            <w:hyperlink r:id="rId513">
              <w:r>
                <w:rPr>
                  <w:rFonts w:ascii="Calibri" w:cs="Calibri" w:eastAsia="Calibri" w:hAnsi="Calibri"/>
                  <w:sz w:val="18"/>
                  <w:szCs w:val="18"/>
                  <w:color w:val="7A04DD"/>
                </w:rPr>
                <w:t>2020, between HPBB1, LLC and BBHQ1, LLC (a subsidiary of</w:t>
              </w:r>
            </w:hyperlink>
          </w:p>
        </w:tc>
        <w:tc>
          <w:tcPr>
            <w:tcW w:w="26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140" w:type="dxa"/>
            <w:vAlign w:val="bottom"/>
            <w:tcBorders>
              <w:top w:val="single" w:sz="8" w:color="7A04DD"/>
            </w:tcBorders>
            <w:gridSpan w:val="10"/>
          </w:tcPr>
          <w:p>
            <w:pPr>
              <w:spacing w:after="0" w:line="196" w:lineRule="exact"/>
              <w:rPr>
                <w:rFonts w:ascii="Calibri" w:cs="Calibri" w:eastAsia="Calibri" w:hAnsi="Calibri"/>
                <w:sz w:val="18"/>
                <w:szCs w:val="18"/>
                <w:color w:val="7A04DD"/>
              </w:rPr>
            </w:pPr>
            <w:hyperlink r:id="rId513">
              <w:r>
                <w:rPr>
                  <w:rFonts w:ascii="Calibri" w:cs="Calibri" w:eastAsia="Calibri" w:hAnsi="Calibri"/>
                  <w:sz w:val="18"/>
                  <w:szCs w:val="18"/>
                  <w:color w:val="7A04DD"/>
                </w:rPr>
                <w:t>Blackbaud, Inc.)</w:t>
              </w:r>
            </w:hyperlink>
          </w:p>
        </w:tc>
        <w:tc>
          <w:tcPr>
            <w:tcW w:w="640" w:type="dxa"/>
            <w:vAlign w:val="bottom"/>
            <w:gridSpan w:val="13"/>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1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EBFBFF"/>
          </w:tcPr>
          <w:p>
            <w:pPr>
              <w:spacing w:after="0"/>
              <w:rPr>
                <w:sz w:val="16"/>
                <w:szCs w:val="16"/>
                <w:color w:val="auto"/>
              </w:rPr>
            </w:pPr>
          </w:p>
        </w:tc>
        <w:tc>
          <w:tcPr>
            <w:tcW w:w="400" w:type="dxa"/>
            <w:vAlign w:val="bottom"/>
            <w:gridSpan w:val="3"/>
            <w:shd w:val="clear" w:color="auto" w:fill="EBFBFF"/>
          </w:tcPr>
          <w:p>
            <w:pPr>
              <w:jc w:val="right"/>
              <w:spacing w:after="0" w:line="189" w:lineRule="exact"/>
              <w:rPr>
                <w:rFonts w:ascii="Calibri" w:cs="Calibri" w:eastAsia="Calibri" w:hAnsi="Calibri"/>
                <w:sz w:val="18"/>
                <w:szCs w:val="18"/>
                <w:color w:val="7A04DD"/>
                <w:w w:val="97"/>
              </w:rPr>
            </w:pPr>
            <w:hyperlink r:id="rId514">
              <w:r>
                <w:rPr>
                  <w:rFonts w:ascii="Calibri" w:cs="Calibri" w:eastAsia="Calibri" w:hAnsi="Calibri"/>
                  <w:sz w:val="18"/>
                  <w:szCs w:val="18"/>
                  <w:color w:val="7A04DD"/>
                  <w:w w:val="97"/>
                </w:rPr>
                <w:t>10.</w:t>
              </w:r>
            </w:hyperlink>
            <w:r>
              <w:rPr>
                <w:rFonts w:ascii="Calibri" w:cs="Calibri" w:eastAsia="Calibri" w:hAnsi="Calibri"/>
                <w:sz w:val="18"/>
                <w:szCs w:val="18"/>
                <w:u w:val="single" w:color="auto"/>
                <w:color w:val="7A04DD"/>
                <w:w w:val="97"/>
              </w:rPr>
              <w:t>11</w:t>
            </w:r>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3"/>
            <w:shd w:val="clear" w:color="auto" w:fill="EBFBFF"/>
          </w:tcPr>
          <w:p>
            <w:pPr>
              <w:spacing w:after="0" w:line="189" w:lineRule="exact"/>
              <w:rPr>
                <w:rFonts w:ascii="Calibri" w:cs="Calibri" w:eastAsia="Calibri" w:hAnsi="Calibri"/>
                <w:sz w:val="18"/>
                <w:szCs w:val="18"/>
                <w:color w:val="7A04DD"/>
              </w:rPr>
            </w:pPr>
            <w:hyperlink r:id="rId514">
              <w:r>
                <w:rPr>
                  <w:rFonts w:ascii="Calibri" w:cs="Calibri" w:eastAsia="Calibri" w:hAnsi="Calibri"/>
                  <w:sz w:val="18"/>
                  <w:szCs w:val="18"/>
                  <w:color w:val="7A04DD"/>
                </w:rPr>
                <w:t>Sixth Amendment to Lease Agreement, dated as of March 17,</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8/4/2020</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10.2</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7A04DD"/>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360" w:type="dxa"/>
            <w:vAlign w:val="bottom"/>
            <w:tcBorders>
              <w:top w:val="single" w:sz="8" w:color="7A04DD"/>
            </w:tcBorders>
            <w:gridSpan w:val="13"/>
            <w:shd w:val="clear" w:color="auto" w:fill="EBFBFF"/>
          </w:tcPr>
          <w:p>
            <w:pPr>
              <w:spacing w:after="0" w:line="196" w:lineRule="exact"/>
              <w:rPr>
                <w:rFonts w:ascii="Calibri" w:cs="Calibri" w:eastAsia="Calibri" w:hAnsi="Calibri"/>
                <w:sz w:val="18"/>
                <w:szCs w:val="18"/>
                <w:color w:val="7A04DD"/>
              </w:rPr>
            </w:pPr>
            <w:hyperlink r:id="rId514">
              <w:r>
                <w:rPr>
                  <w:rFonts w:ascii="Calibri" w:cs="Calibri" w:eastAsia="Calibri" w:hAnsi="Calibri"/>
                  <w:sz w:val="18"/>
                  <w:szCs w:val="18"/>
                  <w:color w:val="7A04DD"/>
                </w:rPr>
                <w:t>2020, between HPBB1, LLC and BBHQ1, LLC (a subsidiary of</w:t>
              </w:r>
            </w:hyperlink>
          </w:p>
        </w:tc>
        <w:tc>
          <w:tcPr>
            <w:tcW w:w="420" w:type="dxa"/>
            <w:vAlign w:val="bottom"/>
            <w:tcBorders>
              <w:top w:val="single" w:sz="8" w:color="EBFBFF"/>
            </w:tcBorders>
            <w:gridSpan w:val="10"/>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EBFBFF"/>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140" w:type="dxa"/>
            <w:vAlign w:val="bottom"/>
            <w:tcBorders>
              <w:top w:val="single" w:sz="8" w:color="7A04DD"/>
            </w:tcBorders>
            <w:gridSpan w:val="10"/>
            <w:shd w:val="clear" w:color="auto" w:fill="EBFBFF"/>
          </w:tcPr>
          <w:p>
            <w:pPr>
              <w:spacing w:after="0" w:line="196" w:lineRule="exact"/>
              <w:rPr>
                <w:rFonts w:ascii="Calibri" w:cs="Calibri" w:eastAsia="Calibri" w:hAnsi="Calibri"/>
                <w:sz w:val="18"/>
                <w:szCs w:val="18"/>
                <w:color w:val="7A04DD"/>
              </w:rPr>
            </w:pPr>
            <w:hyperlink r:id="rId514">
              <w:r>
                <w:rPr>
                  <w:rFonts w:ascii="Calibri" w:cs="Calibri" w:eastAsia="Calibri" w:hAnsi="Calibri"/>
                  <w:sz w:val="18"/>
                  <w:szCs w:val="18"/>
                  <w:color w:val="7A04DD"/>
                </w:rPr>
                <w:t>Blackbaud, Inc.)</w:t>
              </w:r>
            </w:hyperlink>
          </w:p>
        </w:tc>
        <w:tc>
          <w:tcPr>
            <w:tcW w:w="640" w:type="dxa"/>
            <w:vAlign w:val="bottom"/>
            <w:tcBorders>
              <w:top w:val="single" w:sz="8" w:color="EBFBFF"/>
              <w:left w:val="single" w:sz="8" w:color="EBFBFF"/>
            </w:tcBorders>
            <w:gridSpan w:val="13"/>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EBFBFF"/>
            </w:tcBorders>
            <w:shd w:val="clear" w:color="auto" w:fill="EBFBFF"/>
          </w:tcPr>
          <w:p>
            <w:pPr>
              <w:spacing w:after="0"/>
              <w:rPr>
                <w:sz w:val="5"/>
                <w:szCs w:val="5"/>
                <w:color w:val="auto"/>
              </w:rPr>
            </w:pPr>
          </w:p>
        </w:tc>
        <w:tc>
          <w:tcPr>
            <w:tcW w:w="17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00" w:type="dxa"/>
            <w:vAlign w:val="bottom"/>
            <w:gridSpan w:val="3"/>
          </w:tcPr>
          <w:p>
            <w:pPr>
              <w:jc w:val="right"/>
              <w:spacing w:after="0" w:line="189" w:lineRule="exact"/>
              <w:rPr>
                <w:rFonts w:ascii="Calibri" w:cs="Calibri" w:eastAsia="Calibri" w:hAnsi="Calibri"/>
                <w:sz w:val="18"/>
                <w:szCs w:val="18"/>
                <w:color w:val="7A04DD"/>
                <w:w w:val="97"/>
              </w:rPr>
            </w:pPr>
            <w:hyperlink r:id="rId515">
              <w:r>
                <w:rPr>
                  <w:rFonts w:ascii="Calibri" w:cs="Calibri" w:eastAsia="Calibri" w:hAnsi="Calibri"/>
                  <w:sz w:val="18"/>
                  <w:szCs w:val="18"/>
                  <w:color w:val="7A04DD"/>
                  <w:w w:val="97"/>
                </w:rPr>
                <w:t>10.</w:t>
              </w:r>
            </w:hyperlink>
            <w:r>
              <w:rPr>
                <w:rFonts w:ascii="Calibri" w:cs="Calibri" w:eastAsia="Calibri" w:hAnsi="Calibri"/>
                <w:sz w:val="18"/>
                <w:szCs w:val="18"/>
                <w:u w:val="single" w:color="auto"/>
                <w:color w:val="7A04DD"/>
                <w:w w:val="97"/>
              </w:rPr>
              <w:t>12</w:t>
            </w:r>
          </w:p>
        </w:tc>
        <w:tc>
          <w:tcPr>
            <w:tcW w:w="700" w:type="dxa"/>
            <w:vAlign w:val="bottom"/>
          </w:tcPr>
          <w:p>
            <w:pPr>
              <w:spacing w:after="0"/>
              <w:rPr>
                <w:sz w:val="16"/>
                <w:szCs w:val="16"/>
                <w:color w:val="auto"/>
              </w:rPr>
            </w:pPr>
          </w:p>
        </w:tc>
        <w:tc>
          <w:tcPr>
            <w:tcW w:w="4780" w:type="dxa"/>
            <w:vAlign w:val="bottom"/>
            <w:gridSpan w:val="23"/>
          </w:tcPr>
          <w:p>
            <w:pPr>
              <w:spacing w:after="0" w:line="189" w:lineRule="exact"/>
              <w:rPr>
                <w:rFonts w:ascii="Calibri" w:cs="Calibri" w:eastAsia="Calibri" w:hAnsi="Calibri"/>
                <w:sz w:val="18"/>
                <w:szCs w:val="18"/>
                <w:color w:val="7A04DD"/>
              </w:rPr>
            </w:pPr>
            <w:hyperlink r:id="rId515">
              <w:r>
                <w:rPr>
                  <w:rFonts w:ascii="Calibri" w:cs="Calibri" w:eastAsia="Calibri" w:hAnsi="Calibri"/>
                  <w:sz w:val="18"/>
                  <w:szCs w:val="18"/>
                  <w:color w:val="7A04DD"/>
                </w:rPr>
                <w:t>Seventh Amendment to Lease Agreement, dated as of April 14,</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8/4/2020</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10.3</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Borders>
              <w:top w:val="single" w:sz="8" w:color="7A04DD"/>
            </w:tcBorders>
          </w:tcPr>
          <w:p>
            <w:pPr>
              <w:spacing w:after="0"/>
              <w:rPr>
                <w:sz w:val="17"/>
                <w:szCs w:val="17"/>
                <w:color w:val="auto"/>
              </w:rPr>
            </w:pPr>
          </w:p>
        </w:tc>
        <w:tc>
          <w:tcPr>
            <w:tcW w:w="80" w:type="dxa"/>
            <w:vAlign w:val="bottom"/>
            <w:tcBorders>
              <w:top w:val="single" w:sz="8" w:color="7A04DD"/>
            </w:tcBorders>
          </w:tcPr>
          <w:p>
            <w:pPr>
              <w:spacing w:after="0"/>
              <w:rPr>
                <w:sz w:val="17"/>
                <w:szCs w:val="17"/>
                <w:color w:val="auto"/>
              </w:rPr>
            </w:pPr>
          </w:p>
        </w:tc>
        <w:tc>
          <w:tcPr>
            <w:tcW w:w="220" w:type="dxa"/>
            <w:vAlign w:val="bottom"/>
            <w:tcBorders>
              <w:top w:val="single" w:sz="8" w:color="7A04DD"/>
            </w:tcBorders>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Borders>
              <w:top w:val="single" w:sz="8" w:color="7A04DD"/>
            </w:tcBorders>
            <w:gridSpan w:val="18"/>
          </w:tcPr>
          <w:p>
            <w:pPr>
              <w:spacing w:after="0" w:line="196" w:lineRule="exact"/>
              <w:rPr>
                <w:rFonts w:ascii="Calibri" w:cs="Calibri" w:eastAsia="Calibri" w:hAnsi="Calibri"/>
                <w:sz w:val="18"/>
                <w:szCs w:val="18"/>
                <w:color w:val="7A04DD"/>
              </w:rPr>
            </w:pPr>
            <w:hyperlink r:id="rId515">
              <w:r>
                <w:rPr>
                  <w:rFonts w:ascii="Calibri" w:cs="Calibri" w:eastAsia="Calibri" w:hAnsi="Calibri"/>
                  <w:sz w:val="18"/>
                  <w:szCs w:val="18"/>
                  <w:color w:val="7A04DD"/>
                </w:rPr>
                <w:t>2020, between HPBB1, LLC and BBHQ1, LLC (a subsidiary of</w:t>
              </w:r>
            </w:hyperlink>
          </w:p>
        </w:tc>
        <w:tc>
          <w:tcPr>
            <w:tcW w:w="32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140" w:type="dxa"/>
            <w:vAlign w:val="bottom"/>
            <w:tcBorders>
              <w:top w:val="single" w:sz="8" w:color="7A04DD"/>
            </w:tcBorders>
            <w:gridSpan w:val="10"/>
          </w:tcPr>
          <w:p>
            <w:pPr>
              <w:spacing w:after="0" w:line="196" w:lineRule="exact"/>
              <w:rPr>
                <w:rFonts w:ascii="Calibri" w:cs="Calibri" w:eastAsia="Calibri" w:hAnsi="Calibri"/>
                <w:sz w:val="18"/>
                <w:szCs w:val="18"/>
                <w:color w:val="7A04DD"/>
              </w:rPr>
            </w:pPr>
            <w:hyperlink r:id="rId515">
              <w:r>
                <w:rPr>
                  <w:rFonts w:ascii="Calibri" w:cs="Calibri" w:eastAsia="Calibri" w:hAnsi="Calibri"/>
                  <w:sz w:val="18"/>
                  <w:szCs w:val="18"/>
                  <w:color w:val="7A04DD"/>
                </w:rPr>
                <w:t>Blackbaud, Inc.)</w:t>
              </w:r>
            </w:hyperlink>
          </w:p>
        </w:tc>
        <w:tc>
          <w:tcPr>
            <w:tcW w:w="640" w:type="dxa"/>
            <w:vAlign w:val="bottom"/>
            <w:gridSpan w:val="13"/>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160" w:type="dxa"/>
            <w:vAlign w:val="bottom"/>
            <w:tcBorders>
              <w:top w:val="single" w:sz="8" w:color="7A04DD"/>
            </w:tcBorders>
          </w:tcPr>
          <w:p>
            <w:pPr>
              <w:spacing w:after="0"/>
              <w:rPr>
                <w:sz w:val="5"/>
                <w:szCs w:val="5"/>
                <w:color w:val="auto"/>
              </w:rPr>
            </w:pPr>
          </w:p>
        </w:tc>
        <w:tc>
          <w:tcPr>
            <w:tcW w:w="140" w:type="dxa"/>
            <w:vAlign w:val="bottom"/>
            <w:tcBorders>
              <w:top w:val="single" w:sz="8" w:color="7A04DD"/>
            </w:tcBorders>
          </w:tcPr>
          <w:p>
            <w:pPr>
              <w:spacing w:after="0"/>
              <w:rPr>
                <w:sz w:val="5"/>
                <w:szCs w:val="5"/>
                <w:color w:val="auto"/>
              </w:rPr>
            </w:pPr>
          </w:p>
        </w:tc>
        <w:tc>
          <w:tcPr>
            <w:tcW w:w="220" w:type="dxa"/>
            <w:vAlign w:val="bottom"/>
            <w:tcBorders>
              <w:top w:val="single" w:sz="8" w:color="7A04DD"/>
            </w:tcBorders>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1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 w:type="dxa"/>
            <w:vAlign w:val="bottom"/>
            <w:shd w:val="clear" w:color="auto" w:fill="EBFBFF"/>
          </w:tcPr>
          <w:p>
            <w:pPr>
              <w:spacing w:after="0"/>
              <w:rPr>
                <w:sz w:val="16"/>
                <w:szCs w:val="16"/>
                <w:color w:val="auto"/>
              </w:rPr>
            </w:pPr>
          </w:p>
        </w:tc>
        <w:tc>
          <w:tcPr>
            <w:tcW w:w="400" w:type="dxa"/>
            <w:vAlign w:val="bottom"/>
            <w:gridSpan w:val="3"/>
            <w:shd w:val="clear" w:color="auto" w:fill="EBFBFF"/>
          </w:tcPr>
          <w:p>
            <w:pPr>
              <w:jc w:val="right"/>
              <w:spacing w:after="0" w:line="189" w:lineRule="exact"/>
              <w:rPr>
                <w:rFonts w:ascii="Calibri" w:cs="Calibri" w:eastAsia="Calibri" w:hAnsi="Calibri"/>
                <w:sz w:val="18"/>
                <w:szCs w:val="18"/>
                <w:color w:val="7A04DD"/>
                <w:w w:val="97"/>
              </w:rPr>
            </w:pPr>
            <w:hyperlink r:id="rId516">
              <w:r>
                <w:rPr>
                  <w:rFonts w:ascii="Calibri" w:cs="Calibri" w:eastAsia="Calibri" w:hAnsi="Calibri"/>
                  <w:sz w:val="18"/>
                  <w:szCs w:val="18"/>
                  <w:color w:val="7A04DD"/>
                  <w:w w:val="97"/>
                </w:rPr>
                <w:t>10.</w:t>
              </w:r>
            </w:hyperlink>
            <w:r>
              <w:rPr>
                <w:rFonts w:ascii="Calibri" w:cs="Calibri" w:eastAsia="Calibri" w:hAnsi="Calibri"/>
                <w:sz w:val="18"/>
                <w:szCs w:val="18"/>
                <w:u w:val="single" w:color="auto"/>
                <w:color w:val="7A04DD"/>
                <w:w w:val="97"/>
              </w:rPr>
              <w:t>13</w:t>
            </w:r>
          </w:p>
        </w:tc>
        <w:tc>
          <w:tcPr>
            <w:tcW w:w="70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3"/>
            <w:shd w:val="clear" w:color="auto" w:fill="EBFBFF"/>
          </w:tcPr>
          <w:p>
            <w:pPr>
              <w:spacing w:after="0" w:line="189" w:lineRule="exact"/>
              <w:rPr>
                <w:rFonts w:ascii="Calibri" w:cs="Calibri" w:eastAsia="Calibri" w:hAnsi="Calibri"/>
                <w:sz w:val="18"/>
                <w:szCs w:val="18"/>
                <w:color w:val="7A04DD"/>
              </w:rPr>
            </w:pPr>
            <w:hyperlink r:id="rId516">
              <w:r>
                <w:rPr>
                  <w:rFonts w:ascii="Calibri" w:cs="Calibri" w:eastAsia="Calibri" w:hAnsi="Calibri"/>
                  <w:sz w:val="18"/>
                  <w:szCs w:val="18"/>
                  <w:color w:val="7A04DD"/>
                </w:rPr>
                <w:t>Eighth Amendment to Lease Agreement, dated as of May 26,</w:t>
              </w:r>
            </w:hyperlink>
          </w:p>
        </w:tc>
        <w:tc>
          <w:tcPr>
            <w:tcW w:w="1200" w:type="dxa"/>
            <w:vAlign w:val="bottom"/>
            <w:shd w:val="clear" w:color="auto" w:fill="EBFBFF"/>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2"/>
              <w:spacing w:after="0" w:line="189" w:lineRule="exact"/>
              <w:rPr>
                <w:sz w:val="20"/>
                <w:szCs w:val="20"/>
                <w:color w:val="auto"/>
              </w:rPr>
            </w:pPr>
            <w:r>
              <w:rPr>
                <w:rFonts w:ascii="Calibri" w:cs="Calibri" w:eastAsia="Calibri" w:hAnsi="Calibri"/>
                <w:sz w:val="18"/>
                <w:szCs w:val="18"/>
                <w:color w:val="51555C"/>
              </w:rPr>
              <w:t>8/4/2020</w:t>
            </w:r>
          </w:p>
        </w:tc>
        <w:tc>
          <w:tcPr>
            <w:tcW w:w="1113" w:type="dxa"/>
            <w:vAlign w:val="bottom"/>
            <w:shd w:val="clear" w:color="auto" w:fill="EBFBFF"/>
          </w:tcPr>
          <w:p>
            <w:pPr>
              <w:jc w:val="right"/>
              <w:ind w:right="5"/>
              <w:spacing w:after="0" w:line="189" w:lineRule="exact"/>
              <w:rPr>
                <w:sz w:val="20"/>
                <w:szCs w:val="20"/>
                <w:color w:val="auto"/>
              </w:rPr>
            </w:pPr>
            <w:r>
              <w:rPr>
                <w:rFonts w:ascii="Calibri" w:cs="Calibri" w:eastAsia="Calibri" w:hAnsi="Calibri"/>
                <w:sz w:val="18"/>
                <w:szCs w:val="18"/>
                <w:color w:val="51555C"/>
              </w:rPr>
              <w:t>10.4</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7A04DD"/>
            </w:tcBorders>
            <w:shd w:val="clear" w:color="auto" w:fill="EBFBFF"/>
          </w:tcPr>
          <w:p>
            <w:pPr>
              <w:spacing w:after="0"/>
              <w:rPr>
                <w:sz w:val="17"/>
                <w:szCs w:val="17"/>
                <w:color w:val="auto"/>
              </w:rPr>
            </w:pPr>
          </w:p>
        </w:tc>
        <w:tc>
          <w:tcPr>
            <w:tcW w:w="80" w:type="dxa"/>
            <w:vAlign w:val="bottom"/>
            <w:tcBorders>
              <w:top w:val="single" w:sz="8" w:color="7A04DD"/>
            </w:tcBorders>
            <w:shd w:val="clear" w:color="auto" w:fill="EBFBFF"/>
          </w:tcPr>
          <w:p>
            <w:pPr>
              <w:spacing w:after="0"/>
              <w:rPr>
                <w:sz w:val="17"/>
                <w:szCs w:val="17"/>
                <w:color w:val="auto"/>
              </w:rPr>
            </w:pPr>
          </w:p>
        </w:tc>
        <w:tc>
          <w:tcPr>
            <w:tcW w:w="220" w:type="dxa"/>
            <w:vAlign w:val="bottom"/>
            <w:tcBorders>
              <w:top w:val="single" w:sz="8" w:color="7A04DD"/>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320" w:type="dxa"/>
            <w:vAlign w:val="bottom"/>
            <w:tcBorders>
              <w:top w:val="single" w:sz="8" w:color="7A04DD"/>
            </w:tcBorders>
            <w:gridSpan w:val="12"/>
            <w:shd w:val="clear" w:color="auto" w:fill="EBFBFF"/>
          </w:tcPr>
          <w:p>
            <w:pPr>
              <w:spacing w:after="0" w:line="196" w:lineRule="exact"/>
              <w:rPr>
                <w:rFonts w:ascii="Calibri" w:cs="Calibri" w:eastAsia="Calibri" w:hAnsi="Calibri"/>
                <w:sz w:val="18"/>
                <w:szCs w:val="18"/>
                <w:color w:val="7A04DD"/>
                <w:w w:val="99"/>
              </w:rPr>
            </w:pPr>
            <w:hyperlink r:id="rId516">
              <w:r>
                <w:rPr>
                  <w:rFonts w:ascii="Calibri" w:cs="Calibri" w:eastAsia="Calibri" w:hAnsi="Calibri"/>
                  <w:sz w:val="18"/>
                  <w:szCs w:val="18"/>
                  <w:color w:val="7A04DD"/>
                  <w:w w:val="99"/>
                </w:rPr>
                <w:t>2020, between HPBB1, LLC and BBHQ1, LLC (a subsidiary of</w:t>
              </w:r>
            </w:hyperlink>
          </w:p>
        </w:tc>
        <w:tc>
          <w:tcPr>
            <w:tcW w:w="460" w:type="dxa"/>
            <w:vAlign w:val="bottom"/>
            <w:tcBorders>
              <w:top w:val="single" w:sz="8" w:color="EBFBFF"/>
            </w:tcBorders>
            <w:gridSpan w:val="11"/>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80" w:type="dxa"/>
            <w:vAlign w:val="bottom"/>
            <w:tcBorders>
              <w:top w:val="single" w:sz="8" w:color="EBFBFF"/>
            </w:tcBorders>
            <w:shd w:val="clear" w:color="auto" w:fill="EBFBFF"/>
          </w:tcPr>
          <w:p>
            <w:pPr>
              <w:spacing w:after="0"/>
              <w:rPr>
                <w:sz w:val="17"/>
                <w:szCs w:val="17"/>
                <w:color w:val="auto"/>
              </w:rPr>
            </w:pPr>
          </w:p>
        </w:tc>
        <w:tc>
          <w:tcPr>
            <w:tcW w:w="220" w:type="dxa"/>
            <w:vAlign w:val="bottom"/>
            <w:tcBorders>
              <w:top w:val="single" w:sz="8" w:color="EBFBFF"/>
            </w:tcBorders>
            <w:shd w:val="clear" w:color="auto" w:fill="EBFBFF"/>
          </w:tcPr>
          <w:p>
            <w:pPr>
              <w:spacing w:after="0"/>
              <w:rPr>
                <w:sz w:val="17"/>
                <w:szCs w:val="17"/>
                <w:color w:val="auto"/>
              </w:rPr>
            </w:pPr>
          </w:p>
        </w:tc>
        <w:tc>
          <w:tcPr>
            <w:tcW w:w="700" w:type="dxa"/>
            <w:vAlign w:val="bottom"/>
            <w:tcBorders>
              <w:top w:val="single" w:sz="8" w:color="EBFBFF"/>
              <w:left w:val="single" w:sz="8" w:color="EBFBFF"/>
            </w:tcBorders>
            <w:shd w:val="clear" w:color="auto" w:fill="EBFBFF"/>
          </w:tcPr>
          <w:p>
            <w:pPr>
              <w:spacing w:after="0"/>
              <w:rPr>
                <w:sz w:val="17"/>
                <w:szCs w:val="17"/>
                <w:color w:val="auto"/>
              </w:rPr>
            </w:pPr>
          </w:p>
        </w:tc>
        <w:tc>
          <w:tcPr>
            <w:tcW w:w="4140" w:type="dxa"/>
            <w:vAlign w:val="bottom"/>
            <w:tcBorders>
              <w:top w:val="single" w:sz="8" w:color="7A04DD"/>
            </w:tcBorders>
            <w:gridSpan w:val="10"/>
            <w:shd w:val="clear" w:color="auto" w:fill="EBFBFF"/>
          </w:tcPr>
          <w:p>
            <w:pPr>
              <w:spacing w:after="0" w:line="196" w:lineRule="exact"/>
              <w:rPr>
                <w:rFonts w:ascii="Calibri" w:cs="Calibri" w:eastAsia="Calibri" w:hAnsi="Calibri"/>
                <w:sz w:val="18"/>
                <w:szCs w:val="18"/>
                <w:color w:val="7A04DD"/>
              </w:rPr>
            </w:pPr>
            <w:hyperlink r:id="rId516">
              <w:r>
                <w:rPr>
                  <w:rFonts w:ascii="Calibri" w:cs="Calibri" w:eastAsia="Calibri" w:hAnsi="Calibri"/>
                  <w:sz w:val="18"/>
                  <w:szCs w:val="18"/>
                  <w:color w:val="7A04DD"/>
                </w:rPr>
                <w:t>Blackbaud, Inc.)</w:t>
              </w:r>
            </w:hyperlink>
          </w:p>
        </w:tc>
        <w:tc>
          <w:tcPr>
            <w:tcW w:w="640" w:type="dxa"/>
            <w:vAlign w:val="bottom"/>
            <w:tcBorders>
              <w:top w:val="single" w:sz="8" w:color="EBFBFF"/>
              <w:left w:val="single" w:sz="8" w:color="EBFBFF"/>
            </w:tcBorders>
            <w:gridSpan w:val="13"/>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220" w:type="dxa"/>
            <w:vAlign w:val="bottom"/>
            <w:tcBorders>
              <w:top w:val="single" w:sz="8" w:color="EBFBFF"/>
            </w:tcBorders>
            <w:shd w:val="clear" w:color="auto" w:fill="EBFBFF"/>
          </w:tcPr>
          <w:p>
            <w:pPr>
              <w:spacing w:after="0"/>
              <w:rPr>
                <w:sz w:val="5"/>
                <w:szCs w:val="5"/>
                <w:color w:val="auto"/>
              </w:rPr>
            </w:pPr>
          </w:p>
        </w:tc>
        <w:tc>
          <w:tcPr>
            <w:tcW w:w="700" w:type="dxa"/>
            <w:vAlign w:val="bottom"/>
            <w:tcBorders>
              <w:top w:val="single" w:sz="8" w:color="EBFBFF"/>
              <w:left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16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220" w:type="dxa"/>
            <w:vAlign w:val="bottom"/>
            <w:tcBorders>
              <w:top w:val="single" w:sz="8" w:color="7A04DD"/>
            </w:tcBorders>
            <w:shd w:val="clear" w:color="auto" w:fill="EBFBFF"/>
          </w:tcPr>
          <w:p>
            <w:pPr>
              <w:spacing w:after="0"/>
              <w:rPr>
                <w:sz w:val="5"/>
                <w:szCs w:val="5"/>
                <w:color w:val="auto"/>
              </w:rPr>
            </w:pPr>
          </w:p>
        </w:tc>
        <w:tc>
          <w:tcPr>
            <w:tcW w:w="380" w:type="dxa"/>
            <w:vAlign w:val="bottom"/>
            <w:tcBorders>
              <w:top w:val="single" w:sz="8" w:color="EBFBFF"/>
            </w:tcBorders>
            <w:shd w:val="clear" w:color="auto" w:fill="EBFBFF"/>
          </w:tcPr>
          <w:p>
            <w:pPr>
              <w:spacing w:after="0"/>
              <w:rPr>
                <w:sz w:val="5"/>
                <w:szCs w:val="5"/>
                <w:color w:val="auto"/>
              </w:rPr>
            </w:pPr>
          </w:p>
        </w:tc>
        <w:tc>
          <w:tcPr>
            <w:tcW w:w="172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7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left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2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111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400" w:type="dxa"/>
            <w:vAlign w:val="bottom"/>
            <w:gridSpan w:val="3"/>
          </w:tcPr>
          <w:p>
            <w:pPr>
              <w:jc w:val="right"/>
              <w:spacing w:after="0" w:line="189" w:lineRule="exact"/>
              <w:rPr>
                <w:rFonts w:ascii="Calibri" w:cs="Calibri" w:eastAsia="Calibri" w:hAnsi="Calibri"/>
                <w:sz w:val="18"/>
                <w:szCs w:val="18"/>
                <w:color w:val="7A04DD"/>
                <w:w w:val="97"/>
              </w:rPr>
            </w:pPr>
            <w:hyperlink r:id="rId517">
              <w:r>
                <w:rPr>
                  <w:rFonts w:ascii="Calibri" w:cs="Calibri" w:eastAsia="Calibri" w:hAnsi="Calibri"/>
                  <w:sz w:val="18"/>
                  <w:szCs w:val="18"/>
                  <w:color w:val="7A04DD"/>
                  <w:w w:val="97"/>
                </w:rPr>
                <w:t>10.</w:t>
              </w:r>
              <w:r>
                <w:rPr>
                  <w:rFonts w:ascii="Calibri" w:cs="Calibri" w:eastAsia="Calibri" w:hAnsi="Calibri"/>
                  <w:sz w:val="18"/>
                  <w:szCs w:val="18"/>
                  <w:u w:val="single" w:color="auto"/>
                  <w:color w:val="7A04DD"/>
                  <w:w w:val="97"/>
                </w:rPr>
                <w:t>14</w:t>
              </w:r>
            </w:hyperlink>
          </w:p>
        </w:tc>
        <w:tc>
          <w:tcPr>
            <w:tcW w:w="700" w:type="dxa"/>
            <w:vAlign w:val="bottom"/>
          </w:tcPr>
          <w:p>
            <w:pPr>
              <w:spacing w:after="0"/>
              <w:rPr>
                <w:sz w:val="18"/>
                <w:szCs w:val="18"/>
                <w:color w:val="auto"/>
              </w:rPr>
            </w:pPr>
          </w:p>
        </w:tc>
        <w:tc>
          <w:tcPr>
            <w:tcW w:w="4780" w:type="dxa"/>
            <w:vAlign w:val="bottom"/>
            <w:gridSpan w:val="23"/>
          </w:tcPr>
          <w:p>
            <w:pPr>
              <w:spacing w:after="0" w:line="189" w:lineRule="exact"/>
              <w:rPr>
                <w:rFonts w:ascii="Calibri" w:cs="Calibri" w:eastAsia="Calibri" w:hAnsi="Calibri"/>
                <w:sz w:val="18"/>
                <w:szCs w:val="18"/>
                <w:color w:val="7A04DD"/>
                <w:w w:val="99"/>
              </w:rPr>
            </w:pPr>
            <w:hyperlink r:id="rId517">
              <w:r>
                <w:rPr>
                  <w:rFonts w:ascii="Calibri" w:cs="Calibri" w:eastAsia="Calibri" w:hAnsi="Calibri"/>
                  <w:sz w:val="18"/>
                  <w:szCs w:val="18"/>
                  <w:color w:val="7A04DD"/>
                  <w:w w:val="99"/>
                </w:rPr>
                <w:t>Ninth Amendment to Lease Agreement, dated as of June 8, 2020,</w:t>
              </w:r>
            </w:hyperlink>
          </w:p>
        </w:tc>
        <w:tc>
          <w:tcPr>
            <w:tcW w:w="1200" w:type="dxa"/>
            <w:vAlign w:val="bottom"/>
          </w:tcPr>
          <w:p>
            <w:pPr>
              <w:jc w:val="center"/>
              <w:ind w:right="32"/>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2"/>
              <w:spacing w:after="0" w:line="189" w:lineRule="exact"/>
              <w:rPr>
                <w:sz w:val="20"/>
                <w:szCs w:val="20"/>
                <w:color w:val="auto"/>
              </w:rPr>
            </w:pPr>
            <w:r>
              <w:rPr>
                <w:rFonts w:ascii="Calibri" w:cs="Calibri" w:eastAsia="Calibri" w:hAnsi="Calibri"/>
                <w:sz w:val="18"/>
                <w:szCs w:val="18"/>
                <w:color w:val="51555C"/>
              </w:rPr>
              <w:t>8/4/2020</w:t>
            </w:r>
          </w:p>
        </w:tc>
        <w:tc>
          <w:tcPr>
            <w:tcW w:w="1113" w:type="dxa"/>
            <w:vAlign w:val="bottom"/>
          </w:tcPr>
          <w:p>
            <w:pPr>
              <w:jc w:val="right"/>
              <w:ind w:right="5"/>
              <w:spacing w:after="0" w:line="189" w:lineRule="exact"/>
              <w:rPr>
                <w:sz w:val="20"/>
                <w:szCs w:val="20"/>
                <w:color w:val="auto"/>
              </w:rPr>
            </w:pPr>
            <w:r>
              <w:rPr>
                <w:rFonts w:ascii="Calibri" w:cs="Calibri" w:eastAsia="Calibri" w:hAnsi="Calibri"/>
                <w:sz w:val="18"/>
                <w:szCs w:val="18"/>
                <w:color w:val="51555C"/>
              </w:rPr>
              <w:t>10.5</w:t>
            </w:r>
          </w:p>
        </w:tc>
        <w:tc>
          <w:tcPr>
            <w:tcW w:w="928"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00" w:type="dxa"/>
            <w:vAlign w:val="bottom"/>
            <w:tcBorders>
              <w:top w:val="single" w:sz="8" w:color="7A04DD"/>
            </w:tcBorders>
          </w:tcPr>
          <w:p>
            <w:pPr>
              <w:spacing w:after="0"/>
              <w:rPr>
                <w:sz w:val="15"/>
                <w:szCs w:val="15"/>
                <w:color w:val="auto"/>
              </w:rPr>
            </w:pPr>
          </w:p>
        </w:tc>
        <w:tc>
          <w:tcPr>
            <w:tcW w:w="80" w:type="dxa"/>
            <w:vAlign w:val="bottom"/>
            <w:tcBorders>
              <w:top w:val="single" w:sz="8" w:color="7A04DD"/>
            </w:tcBorders>
          </w:tcPr>
          <w:p>
            <w:pPr>
              <w:spacing w:after="0"/>
              <w:rPr>
                <w:sz w:val="15"/>
                <w:szCs w:val="15"/>
                <w:color w:val="auto"/>
              </w:rPr>
            </w:pPr>
          </w:p>
        </w:tc>
        <w:tc>
          <w:tcPr>
            <w:tcW w:w="220" w:type="dxa"/>
            <w:vAlign w:val="bottom"/>
            <w:tcBorders>
              <w:top w:val="single" w:sz="8" w:color="7A04DD"/>
            </w:tcBorders>
          </w:tcPr>
          <w:p>
            <w:pPr>
              <w:spacing w:after="0"/>
              <w:rPr>
                <w:sz w:val="15"/>
                <w:szCs w:val="15"/>
                <w:color w:val="auto"/>
              </w:rPr>
            </w:pPr>
          </w:p>
        </w:tc>
        <w:tc>
          <w:tcPr>
            <w:tcW w:w="700" w:type="dxa"/>
            <w:vAlign w:val="bottom"/>
          </w:tcPr>
          <w:p>
            <w:pPr>
              <w:spacing w:after="0"/>
              <w:rPr>
                <w:sz w:val="15"/>
                <w:szCs w:val="15"/>
                <w:color w:val="auto"/>
              </w:rPr>
            </w:pPr>
          </w:p>
        </w:tc>
        <w:tc>
          <w:tcPr>
            <w:tcW w:w="4640" w:type="dxa"/>
            <w:vAlign w:val="bottom"/>
            <w:tcBorders>
              <w:top w:val="single" w:sz="8" w:color="7A04DD"/>
            </w:tcBorders>
            <w:gridSpan w:val="21"/>
          </w:tcPr>
          <w:p>
            <w:pPr>
              <w:spacing w:after="0" w:line="176" w:lineRule="exact"/>
              <w:rPr>
                <w:rFonts w:ascii="Calibri" w:cs="Calibri" w:eastAsia="Calibri" w:hAnsi="Calibri"/>
                <w:sz w:val="18"/>
                <w:szCs w:val="18"/>
                <w:color w:val="7A04DD"/>
                <w:w w:val="98"/>
              </w:rPr>
            </w:pPr>
            <w:hyperlink r:id="rId517">
              <w:r>
                <w:rPr>
                  <w:rFonts w:ascii="Calibri" w:cs="Calibri" w:eastAsia="Calibri" w:hAnsi="Calibri"/>
                  <w:sz w:val="18"/>
                  <w:szCs w:val="18"/>
                  <w:color w:val="7A04DD"/>
                  <w:w w:val="98"/>
                </w:rPr>
                <w:t>between HPBB1, LLC and BBHQ1, LLC (a subsidiary of Blackbaud,</w:t>
              </w:r>
            </w:hyperlink>
          </w:p>
        </w:tc>
        <w:tc>
          <w:tcPr>
            <w:tcW w:w="14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13" w:type="dxa"/>
            <w:vAlign w:val="bottom"/>
          </w:tcPr>
          <w:p>
            <w:pPr>
              <w:spacing w:after="0"/>
              <w:rPr>
                <w:sz w:val="15"/>
                <w:szCs w:val="15"/>
                <w:color w:val="auto"/>
              </w:rPr>
            </w:pPr>
          </w:p>
        </w:tc>
        <w:tc>
          <w:tcPr>
            <w:tcW w:w="928"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580" w:type="dxa"/>
            <w:vAlign w:val="bottom"/>
            <w:tcBorders>
              <w:top w:val="single" w:sz="8" w:color="7A04DD"/>
            </w:tcBorders>
            <w:gridSpan w:val="20"/>
          </w:tcPr>
          <w:p>
            <w:pPr>
              <w:spacing w:after="0" w:line="196" w:lineRule="exact"/>
              <w:rPr>
                <w:rFonts w:ascii="Calibri" w:cs="Calibri" w:eastAsia="Calibri" w:hAnsi="Calibri"/>
                <w:sz w:val="18"/>
                <w:szCs w:val="18"/>
                <w:color w:val="7A04DD"/>
              </w:rPr>
            </w:pPr>
            <w:hyperlink r:id="rId517">
              <w:r>
                <w:rPr>
                  <w:rFonts w:ascii="Calibri" w:cs="Calibri" w:eastAsia="Calibri" w:hAnsi="Calibri"/>
                  <w:sz w:val="18"/>
                  <w:szCs w:val="18"/>
                  <w:color w:val="7A04DD"/>
                </w:rPr>
                <w:t>Inc.)</w:t>
              </w:r>
            </w:hyperlink>
          </w:p>
        </w:tc>
        <w:tc>
          <w:tcPr>
            <w:tcW w:w="20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Borders>
              <w:bottom w:val="single" w:sz="8" w:color="0CD973"/>
            </w:tcBorders>
          </w:tcPr>
          <w:p>
            <w:pPr>
              <w:spacing w:after="0"/>
              <w:rPr>
                <w:sz w:val="5"/>
                <w:szCs w:val="5"/>
                <w:color w:val="auto"/>
              </w:rPr>
            </w:pPr>
          </w:p>
        </w:tc>
        <w:tc>
          <w:tcPr>
            <w:tcW w:w="100" w:type="dxa"/>
            <w:vAlign w:val="bottom"/>
            <w:tcBorders>
              <w:bottom w:val="single" w:sz="8" w:color="0CD973"/>
            </w:tcBorders>
          </w:tcPr>
          <w:p>
            <w:pPr>
              <w:spacing w:after="0"/>
              <w:rPr>
                <w:sz w:val="5"/>
                <w:szCs w:val="5"/>
                <w:color w:val="auto"/>
              </w:rPr>
            </w:pPr>
          </w:p>
        </w:tc>
        <w:tc>
          <w:tcPr>
            <w:tcW w:w="80" w:type="dxa"/>
            <w:vAlign w:val="bottom"/>
            <w:tcBorders>
              <w:bottom w:val="single" w:sz="8" w:color="0CD973"/>
            </w:tcBorders>
          </w:tcPr>
          <w:p>
            <w:pPr>
              <w:spacing w:after="0"/>
              <w:rPr>
                <w:sz w:val="5"/>
                <w:szCs w:val="5"/>
                <w:color w:val="auto"/>
              </w:rPr>
            </w:pPr>
          </w:p>
        </w:tc>
        <w:tc>
          <w:tcPr>
            <w:tcW w:w="220" w:type="dxa"/>
            <w:vAlign w:val="bottom"/>
            <w:tcBorders>
              <w:bottom w:val="single" w:sz="8" w:color="0CD973"/>
            </w:tcBorders>
          </w:tcPr>
          <w:p>
            <w:pPr>
              <w:spacing w:after="0"/>
              <w:rPr>
                <w:sz w:val="5"/>
                <w:szCs w:val="5"/>
                <w:color w:val="auto"/>
              </w:rPr>
            </w:pPr>
          </w:p>
        </w:tc>
        <w:tc>
          <w:tcPr>
            <w:tcW w:w="700" w:type="dxa"/>
            <w:vAlign w:val="bottom"/>
            <w:tcBorders>
              <w:bottom w:val="single" w:sz="8" w:color="0CD973"/>
            </w:tcBorders>
          </w:tcPr>
          <w:p>
            <w:pPr>
              <w:spacing w:after="0"/>
              <w:rPr>
                <w:sz w:val="5"/>
                <w:szCs w:val="5"/>
                <w:color w:val="auto"/>
              </w:rPr>
            </w:pPr>
          </w:p>
        </w:tc>
        <w:tc>
          <w:tcPr>
            <w:tcW w:w="300" w:type="dxa"/>
            <w:vAlign w:val="bottom"/>
            <w:tcBorders>
              <w:top w:val="single" w:sz="8" w:color="7A04DD"/>
              <w:bottom w:val="single" w:sz="8" w:color="0CD973"/>
            </w:tcBorders>
          </w:tcPr>
          <w:p>
            <w:pPr>
              <w:spacing w:after="0"/>
              <w:rPr>
                <w:sz w:val="5"/>
                <w:szCs w:val="5"/>
                <w:color w:val="auto"/>
              </w:rPr>
            </w:pPr>
          </w:p>
        </w:tc>
        <w:tc>
          <w:tcPr>
            <w:tcW w:w="300" w:type="dxa"/>
            <w:vAlign w:val="bottom"/>
            <w:tcBorders>
              <w:bottom w:val="single" w:sz="8" w:color="0CD973"/>
            </w:tcBorders>
          </w:tcPr>
          <w:p>
            <w:pPr>
              <w:spacing w:after="0"/>
              <w:rPr>
                <w:sz w:val="5"/>
                <w:szCs w:val="5"/>
                <w:color w:val="auto"/>
              </w:rPr>
            </w:pPr>
          </w:p>
        </w:tc>
        <w:tc>
          <w:tcPr>
            <w:tcW w:w="160" w:type="dxa"/>
            <w:vAlign w:val="bottom"/>
            <w:tcBorders>
              <w:bottom w:val="single" w:sz="8" w:color="0CD973"/>
            </w:tcBorders>
          </w:tcPr>
          <w:p>
            <w:pPr>
              <w:spacing w:after="0"/>
              <w:rPr>
                <w:sz w:val="5"/>
                <w:szCs w:val="5"/>
                <w:color w:val="auto"/>
              </w:rPr>
            </w:pPr>
          </w:p>
        </w:tc>
        <w:tc>
          <w:tcPr>
            <w:tcW w:w="140" w:type="dxa"/>
            <w:vAlign w:val="bottom"/>
            <w:tcBorders>
              <w:bottom w:val="single" w:sz="8" w:color="0CD973"/>
            </w:tcBorders>
          </w:tcPr>
          <w:p>
            <w:pPr>
              <w:spacing w:after="0"/>
              <w:rPr>
                <w:sz w:val="5"/>
                <w:szCs w:val="5"/>
                <w:color w:val="auto"/>
              </w:rPr>
            </w:pPr>
          </w:p>
        </w:tc>
        <w:tc>
          <w:tcPr>
            <w:tcW w:w="220" w:type="dxa"/>
            <w:vAlign w:val="bottom"/>
            <w:tcBorders>
              <w:bottom w:val="single" w:sz="8" w:color="0CD973"/>
            </w:tcBorders>
          </w:tcPr>
          <w:p>
            <w:pPr>
              <w:spacing w:after="0"/>
              <w:rPr>
                <w:sz w:val="5"/>
                <w:szCs w:val="5"/>
                <w:color w:val="auto"/>
              </w:rPr>
            </w:pPr>
          </w:p>
        </w:tc>
        <w:tc>
          <w:tcPr>
            <w:tcW w:w="380" w:type="dxa"/>
            <w:vAlign w:val="bottom"/>
            <w:tcBorders>
              <w:bottom w:val="single" w:sz="8" w:color="0CD973"/>
            </w:tcBorders>
          </w:tcPr>
          <w:p>
            <w:pPr>
              <w:spacing w:after="0"/>
              <w:rPr>
                <w:sz w:val="5"/>
                <w:szCs w:val="5"/>
                <w:color w:val="auto"/>
              </w:rPr>
            </w:pPr>
          </w:p>
        </w:tc>
        <w:tc>
          <w:tcPr>
            <w:tcW w:w="1720" w:type="dxa"/>
            <w:vAlign w:val="bottom"/>
            <w:tcBorders>
              <w:bottom w:val="single" w:sz="8" w:color="0CD973"/>
            </w:tcBorders>
          </w:tcPr>
          <w:p>
            <w:pPr>
              <w:spacing w:after="0"/>
              <w:rPr>
                <w:sz w:val="5"/>
                <w:szCs w:val="5"/>
                <w:color w:val="auto"/>
              </w:rPr>
            </w:pPr>
          </w:p>
        </w:tc>
        <w:tc>
          <w:tcPr>
            <w:tcW w:w="140" w:type="dxa"/>
            <w:vAlign w:val="bottom"/>
            <w:tcBorders>
              <w:bottom w:val="single" w:sz="8" w:color="0CD973"/>
            </w:tcBorders>
          </w:tcPr>
          <w:p>
            <w:pPr>
              <w:spacing w:after="0"/>
              <w:rPr>
                <w:sz w:val="5"/>
                <w:szCs w:val="5"/>
                <w:color w:val="auto"/>
              </w:rPr>
            </w:pPr>
          </w:p>
        </w:tc>
        <w:tc>
          <w:tcPr>
            <w:tcW w:w="40" w:type="dxa"/>
            <w:vAlign w:val="bottom"/>
            <w:tcBorders>
              <w:bottom w:val="single" w:sz="8" w:color="0CD973"/>
            </w:tcBorders>
          </w:tcPr>
          <w:p>
            <w:pPr>
              <w:spacing w:after="0"/>
              <w:rPr>
                <w:sz w:val="5"/>
                <w:szCs w:val="5"/>
                <w:color w:val="auto"/>
              </w:rPr>
            </w:pPr>
          </w:p>
        </w:tc>
        <w:tc>
          <w:tcPr>
            <w:tcW w:w="740" w:type="dxa"/>
            <w:vAlign w:val="bottom"/>
            <w:tcBorders>
              <w:bottom w:val="single" w:sz="8" w:color="0CD973"/>
            </w:tcBorders>
          </w:tcPr>
          <w:p>
            <w:pPr>
              <w:spacing w:after="0"/>
              <w:rPr>
                <w:sz w:val="5"/>
                <w:szCs w:val="5"/>
                <w:color w:val="auto"/>
              </w:rPr>
            </w:pPr>
          </w:p>
        </w:tc>
        <w:tc>
          <w:tcPr>
            <w:tcW w:w="100" w:type="dxa"/>
            <w:vAlign w:val="bottom"/>
            <w:tcBorders>
              <w:bottom w:val="single" w:sz="8" w:color="0CD973"/>
            </w:tcBorders>
          </w:tcPr>
          <w:p>
            <w:pPr>
              <w:spacing w:after="0"/>
              <w:rPr>
                <w:sz w:val="5"/>
                <w:szCs w:val="5"/>
                <w:color w:val="auto"/>
              </w:rPr>
            </w:pPr>
          </w:p>
        </w:tc>
        <w:tc>
          <w:tcPr>
            <w:tcW w:w="80" w:type="dxa"/>
            <w:vAlign w:val="bottom"/>
            <w:tcBorders>
              <w:bottom w:val="single" w:sz="8" w:color="0CD973"/>
            </w:tcBorders>
          </w:tcPr>
          <w:p>
            <w:pPr>
              <w:spacing w:after="0"/>
              <w:rPr>
                <w:sz w:val="5"/>
                <w:szCs w:val="5"/>
                <w:color w:val="auto"/>
              </w:rPr>
            </w:pPr>
          </w:p>
        </w:tc>
        <w:tc>
          <w:tcPr>
            <w:tcW w:w="4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60" w:type="dxa"/>
            <w:vAlign w:val="bottom"/>
            <w:tcBorders>
              <w:bottom w:val="single" w:sz="8" w:color="0CD973"/>
            </w:tcBorders>
          </w:tcPr>
          <w:p>
            <w:pPr>
              <w:spacing w:after="0"/>
              <w:rPr>
                <w:sz w:val="5"/>
                <w:szCs w:val="5"/>
                <w:color w:val="auto"/>
              </w:rPr>
            </w:pPr>
          </w:p>
        </w:tc>
        <w:tc>
          <w:tcPr>
            <w:tcW w:w="60" w:type="dxa"/>
            <w:vAlign w:val="bottom"/>
            <w:tcBorders>
              <w:bottom w:val="single" w:sz="8" w:color="0CD973"/>
            </w:tcBorders>
          </w:tcPr>
          <w:p>
            <w:pPr>
              <w:spacing w:after="0"/>
              <w:rPr>
                <w:sz w:val="5"/>
                <w:szCs w:val="5"/>
                <w:color w:val="auto"/>
              </w:rPr>
            </w:pPr>
          </w:p>
        </w:tc>
        <w:tc>
          <w:tcPr>
            <w:tcW w:w="60" w:type="dxa"/>
            <w:vAlign w:val="bottom"/>
            <w:tcBorders>
              <w:bottom w:val="single" w:sz="8" w:color="0CD973"/>
            </w:tcBorders>
          </w:tcPr>
          <w:p>
            <w:pPr>
              <w:spacing w:after="0"/>
              <w:rPr>
                <w:sz w:val="5"/>
                <w:szCs w:val="5"/>
                <w:color w:val="auto"/>
              </w:rPr>
            </w:pPr>
          </w:p>
        </w:tc>
        <w:tc>
          <w:tcPr>
            <w:tcW w:w="20" w:type="dxa"/>
            <w:vAlign w:val="bottom"/>
            <w:tcBorders>
              <w:bottom w:val="single" w:sz="8" w:color="0CD973"/>
            </w:tcBorders>
          </w:tcPr>
          <w:p>
            <w:pPr>
              <w:spacing w:after="0"/>
              <w:rPr>
                <w:sz w:val="5"/>
                <w:szCs w:val="5"/>
                <w:color w:val="auto"/>
              </w:rPr>
            </w:pPr>
          </w:p>
        </w:tc>
        <w:tc>
          <w:tcPr>
            <w:tcW w:w="120" w:type="dxa"/>
            <w:vAlign w:val="bottom"/>
            <w:tcBorders>
              <w:bottom w:val="single" w:sz="8" w:color="0CD973"/>
            </w:tcBorders>
          </w:tcPr>
          <w:p>
            <w:pPr>
              <w:spacing w:after="0"/>
              <w:rPr>
                <w:sz w:val="5"/>
                <w:szCs w:val="5"/>
                <w:color w:val="auto"/>
              </w:rPr>
            </w:pPr>
          </w:p>
        </w:tc>
        <w:tc>
          <w:tcPr>
            <w:tcW w:w="1200" w:type="dxa"/>
            <w:vAlign w:val="bottom"/>
            <w:tcBorders>
              <w:bottom w:val="single" w:sz="8" w:color="0CD973"/>
            </w:tcBorders>
          </w:tcPr>
          <w:p>
            <w:pPr>
              <w:spacing w:after="0"/>
              <w:rPr>
                <w:sz w:val="5"/>
                <w:szCs w:val="5"/>
                <w:color w:val="auto"/>
              </w:rPr>
            </w:pPr>
          </w:p>
        </w:tc>
        <w:tc>
          <w:tcPr>
            <w:tcW w:w="1580" w:type="dxa"/>
            <w:vAlign w:val="bottom"/>
            <w:tcBorders>
              <w:bottom w:val="single" w:sz="8" w:color="0CD973"/>
            </w:tcBorders>
          </w:tcPr>
          <w:p>
            <w:pPr>
              <w:spacing w:after="0"/>
              <w:rPr>
                <w:sz w:val="5"/>
                <w:szCs w:val="5"/>
                <w:color w:val="auto"/>
              </w:rPr>
            </w:pPr>
          </w:p>
        </w:tc>
        <w:tc>
          <w:tcPr>
            <w:tcW w:w="1113" w:type="dxa"/>
            <w:vAlign w:val="bottom"/>
            <w:tcBorders>
              <w:bottom w:val="single" w:sz="8" w:color="0CD973"/>
            </w:tcBorders>
          </w:tcPr>
          <w:p>
            <w:pPr>
              <w:spacing w:after="0"/>
              <w:rPr>
                <w:sz w:val="5"/>
                <w:szCs w:val="5"/>
                <w:color w:val="auto"/>
              </w:rPr>
            </w:pPr>
          </w:p>
        </w:tc>
        <w:tc>
          <w:tcPr>
            <w:tcW w:w="928" w:type="dxa"/>
            <w:vAlign w:val="bottom"/>
            <w:tcBorders>
              <w:bottom w:val="single" w:sz="8" w:color="0CD973"/>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-6865620</wp:posOffset>
            </wp:positionV>
            <wp:extent cx="307721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116</w:t>
      </w:r>
      <w:r>
        <w:rPr>
          <w:sz w:val="20"/>
          <w:szCs w:val="20"/>
          <w:color w:val="auto"/>
        </w:rPr>
        <w:tab/>
      </w:r>
      <w:r>
        <w:rPr>
          <w:sz w:val="1"/>
          <w:szCs w:val="1"/>
          <w:color w:val="auto"/>
        </w:rPr>
        <w:drawing>
          <wp:inline distT="0" distB="0" distL="0" distR="0">
            <wp:extent cx="728345" cy="188595"/>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680" w:type="dxa"/>
            <w:vAlign w:val="bottom"/>
            <w:shd w:val="clear" w:color="auto" w:fill="004054"/>
          </w:tcPr>
          <w:p>
            <w:pPr>
              <w:spacing w:after="0"/>
              <w:rPr>
                <w:sz w:val="16"/>
                <w:szCs w:val="16"/>
                <w:color w:val="auto"/>
              </w:rPr>
            </w:pPr>
          </w:p>
        </w:tc>
        <w:tc>
          <w:tcPr>
            <w:tcW w:w="11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840" w:type="dxa"/>
            <w:vAlign w:val="bottom"/>
            <w:shd w:val="clear" w:color="auto" w:fill="004054"/>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420" w:type="dxa"/>
            <w:vAlign w:val="bottom"/>
            <w:tcBorders>
              <w:right w:val="single" w:sz="8" w:color="004054"/>
            </w:tcBorders>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40" w:type="dxa"/>
            <w:vAlign w:val="bottom"/>
            <w:tcBorders>
              <w:right w:val="single" w:sz="8" w:color="004054"/>
            </w:tcBorders>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40" w:type="dxa"/>
            <w:vAlign w:val="bottom"/>
            <w:tcBorders>
              <w:right w:val="single" w:sz="8" w:color="004054"/>
            </w:tcBorders>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580" w:type="dxa"/>
            <w:vAlign w:val="bottom"/>
            <w:shd w:val="clear" w:color="auto" w:fill="004054"/>
          </w:tcPr>
          <w:p>
            <w:pPr>
              <w:jc w:val="right"/>
              <w:ind w:right="73"/>
              <w:spacing w:after="0"/>
              <w:rPr>
                <w:sz w:val="20"/>
                <w:szCs w:val="20"/>
                <w:color w:val="auto"/>
              </w:rPr>
            </w:pPr>
            <w:r>
              <w:rPr>
                <w:rFonts w:ascii="Calibri" w:cs="Calibri" w:eastAsia="Calibri" w:hAnsi="Calibri"/>
                <w:sz w:val="14"/>
                <w:szCs w:val="14"/>
                <w:b w:val="1"/>
                <w:bCs w:val="1"/>
                <w:color w:val="FFFFFF"/>
              </w:rPr>
              <w:t>Filed In</w:t>
            </w:r>
          </w:p>
        </w:tc>
        <w:tc>
          <w:tcPr>
            <w:tcW w:w="680" w:type="dxa"/>
            <w:vAlign w:val="bottom"/>
            <w:shd w:val="clear" w:color="auto" w:fill="004054"/>
          </w:tcPr>
          <w:p>
            <w:pPr>
              <w:spacing w:after="0"/>
              <w:rPr>
                <w:sz w:val="16"/>
                <w:szCs w:val="16"/>
                <w:color w:val="auto"/>
              </w:rPr>
            </w:pPr>
          </w:p>
        </w:tc>
        <w:tc>
          <w:tcPr>
            <w:tcW w:w="433" w:type="dxa"/>
            <w:vAlign w:val="bottom"/>
            <w:shd w:val="clear" w:color="auto" w:fill="004054"/>
          </w:tcPr>
          <w:p>
            <w:pPr>
              <w:spacing w:after="0"/>
              <w:rPr>
                <w:sz w:val="16"/>
                <w:szCs w:val="16"/>
                <w:color w:val="auto"/>
              </w:rPr>
            </w:pPr>
          </w:p>
        </w:tc>
        <w:tc>
          <w:tcPr>
            <w:tcW w:w="928"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36"/>
        </w:trPr>
        <w:tc>
          <w:tcPr>
            <w:tcW w:w="1620" w:type="dxa"/>
            <w:vAlign w:val="bottom"/>
            <w:gridSpan w:val="3"/>
            <w:shd w:val="clear" w:color="auto" w:fill="004054"/>
          </w:tcPr>
          <w:p>
            <w:pPr>
              <w:jc w:val="right"/>
              <w:ind w:right="680"/>
              <w:spacing w:after="0"/>
              <w:rPr>
                <w:sz w:val="20"/>
                <w:szCs w:val="20"/>
                <w:color w:val="auto"/>
              </w:rPr>
            </w:pPr>
            <w:r>
              <w:rPr>
                <w:rFonts w:ascii="Calibri" w:cs="Calibri" w:eastAsia="Calibri" w:hAnsi="Calibri"/>
                <w:sz w:val="14"/>
                <w:szCs w:val="14"/>
                <w:b w:val="1"/>
                <w:bCs w:val="1"/>
                <w:color w:val="FFFFFF"/>
              </w:rPr>
              <w:t>Exhibit</w:t>
            </w:r>
          </w:p>
        </w:tc>
        <w:tc>
          <w:tcPr>
            <w:tcW w:w="11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60" w:type="dxa"/>
            <w:vAlign w:val="bottom"/>
            <w:shd w:val="clear" w:color="auto" w:fill="004054"/>
          </w:tcPr>
          <w:p>
            <w:pPr>
              <w:spacing w:after="0"/>
              <w:rPr>
                <w:sz w:val="20"/>
                <w:szCs w:val="20"/>
                <w:color w:val="auto"/>
              </w:rPr>
            </w:pPr>
          </w:p>
        </w:tc>
        <w:tc>
          <w:tcPr>
            <w:tcW w:w="240" w:type="dxa"/>
            <w:vAlign w:val="bottom"/>
            <w:shd w:val="clear" w:color="auto" w:fill="004054"/>
          </w:tcPr>
          <w:p>
            <w:pPr>
              <w:spacing w:after="0"/>
              <w:rPr>
                <w:sz w:val="20"/>
                <w:szCs w:val="20"/>
                <w:color w:val="auto"/>
              </w:rPr>
            </w:pPr>
          </w:p>
        </w:tc>
        <w:tc>
          <w:tcPr>
            <w:tcW w:w="840" w:type="dxa"/>
            <w:vAlign w:val="bottom"/>
            <w:shd w:val="clear" w:color="auto" w:fill="004054"/>
          </w:tcPr>
          <w:p>
            <w:pPr>
              <w:spacing w:after="0"/>
              <w:rPr>
                <w:sz w:val="20"/>
                <w:szCs w:val="20"/>
                <w:color w:val="auto"/>
              </w:rPr>
            </w:pPr>
          </w:p>
        </w:tc>
        <w:tc>
          <w:tcPr>
            <w:tcW w:w="620" w:type="dxa"/>
            <w:vAlign w:val="bottom"/>
            <w:shd w:val="clear" w:color="auto" w:fill="004054"/>
          </w:tcPr>
          <w:p>
            <w:pPr>
              <w:spacing w:after="0"/>
              <w:rPr>
                <w:sz w:val="20"/>
                <w:szCs w:val="20"/>
                <w:color w:val="auto"/>
              </w:rPr>
            </w:pPr>
          </w:p>
        </w:tc>
        <w:tc>
          <w:tcPr>
            <w:tcW w:w="480" w:type="dxa"/>
            <w:vAlign w:val="bottom"/>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420" w:type="dxa"/>
            <w:vAlign w:val="bottom"/>
            <w:tcBorders>
              <w:right w:val="single" w:sz="8" w:color="004054"/>
            </w:tcBorders>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40" w:type="dxa"/>
            <w:vAlign w:val="bottom"/>
            <w:tcBorders>
              <w:right w:val="single" w:sz="8" w:color="004054"/>
            </w:tcBorders>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40" w:type="dxa"/>
            <w:vAlign w:val="bottom"/>
            <w:tcBorders>
              <w:right w:val="single" w:sz="8" w:color="004054"/>
            </w:tcBorders>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0" w:type="dxa"/>
            <w:vAlign w:val="bottom"/>
            <w:shd w:val="clear" w:color="auto" w:fill="004054"/>
          </w:tcPr>
          <w:p>
            <w:pPr>
              <w:spacing w:after="0"/>
              <w:rPr>
                <w:sz w:val="20"/>
                <w:szCs w:val="20"/>
                <w:color w:val="auto"/>
              </w:rPr>
            </w:pPr>
          </w:p>
        </w:tc>
        <w:tc>
          <w:tcPr>
            <w:tcW w:w="1200"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rPr>
              <w:t>Registrant’s</w:t>
            </w:r>
          </w:p>
        </w:tc>
        <w:tc>
          <w:tcPr>
            <w:tcW w:w="1580" w:type="dxa"/>
            <w:vAlign w:val="bottom"/>
            <w:shd w:val="clear" w:color="auto" w:fill="004054"/>
          </w:tcPr>
          <w:p>
            <w:pPr>
              <w:spacing w:after="0"/>
              <w:rPr>
                <w:sz w:val="20"/>
                <w:szCs w:val="20"/>
                <w:color w:val="auto"/>
              </w:rPr>
            </w:pPr>
          </w:p>
        </w:tc>
        <w:tc>
          <w:tcPr>
            <w:tcW w:w="680" w:type="dxa"/>
            <w:vAlign w:val="bottom"/>
            <w:shd w:val="clear" w:color="auto" w:fill="004054"/>
          </w:tcPr>
          <w:p>
            <w:pPr>
              <w:jc w:val="center"/>
              <w:ind w:left="68"/>
              <w:spacing w:after="0"/>
              <w:rPr>
                <w:sz w:val="20"/>
                <w:szCs w:val="20"/>
                <w:color w:val="auto"/>
              </w:rPr>
            </w:pPr>
            <w:r>
              <w:rPr>
                <w:rFonts w:ascii="Calibri" w:cs="Calibri" w:eastAsia="Calibri" w:hAnsi="Calibri"/>
                <w:sz w:val="14"/>
                <w:szCs w:val="14"/>
                <w:b w:val="1"/>
                <w:bCs w:val="1"/>
                <w:color w:val="FFFFFF"/>
              </w:rPr>
              <w:t>Exhibit</w:t>
            </w:r>
          </w:p>
        </w:tc>
        <w:tc>
          <w:tcPr>
            <w:tcW w:w="433" w:type="dxa"/>
            <w:vAlign w:val="bottom"/>
            <w:shd w:val="clear" w:color="auto" w:fill="004054"/>
          </w:tcPr>
          <w:p>
            <w:pPr>
              <w:spacing w:after="0"/>
              <w:rPr>
                <w:sz w:val="20"/>
                <w:szCs w:val="20"/>
                <w:color w:val="auto"/>
              </w:rPr>
            </w:pP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Filed</w:t>
            </w:r>
          </w:p>
        </w:tc>
        <w:tc>
          <w:tcPr>
            <w:tcW w:w="20" w:type="dxa"/>
            <w:vAlign w:val="bottom"/>
            <w:shd w:val="clear" w:color="auto" w:fill="004054"/>
          </w:tcPr>
          <w:p>
            <w:pPr>
              <w:spacing w:after="0"/>
              <w:rPr>
                <w:sz w:val="20"/>
                <w:szCs w:val="20"/>
                <w:color w:val="auto"/>
              </w:rPr>
            </w:pPr>
          </w:p>
        </w:tc>
      </w:tr>
      <w:tr>
        <w:trPr>
          <w:trHeight w:val="176"/>
        </w:trPr>
        <w:tc>
          <w:tcPr>
            <w:tcW w:w="1620" w:type="dxa"/>
            <w:vAlign w:val="bottom"/>
            <w:gridSpan w:val="3"/>
            <w:shd w:val="clear" w:color="auto" w:fill="004054"/>
          </w:tcPr>
          <w:p>
            <w:pPr>
              <w:jc w:val="right"/>
              <w:ind w:right="680"/>
              <w:spacing w:after="0"/>
              <w:rPr>
                <w:sz w:val="20"/>
                <w:szCs w:val="20"/>
                <w:color w:val="auto"/>
              </w:rPr>
            </w:pPr>
            <w:r>
              <w:rPr>
                <w:rFonts w:ascii="Calibri" w:cs="Calibri" w:eastAsia="Calibri" w:hAnsi="Calibri"/>
                <w:sz w:val="14"/>
                <w:szCs w:val="14"/>
                <w:b w:val="1"/>
                <w:bCs w:val="1"/>
                <w:color w:val="FFFFFF"/>
              </w:rPr>
              <w:t>Number</w:t>
            </w:r>
          </w:p>
        </w:tc>
        <w:tc>
          <w:tcPr>
            <w:tcW w:w="11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c>
          <w:tcPr>
            <w:tcW w:w="260" w:type="dxa"/>
            <w:vAlign w:val="bottom"/>
            <w:shd w:val="clear" w:color="auto" w:fill="004054"/>
          </w:tcPr>
          <w:p>
            <w:pPr>
              <w:spacing w:after="0"/>
              <w:rPr>
                <w:sz w:val="15"/>
                <w:szCs w:val="15"/>
                <w:color w:val="auto"/>
              </w:rPr>
            </w:pPr>
          </w:p>
        </w:tc>
        <w:tc>
          <w:tcPr>
            <w:tcW w:w="3420" w:type="dxa"/>
            <w:vAlign w:val="bottom"/>
            <w:gridSpan w:val="20"/>
            <w:shd w:val="clear" w:color="auto" w:fill="004054"/>
          </w:tcPr>
          <w:p>
            <w:pPr>
              <w:ind w:left="220"/>
              <w:spacing w:after="0"/>
              <w:rPr>
                <w:sz w:val="20"/>
                <w:szCs w:val="20"/>
                <w:color w:val="auto"/>
              </w:rPr>
            </w:pPr>
            <w:r>
              <w:rPr>
                <w:rFonts w:ascii="Calibri" w:cs="Calibri" w:eastAsia="Calibri" w:hAnsi="Calibri"/>
                <w:sz w:val="14"/>
                <w:szCs w:val="14"/>
                <w:b w:val="1"/>
                <w:bCs w:val="1"/>
                <w:color w:val="FFFFFF"/>
              </w:rPr>
              <w:t>Descripton of Document</w:t>
            </w:r>
          </w:p>
        </w:tc>
        <w:tc>
          <w:tcPr>
            <w:tcW w:w="1200" w:type="dxa"/>
            <w:vAlign w:val="bottom"/>
            <w:shd w:val="clear" w:color="auto" w:fill="004054"/>
          </w:tcPr>
          <w:p>
            <w:pPr>
              <w:jc w:val="center"/>
              <w:ind w:right="13"/>
              <w:spacing w:after="0"/>
              <w:rPr>
                <w:sz w:val="20"/>
                <w:szCs w:val="20"/>
                <w:color w:val="auto"/>
              </w:rPr>
            </w:pPr>
            <w:r>
              <w:rPr>
                <w:rFonts w:ascii="Calibri" w:cs="Calibri" w:eastAsia="Calibri" w:hAnsi="Calibri"/>
                <w:sz w:val="14"/>
                <w:szCs w:val="14"/>
                <w:b w:val="1"/>
                <w:bCs w:val="1"/>
                <w:color w:val="FFFFFF"/>
                <w:w w:val="98"/>
              </w:rPr>
              <w:t>Form</w:t>
            </w:r>
          </w:p>
        </w:tc>
        <w:tc>
          <w:tcPr>
            <w:tcW w:w="1580" w:type="dxa"/>
            <w:vAlign w:val="bottom"/>
            <w:shd w:val="clear" w:color="auto" w:fill="004054"/>
          </w:tcPr>
          <w:p>
            <w:pPr>
              <w:jc w:val="right"/>
              <w:ind w:right="673"/>
              <w:spacing w:after="0"/>
              <w:rPr>
                <w:sz w:val="20"/>
                <w:szCs w:val="20"/>
                <w:color w:val="auto"/>
              </w:rPr>
            </w:pPr>
            <w:r>
              <w:rPr>
                <w:rFonts w:ascii="Calibri" w:cs="Calibri" w:eastAsia="Calibri" w:hAnsi="Calibri"/>
                <w:sz w:val="14"/>
                <w:szCs w:val="14"/>
                <w:b w:val="1"/>
                <w:bCs w:val="1"/>
                <w:color w:val="FFFFFF"/>
              </w:rPr>
              <w:t>Dated</w:t>
            </w:r>
          </w:p>
        </w:tc>
        <w:tc>
          <w:tcPr>
            <w:tcW w:w="680" w:type="dxa"/>
            <w:vAlign w:val="bottom"/>
            <w:shd w:val="clear" w:color="auto" w:fill="004054"/>
          </w:tcPr>
          <w:p>
            <w:pPr>
              <w:jc w:val="center"/>
              <w:ind w:left="68"/>
              <w:spacing w:after="0"/>
              <w:rPr>
                <w:sz w:val="20"/>
                <w:szCs w:val="20"/>
                <w:color w:val="auto"/>
              </w:rPr>
            </w:pPr>
            <w:r>
              <w:rPr>
                <w:rFonts w:ascii="Calibri" w:cs="Calibri" w:eastAsia="Calibri" w:hAnsi="Calibri"/>
                <w:sz w:val="14"/>
                <w:szCs w:val="14"/>
                <w:b w:val="1"/>
                <w:bCs w:val="1"/>
                <w:color w:val="FFFFFF"/>
              </w:rPr>
              <w:t>Number</w:t>
            </w:r>
          </w:p>
        </w:tc>
        <w:tc>
          <w:tcPr>
            <w:tcW w:w="433" w:type="dxa"/>
            <w:vAlign w:val="bottom"/>
            <w:shd w:val="clear" w:color="auto" w:fill="004054"/>
          </w:tcPr>
          <w:p>
            <w:pPr>
              <w:spacing w:after="0"/>
              <w:rPr>
                <w:sz w:val="15"/>
                <w:szCs w:val="15"/>
                <w:color w:val="auto"/>
              </w:rPr>
            </w:pPr>
          </w:p>
        </w:tc>
        <w:tc>
          <w:tcPr>
            <w:tcW w:w="928"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Herewith</w:t>
            </w:r>
          </w:p>
        </w:tc>
        <w:tc>
          <w:tcPr>
            <w:tcW w:w="20" w:type="dxa"/>
            <w:vAlign w:val="bottom"/>
            <w:shd w:val="clear" w:color="auto" w:fill="004054"/>
          </w:tcPr>
          <w:p>
            <w:pPr>
              <w:spacing w:after="0"/>
              <w:rPr>
                <w:sz w:val="15"/>
                <w:szCs w:val="15"/>
                <w:color w:val="auto"/>
              </w:rPr>
            </w:pPr>
          </w:p>
        </w:tc>
      </w:tr>
      <w:tr>
        <w:trPr>
          <w:trHeight w:val="74"/>
        </w:trPr>
        <w:tc>
          <w:tcPr>
            <w:tcW w:w="54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680" w:type="dxa"/>
            <w:vAlign w:val="bottom"/>
            <w:shd w:val="clear" w:color="auto" w:fill="004054"/>
          </w:tcPr>
          <w:p>
            <w:pPr>
              <w:spacing w:after="0"/>
              <w:rPr>
                <w:sz w:val="6"/>
                <w:szCs w:val="6"/>
                <w:color w:val="auto"/>
              </w:rPr>
            </w:pPr>
          </w:p>
        </w:tc>
        <w:tc>
          <w:tcPr>
            <w:tcW w:w="11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60" w:type="dxa"/>
            <w:vAlign w:val="bottom"/>
            <w:shd w:val="clear" w:color="auto" w:fill="004054"/>
          </w:tcPr>
          <w:p>
            <w:pPr>
              <w:spacing w:after="0"/>
              <w:rPr>
                <w:sz w:val="6"/>
                <w:szCs w:val="6"/>
                <w:color w:val="auto"/>
              </w:rPr>
            </w:pPr>
          </w:p>
        </w:tc>
        <w:tc>
          <w:tcPr>
            <w:tcW w:w="240" w:type="dxa"/>
            <w:vAlign w:val="bottom"/>
            <w:shd w:val="clear" w:color="auto" w:fill="004054"/>
          </w:tcPr>
          <w:p>
            <w:pPr>
              <w:spacing w:after="0"/>
              <w:rPr>
                <w:sz w:val="6"/>
                <w:szCs w:val="6"/>
                <w:color w:val="auto"/>
              </w:rPr>
            </w:pPr>
          </w:p>
        </w:tc>
        <w:tc>
          <w:tcPr>
            <w:tcW w:w="840" w:type="dxa"/>
            <w:vAlign w:val="bottom"/>
            <w:shd w:val="clear" w:color="auto" w:fill="004054"/>
          </w:tcPr>
          <w:p>
            <w:pPr>
              <w:spacing w:after="0"/>
              <w:rPr>
                <w:sz w:val="6"/>
                <w:szCs w:val="6"/>
                <w:color w:val="auto"/>
              </w:rPr>
            </w:pPr>
          </w:p>
        </w:tc>
        <w:tc>
          <w:tcPr>
            <w:tcW w:w="620" w:type="dxa"/>
            <w:vAlign w:val="bottom"/>
            <w:shd w:val="clear" w:color="auto" w:fill="004054"/>
          </w:tcPr>
          <w:p>
            <w:pPr>
              <w:spacing w:after="0"/>
              <w:rPr>
                <w:sz w:val="6"/>
                <w:szCs w:val="6"/>
                <w:color w:val="auto"/>
              </w:rPr>
            </w:pPr>
          </w:p>
        </w:tc>
        <w:tc>
          <w:tcPr>
            <w:tcW w:w="480" w:type="dxa"/>
            <w:vAlign w:val="bottom"/>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420" w:type="dxa"/>
            <w:vAlign w:val="bottom"/>
            <w:tcBorders>
              <w:right w:val="single" w:sz="8" w:color="004054"/>
            </w:tcBorders>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40" w:type="dxa"/>
            <w:vAlign w:val="bottom"/>
            <w:tcBorders>
              <w:right w:val="single" w:sz="8" w:color="004054"/>
            </w:tcBorders>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40" w:type="dxa"/>
            <w:vAlign w:val="bottom"/>
            <w:tcBorders>
              <w:right w:val="single" w:sz="8" w:color="004054"/>
            </w:tcBorders>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1580" w:type="dxa"/>
            <w:vAlign w:val="bottom"/>
            <w:shd w:val="clear" w:color="auto" w:fill="004054"/>
          </w:tcPr>
          <w:p>
            <w:pPr>
              <w:spacing w:after="0"/>
              <w:rPr>
                <w:sz w:val="6"/>
                <w:szCs w:val="6"/>
                <w:color w:val="auto"/>
              </w:rPr>
            </w:pPr>
          </w:p>
        </w:tc>
        <w:tc>
          <w:tcPr>
            <w:tcW w:w="680" w:type="dxa"/>
            <w:vAlign w:val="bottom"/>
            <w:shd w:val="clear" w:color="auto" w:fill="004054"/>
          </w:tcPr>
          <w:p>
            <w:pPr>
              <w:spacing w:after="0"/>
              <w:rPr>
                <w:sz w:val="6"/>
                <w:szCs w:val="6"/>
                <w:color w:val="auto"/>
              </w:rPr>
            </w:pPr>
          </w:p>
        </w:tc>
        <w:tc>
          <w:tcPr>
            <w:tcW w:w="433" w:type="dxa"/>
            <w:vAlign w:val="bottom"/>
            <w:shd w:val="clear" w:color="auto" w:fill="004054"/>
          </w:tcPr>
          <w:p>
            <w:pPr>
              <w:spacing w:after="0"/>
              <w:rPr>
                <w:sz w:val="6"/>
                <w:szCs w:val="6"/>
                <w:color w:val="auto"/>
              </w:rPr>
            </w:pPr>
          </w:p>
        </w:tc>
        <w:tc>
          <w:tcPr>
            <w:tcW w:w="928"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21">
              <w:r>
                <w:rPr>
                  <w:rFonts w:ascii="Calibri" w:cs="Calibri" w:eastAsia="Calibri" w:hAnsi="Calibri"/>
                  <w:sz w:val="18"/>
                  <w:szCs w:val="18"/>
                  <w:color w:val="7A04DD"/>
                </w:rPr>
                <w:t>10.15</w:t>
              </w:r>
            </w:hyperlink>
          </w:p>
        </w:tc>
        <w:tc>
          <w:tcPr>
            <w:tcW w:w="4800" w:type="dxa"/>
            <w:vAlign w:val="bottom"/>
            <w:gridSpan w:val="23"/>
            <w:shd w:val="clear" w:color="auto" w:fill="EBFBFF"/>
          </w:tcPr>
          <w:p>
            <w:pPr>
              <w:spacing w:after="0" w:line="189" w:lineRule="exact"/>
              <w:rPr>
                <w:rFonts w:ascii="Calibri" w:cs="Calibri" w:eastAsia="Calibri" w:hAnsi="Calibri"/>
                <w:sz w:val="18"/>
                <w:szCs w:val="18"/>
                <w:color w:val="7A04DD"/>
              </w:rPr>
            </w:pPr>
            <w:hyperlink r:id="rId521">
              <w:r>
                <w:rPr>
                  <w:rFonts w:ascii="Calibri" w:cs="Calibri" w:eastAsia="Calibri" w:hAnsi="Calibri"/>
                  <w:sz w:val="18"/>
                  <w:szCs w:val="18"/>
                  <w:color w:val="7A04DD"/>
                </w:rPr>
                <w:t>Tenth Amendment to Lease Agreement, dated as of June 26,</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8/4/2020</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10.7</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bottom w:val="single" w:sz="8" w:color="EBFBFF"/>
            </w:tcBorders>
            <w:shd w:val="clear" w:color="auto" w:fill="EBFBFF"/>
          </w:tcPr>
          <w:p>
            <w:pPr>
              <w:spacing w:after="0"/>
              <w:rPr>
                <w:sz w:val="17"/>
                <w:szCs w:val="17"/>
                <w:color w:val="auto"/>
              </w:rPr>
            </w:pPr>
          </w:p>
        </w:tc>
        <w:tc>
          <w:tcPr>
            <w:tcW w:w="400" w:type="dxa"/>
            <w:vAlign w:val="bottom"/>
            <w:tcBorders>
              <w:top w:val="single" w:sz="8" w:color="7A04DD"/>
              <w:bottom w:val="single" w:sz="8" w:color="EBFBFF"/>
            </w:tcBorders>
            <w:shd w:val="clear" w:color="auto" w:fill="EBFBFF"/>
          </w:tcPr>
          <w:p>
            <w:pPr>
              <w:spacing w:after="0"/>
              <w:rPr>
                <w:sz w:val="17"/>
                <w:szCs w:val="17"/>
                <w:color w:val="auto"/>
              </w:rPr>
            </w:pPr>
          </w:p>
        </w:tc>
        <w:tc>
          <w:tcPr>
            <w:tcW w:w="680" w:type="dxa"/>
            <w:vAlign w:val="bottom"/>
            <w:tcBorders>
              <w:top w:val="single" w:sz="8" w:color="EBFBFF"/>
              <w:bottom w:val="single" w:sz="8" w:color="EBFBFF"/>
            </w:tcBorders>
            <w:shd w:val="clear" w:color="auto" w:fill="EBFBFF"/>
          </w:tcPr>
          <w:p>
            <w:pPr>
              <w:spacing w:after="0"/>
              <w:rPr>
                <w:sz w:val="17"/>
                <w:szCs w:val="17"/>
                <w:color w:val="auto"/>
              </w:rPr>
            </w:pPr>
          </w:p>
        </w:tc>
        <w:tc>
          <w:tcPr>
            <w:tcW w:w="4220" w:type="dxa"/>
            <w:vAlign w:val="bottom"/>
            <w:tcBorders>
              <w:top w:val="single" w:sz="8" w:color="7A04DD"/>
              <w:bottom w:val="single" w:sz="8" w:color="7A04DD"/>
            </w:tcBorders>
            <w:gridSpan w:val="11"/>
            <w:shd w:val="clear" w:color="auto" w:fill="EBFBFF"/>
          </w:tcPr>
          <w:p>
            <w:pPr>
              <w:spacing w:after="0" w:line="196" w:lineRule="exact"/>
              <w:rPr>
                <w:rFonts w:ascii="Calibri" w:cs="Calibri" w:eastAsia="Calibri" w:hAnsi="Calibri"/>
                <w:sz w:val="18"/>
                <w:szCs w:val="18"/>
                <w:color w:val="7A04DD"/>
                <w:w w:val="97"/>
              </w:rPr>
            </w:pPr>
            <w:hyperlink r:id="rId521">
              <w:r>
                <w:rPr>
                  <w:rFonts w:ascii="Calibri" w:cs="Calibri" w:eastAsia="Calibri" w:hAnsi="Calibri"/>
                  <w:sz w:val="18"/>
                  <w:szCs w:val="18"/>
                  <w:color w:val="7A04DD"/>
                  <w:w w:val="97"/>
                </w:rPr>
                <w:t>2020, between HPBB1, LLC and BBHQ1, LLC (a subsidiary of</w:t>
              </w:r>
            </w:hyperlink>
          </w:p>
        </w:tc>
        <w:tc>
          <w:tcPr>
            <w:tcW w:w="80" w:type="dxa"/>
            <w:vAlign w:val="bottom"/>
            <w:tcBorders>
              <w:top w:val="single" w:sz="8" w:color="7A04DD"/>
              <w:bottom w:val="single" w:sz="8" w:color="EBFBFF"/>
            </w:tcBorders>
            <w:shd w:val="clear" w:color="auto" w:fill="EBFBFF"/>
          </w:tcPr>
          <w:p>
            <w:pPr>
              <w:spacing w:after="0"/>
              <w:rPr>
                <w:sz w:val="17"/>
                <w:szCs w:val="17"/>
                <w:color w:val="auto"/>
              </w:rPr>
            </w:pPr>
          </w:p>
        </w:tc>
        <w:tc>
          <w:tcPr>
            <w:tcW w:w="500" w:type="dxa"/>
            <w:vAlign w:val="bottom"/>
            <w:tcBorders>
              <w:top w:val="single" w:sz="8" w:color="EBFBFF"/>
              <w:bottom w:val="single" w:sz="8" w:color="EBFBFF"/>
            </w:tcBorders>
            <w:gridSpan w:val="11"/>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580" w:type="dxa"/>
            <w:vAlign w:val="bottom"/>
            <w:tcBorders>
              <w:top w:val="single" w:sz="8" w:color="EBFBFF"/>
              <w:bottom w:val="single" w:sz="8" w:color="EBFBFF"/>
            </w:tcBorders>
            <w:shd w:val="clear" w:color="auto" w:fill="EBFBFF"/>
          </w:tcPr>
          <w:p>
            <w:pPr>
              <w:spacing w:after="0"/>
              <w:rPr>
                <w:sz w:val="17"/>
                <w:szCs w:val="17"/>
                <w:color w:val="auto"/>
              </w:rPr>
            </w:pPr>
          </w:p>
        </w:tc>
        <w:tc>
          <w:tcPr>
            <w:tcW w:w="680" w:type="dxa"/>
            <w:vAlign w:val="bottom"/>
            <w:tcBorders>
              <w:top w:val="single" w:sz="8" w:color="EBFBFF"/>
              <w:bottom w:val="single" w:sz="8" w:color="EBFBFF"/>
            </w:tcBorders>
            <w:shd w:val="clear" w:color="auto" w:fill="EBFBFF"/>
          </w:tcPr>
          <w:p>
            <w:pPr>
              <w:spacing w:after="0"/>
              <w:rPr>
                <w:sz w:val="17"/>
                <w:szCs w:val="17"/>
                <w:color w:val="auto"/>
              </w:rPr>
            </w:pPr>
          </w:p>
        </w:tc>
        <w:tc>
          <w:tcPr>
            <w:tcW w:w="433" w:type="dxa"/>
            <w:vAlign w:val="bottom"/>
            <w:tcBorders>
              <w:top w:val="single" w:sz="8" w:color="EBFBFF"/>
              <w:bottom w:val="single" w:sz="8" w:color="EBFBFF"/>
            </w:tcBorders>
            <w:shd w:val="clear" w:color="auto" w:fill="EBFBFF"/>
          </w:tcPr>
          <w:p>
            <w:pPr>
              <w:spacing w:after="0"/>
              <w:rPr>
                <w:sz w:val="17"/>
                <w:szCs w:val="17"/>
                <w:color w:val="auto"/>
              </w:rPr>
            </w:pPr>
          </w:p>
        </w:tc>
        <w:tc>
          <w:tcPr>
            <w:tcW w:w="928"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3"/>
            <w:shd w:val="clear" w:color="auto" w:fill="EBFBFF"/>
          </w:tcPr>
          <w:p>
            <w:pPr>
              <w:spacing w:after="0" w:line="196" w:lineRule="exact"/>
              <w:rPr>
                <w:rFonts w:ascii="Calibri" w:cs="Calibri" w:eastAsia="Calibri" w:hAnsi="Calibri"/>
                <w:sz w:val="18"/>
                <w:szCs w:val="18"/>
                <w:color w:val="7A04DD"/>
              </w:rPr>
            </w:pPr>
            <w:hyperlink r:id="rId521">
              <w:r>
                <w:rPr>
                  <w:rFonts w:ascii="Calibri" w:cs="Calibri" w:eastAsia="Calibri" w:hAnsi="Calibri"/>
                  <w:sz w:val="18"/>
                  <w:szCs w:val="18"/>
                  <w:color w:val="7A04DD"/>
                </w:rPr>
                <w:t>Blackbaud, Inc.)</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11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EBFBFF"/>
            </w:tcBorders>
            <w:shd w:val="clear" w:color="auto" w:fill="EBFBFF"/>
          </w:tcPr>
          <w:p>
            <w:pPr>
              <w:spacing w:after="0"/>
              <w:rPr>
                <w:sz w:val="5"/>
                <w:szCs w:val="5"/>
                <w:color w:val="auto"/>
              </w:rPr>
            </w:pPr>
          </w:p>
        </w:tc>
        <w:tc>
          <w:tcPr>
            <w:tcW w:w="240" w:type="dxa"/>
            <w:vAlign w:val="bottom"/>
            <w:tcBorders>
              <w:top w:val="single" w:sz="8" w:color="EBFBFF"/>
            </w:tcBorders>
            <w:shd w:val="clear" w:color="auto" w:fill="EBFBFF"/>
          </w:tcPr>
          <w:p>
            <w:pPr>
              <w:spacing w:after="0"/>
              <w:rPr>
                <w:sz w:val="5"/>
                <w:szCs w:val="5"/>
                <w:color w:val="auto"/>
              </w:rPr>
            </w:pPr>
          </w:p>
        </w:tc>
        <w:tc>
          <w:tcPr>
            <w:tcW w:w="840" w:type="dxa"/>
            <w:vAlign w:val="bottom"/>
            <w:tcBorders>
              <w:top w:val="single" w:sz="8" w:color="EBFBFF"/>
            </w:tcBorders>
            <w:shd w:val="clear" w:color="auto" w:fill="EBFBFF"/>
          </w:tcPr>
          <w:p>
            <w:pPr>
              <w:spacing w:after="0"/>
              <w:rPr>
                <w:sz w:val="5"/>
                <w:szCs w:val="5"/>
                <w:color w:val="auto"/>
              </w:rPr>
            </w:pPr>
          </w:p>
        </w:tc>
        <w:tc>
          <w:tcPr>
            <w:tcW w:w="620" w:type="dxa"/>
            <w:vAlign w:val="bottom"/>
            <w:tcBorders>
              <w:top w:val="single" w:sz="8" w:color="EBFBFF"/>
            </w:tcBorders>
            <w:shd w:val="clear" w:color="auto" w:fill="EBFBFF"/>
          </w:tcPr>
          <w:p>
            <w:pPr>
              <w:spacing w:after="0"/>
              <w:rPr>
                <w:sz w:val="5"/>
                <w:szCs w:val="5"/>
                <w:color w:val="auto"/>
              </w:rPr>
            </w:pPr>
          </w:p>
        </w:tc>
        <w:tc>
          <w:tcPr>
            <w:tcW w:w="4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2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43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1080" w:type="dxa"/>
            <w:vAlign w:val="bottom"/>
            <w:gridSpan w:val="2"/>
          </w:tcPr>
          <w:p>
            <w:pPr>
              <w:spacing w:after="0" w:line="189" w:lineRule="exact"/>
              <w:rPr>
                <w:rFonts w:ascii="Calibri" w:cs="Calibri" w:eastAsia="Calibri" w:hAnsi="Calibri"/>
                <w:sz w:val="18"/>
                <w:szCs w:val="18"/>
                <w:color w:val="7A04DD"/>
              </w:rPr>
            </w:pPr>
            <w:hyperlink r:id="rId522">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16</w:t>
            </w:r>
          </w:p>
        </w:tc>
        <w:tc>
          <w:tcPr>
            <w:tcW w:w="4800" w:type="dxa"/>
            <w:vAlign w:val="bottom"/>
            <w:gridSpan w:val="23"/>
          </w:tcPr>
          <w:p>
            <w:pPr>
              <w:spacing w:after="0" w:line="189" w:lineRule="exact"/>
              <w:rPr>
                <w:rFonts w:ascii="Calibri" w:cs="Calibri" w:eastAsia="Calibri" w:hAnsi="Calibri"/>
                <w:sz w:val="18"/>
                <w:szCs w:val="18"/>
                <w:color w:val="7A04DD"/>
              </w:rPr>
            </w:pPr>
            <w:hyperlink r:id="rId522">
              <w:r>
                <w:rPr>
                  <w:rFonts w:ascii="Calibri" w:cs="Calibri" w:eastAsia="Calibri" w:hAnsi="Calibri"/>
                  <w:sz w:val="18"/>
                  <w:szCs w:val="18"/>
                  <w:color w:val="7A04DD"/>
                </w:rPr>
                <w:t>Eleventh Amendment to Lease Agreement, dated as of August</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11/3/2020</w:t>
            </w:r>
          </w:p>
        </w:tc>
        <w:tc>
          <w:tcPr>
            <w:tcW w:w="680" w:type="dxa"/>
            <w:vAlign w:val="bottom"/>
          </w:tcPr>
          <w:p>
            <w:pPr>
              <w:spacing w:after="0"/>
              <w:rPr>
                <w:sz w:val="16"/>
                <w:szCs w:val="16"/>
                <w:color w:val="auto"/>
              </w:rPr>
            </w:pPr>
          </w:p>
        </w:tc>
        <w:tc>
          <w:tcPr>
            <w:tcW w:w="433" w:type="dxa"/>
            <w:vAlign w:val="bottom"/>
          </w:tcPr>
          <w:p>
            <w:pPr>
              <w:jc w:val="right"/>
              <w:ind w:right="3"/>
              <w:spacing w:after="0" w:line="189" w:lineRule="exact"/>
              <w:rPr>
                <w:sz w:val="20"/>
                <w:szCs w:val="20"/>
                <w:color w:val="auto"/>
              </w:rPr>
            </w:pPr>
            <w:r>
              <w:rPr>
                <w:rFonts w:ascii="Calibri" w:cs="Calibri" w:eastAsia="Calibri" w:hAnsi="Calibri"/>
                <w:sz w:val="18"/>
                <w:szCs w:val="18"/>
                <w:color w:val="51555C"/>
              </w:rPr>
              <w:t>10.3</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shd w:val="clear" w:color="auto" w:fill="7A04DD"/>
          </w:tcPr>
          <w:p>
            <w:pPr>
              <w:spacing w:after="0" w:line="20" w:lineRule="exact"/>
              <w:rPr>
                <w:sz w:val="1"/>
                <w:szCs w:val="1"/>
                <w:color w:val="auto"/>
              </w:rPr>
            </w:pPr>
          </w:p>
        </w:tc>
        <w:tc>
          <w:tcPr>
            <w:tcW w:w="280" w:type="dxa"/>
            <w:vAlign w:val="bottom"/>
            <w:gridSpan w:val="2"/>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840" w:type="dxa"/>
            <w:vAlign w:val="bottom"/>
            <w:shd w:val="clear" w:color="auto" w:fill="7A04DD"/>
          </w:tcPr>
          <w:p>
            <w:pPr>
              <w:spacing w:after="0" w:line="20" w:lineRule="exact"/>
              <w:rPr>
                <w:sz w:val="1"/>
                <w:szCs w:val="1"/>
                <w:color w:val="auto"/>
              </w:rPr>
            </w:pPr>
          </w:p>
        </w:tc>
        <w:tc>
          <w:tcPr>
            <w:tcW w:w="620" w:type="dxa"/>
            <w:vAlign w:val="bottom"/>
            <w:shd w:val="clear" w:color="auto" w:fill="7A04DD"/>
          </w:tcPr>
          <w:p>
            <w:pPr>
              <w:spacing w:after="0" w:line="20" w:lineRule="exact"/>
              <w:rPr>
                <w:sz w:val="1"/>
                <w:szCs w:val="1"/>
                <w:color w:val="auto"/>
              </w:rPr>
            </w:pPr>
          </w:p>
        </w:tc>
        <w:tc>
          <w:tcPr>
            <w:tcW w:w="48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420" w:type="dxa"/>
            <w:vAlign w:val="bottom"/>
            <w:tcBorders>
              <w:right w:val="single" w:sz="8" w:color="7A04DD"/>
            </w:tcBorders>
            <w:shd w:val="clear" w:color="auto" w:fill="7A04DD"/>
          </w:tcPr>
          <w:p>
            <w:pPr>
              <w:spacing w:after="0" w:line="20" w:lineRule="exact"/>
              <w:rPr>
                <w:sz w:val="1"/>
                <w:szCs w:val="1"/>
                <w:color w:val="auto"/>
              </w:rPr>
            </w:pPr>
          </w:p>
        </w:tc>
        <w:tc>
          <w:tcPr>
            <w:tcW w:w="100" w:type="dxa"/>
            <w:vAlign w:val="bottom"/>
            <w:gridSpan w:val="2"/>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40" w:type="dxa"/>
            <w:vAlign w:val="bottom"/>
            <w:tcBorders>
              <w:right w:val="single" w:sz="8" w:color="7A04DD"/>
            </w:tcBorders>
            <w:shd w:val="clear" w:color="auto" w:fill="7A04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20" w:type="dxa"/>
            <w:vAlign w:val="bottom"/>
            <w:tcBorders>
              <w:bottom w:val="single" w:sz="8" w:color="7A04DD"/>
            </w:tcBorders>
            <w:gridSpan w:val="18"/>
          </w:tcPr>
          <w:p>
            <w:pPr>
              <w:spacing w:after="0" w:line="196" w:lineRule="exact"/>
              <w:rPr>
                <w:rFonts w:ascii="Calibri" w:cs="Calibri" w:eastAsia="Calibri" w:hAnsi="Calibri"/>
                <w:sz w:val="18"/>
                <w:szCs w:val="18"/>
                <w:color w:val="7A04DD"/>
                <w:w w:val="96"/>
              </w:rPr>
            </w:pPr>
            <w:hyperlink r:id="rId522">
              <w:r>
                <w:rPr>
                  <w:rFonts w:ascii="Calibri" w:cs="Calibri" w:eastAsia="Calibri" w:hAnsi="Calibri"/>
                  <w:sz w:val="18"/>
                  <w:szCs w:val="18"/>
                  <w:color w:val="7A04DD"/>
                  <w:w w:val="96"/>
                </w:rPr>
                <w:t>13, 2020, between BBHQ1, LLC and BBHQ1, LLC (a subsidiary of</w:t>
              </w:r>
            </w:hyperlink>
          </w:p>
        </w:tc>
        <w:tc>
          <w:tcPr>
            <w:tcW w:w="28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0" w:type="dxa"/>
            <w:vAlign w:val="bottom"/>
            <w:gridSpan w:val="23"/>
          </w:tcPr>
          <w:p>
            <w:pPr>
              <w:spacing w:after="0" w:line="196" w:lineRule="exact"/>
              <w:rPr>
                <w:rFonts w:ascii="Calibri" w:cs="Calibri" w:eastAsia="Calibri" w:hAnsi="Calibri"/>
                <w:sz w:val="18"/>
                <w:szCs w:val="18"/>
                <w:color w:val="7A04DD"/>
              </w:rPr>
            </w:pPr>
            <w:hyperlink r:id="rId522">
              <w:r>
                <w:rPr>
                  <w:rFonts w:ascii="Calibri" w:cs="Calibri" w:eastAsia="Calibri" w:hAnsi="Calibri"/>
                  <w:sz w:val="18"/>
                  <w:szCs w:val="18"/>
                  <w:color w:val="7A04DD"/>
                </w:rPr>
                <w:t>Blackbaud, Inc.)</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3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23">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17</w:t>
            </w:r>
          </w:p>
        </w:tc>
        <w:tc>
          <w:tcPr>
            <w:tcW w:w="4800" w:type="dxa"/>
            <w:vAlign w:val="bottom"/>
            <w:gridSpan w:val="23"/>
            <w:shd w:val="clear" w:color="auto" w:fill="EBFBFF"/>
          </w:tcPr>
          <w:p>
            <w:pPr>
              <w:spacing w:after="0" w:line="189" w:lineRule="exact"/>
              <w:rPr>
                <w:rFonts w:ascii="Calibri" w:cs="Calibri" w:eastAsia="Calibri" w:hAnsi="Calibri"/>
                <w:sz w:val="18"/>
                <w:szCs w:val="18"/>
                <w:color w:val="7A04DD"/>
              </w:rPr>
            </w:pPr>
            <w:hyperlink r:id="rId523">
              <w:r>
                <w:rPr>
                  <w:rFonts w:ascii="Calibri" w:cs="Calibri" w:eastAsia="Calibri" w:hAnsi="Calibri"/>
                  <w:sz w:val="18"/>
                  <w:szCs w:val="18"/>
                  <w:color w:val="7A04DD"/>
                </w:rPr>
                <w:t>Amended and Restated Credit Agreement, dated as of October</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11/3/2020</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10.4</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4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480" w:type="dxa"/>
            <w:vAlign w:val="bottom"/>
            <w:tcBorders>
              <w:top w:val="single" w:sz="8" w:color="7A04DD"/>
            </w:tcBorders>
            <w:gridSpan w:val="17"/>
            <w:shd w:val="clear" w:color="auto" w:fill="EBFBFF"/>
          </w:tcPr>
          <w:p>
            <w:pPr>
              <w:spacing w:after="0" w:line="196" w:lineRule="exact"/>
              <w:rPr>
                <w:rFonts w:ascii="Calibri" w:cs="Calibri" w:eastAsia="Calibri" w:hAnsi="Calibri"/>
                <w:sz w:val="18"/>
                <w:szCs w:val="18"/>
                <w:color w:val="7A04DD"/>
              </w:rPr>
            </w:pPr>
            <w:hyperlink r:id="rId523">
              <w:r>
                <w:rPr>
                  <w:rFonts w:ascii="Calibri" w:cs="Calibri" w:eastAsia="Calibri" w:hAnsi="Calibri"/>
                  <w:sz w:val="18"/>
                  <w:szCs w:val="18"/>
                  <w:color w:val="7A04DD"/>
                </w:rPr>
                <w:t>30, 2020, by and among Blackbaud, Inc., and certain of its</w:t>
              </w:r>
            </w:hyperlink>
          </w:p>
        </w:tc>
        <w:tc>
          <w:tcPr>
            <w:tcW w:w="320" w:type="dxa"/>
            <w:vAlign w:val="bottom"/>
            <w:tcBorders>
              <w:top w:val="single" w:sz="8" w:color="EBFBFF"/>
            </w:tcBorders>
            <w:gridSpan w:val="6"/>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40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1100" w:type="dxa"/>
            <w:vAlign w:val="bottom"/>
            <w:shd w:val="clear" w:color="auto" w:fill="7A04DD"/>
          </w:tcPr>
          <w:p>
            <w:pPr>
              <w:spacing w:after="0" w:line="20" w:lineRule="exact"/>
              <w:rPr>
                <w:sz w:val="1"/>
                <w:szCs w:val="1"/>
                <w:color w:val="auto"/>
              </w:rPr>
            </w:pPr>
          </w:p>
        </w:tc>
        <w:tc>
          <w:tcPr>
            <w:tcW w:w="280" w:type="dxa"/>
            <w:vAlign w:val="bottom"/>
            <w:gridSpan w:val="2"/>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840" w:type="dxa"/>
            <w:vAlign w:val="bottom"/>
            <w:shd w:val="clear" w:color="auto" w:fill="7A04DD"/>
          </w:tcPr>
          <w:p>
            <w:pPr>
              <w:spacing w:after="0" w:line="20" w:lineRule="exact"/>
              <w:rPr>
                <w:sz w:val="1"/>
                <w:szCs w:val="1"/>
                <w:color w:val="auto"/>
              </w:rPr>
            </w:pPr>
          </w:p>
        </w:tc>
        <w:tc>
          <w:tcPr>
            <w:tcW w:w="620" w:type="dxa"/>
            <w:vAlign w:val="bottom"/>
            <w:shd w:val="clear" w:color="auto" w:fill="7A04DD"/>
          </w:tcPr>
          <w:p>
            <w:pPr>
              <w:spacing w:after="0" w:line="20" w:lineRule="exact"/>
              <w:rPr>
                <w:sz w:val="1"/>
                <w:szCs w:val="1"/>
                <w:color w:val="auto"/>
              </w:rPr>
            </w:pPr>
          </w:p>
        </w:tc>
        <w:tc>
          <w:tcPr>
            <w:tcW w:w="48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420" w:type="dxa"/>
            <w:vAlign w:val="bottom"/>
            <w:tcBorders>
              <w:right w:val="single" w:sz="8" w:color="7A04DD"/>
            </w:tcBorders>
            <w:shd w:val="clear" w:color="auto" w:fill="7A04DD"/>
          </w:tcPr>
          <w:p>
            <w:pPr>
              <w:spacing w:after="0" w:line="20" w:lineRule="exact"/>
              <w:rPr>
                <w:sz w:val="1"/>
                <w:szCs w:val="1"/>
                <w:color w:val="auto"/>
              </w:rPr>
            </w:pPr>
          </w:p>
        </w:tc>
        <w:tc>
          <w:tcPr>
            <w:tcW w:w="100" w:type="dxa"/>
            <w:vAlign w:val="bottom"/>
            <w:gridSpan w:val="2"/>
            <w:shd w:val="clear" w:color="auto" w:fill="EBFBFF"/>
          </w:tcPr>
          <w:p>
            <w:pPr>
              <w:spacing w:after="0" w:line="20" w:lineRule="exact"/>
              <w:rPr>
                <w:sz w:val="1"/>
                <w:szCs w:val="1"/>
                <w:color w:val="auto"/>
              </w:rPr>
            </w:pPr>
          </w:p>
        </w:tc>
        <w:tc>
          <w:tcPr>
            <w:tcW w:w="80" w:type="dxa"/>
            <w:vAlign w:val="bottom"/>
            <w:shd w:val="clear" w:color="auto" w:fill="EBFBFF"/>
          </w:tcPr>
          <w:p>
            <w:pPr>
              <w:spacing w:after="0" w:line="20" w:lineRule="exact"/>
              <w:rPr>
                <w:sz w:val="1"/>
                <w:szCs w:val="1"/>
                <w:color w:val="auto"/>
              </w:rPr>
            </w:pPr>
          </w:p>
        </w:tc>
        <w:tc>
          <w:tcPr>
            <w:tcW w:w="40" w:type="dxa"/>
            <w:vAlign w:val="bottom"/>
            <w:tcBorders>
              <w:right w:val="single" w:sz="8" w:color="EBFBFF"/>
            </w:tcBorders>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tcBorders>
              <w:right w:val="single" w:sz="8" w:color="EBFBFF"/>
            </w:tcBorders>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0" w:type="dxa"/>
            <w:vAlign w:val="bottom"/>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43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560" w:type="dxa"/>
            <w:vAlign w:val="bottom"/>
            <w:tcBorders>
              <w:bottom w:val="single" w:sz="8" w:color="7A04DD"/>
            </w:tcBorders>
            <w:gridSpan w:val="20"/>
            <w:shd w:val="clear" w:color="auto" w:fill="EBFBFF"/>
          </w:tcPr>
          <w:p>
            <w:pPr>
              <w:spacing w:after="0" w:line="196" w:lineRule="exact"/>
              <w:rPr>
                <w:rFonts w:ascii="Calibri" w:cs="Calibri" w:eastAsia="Calibri" w:hAnsi="Calibri"/>
                <w:sz w:val="18"/>
                <w:szCs w:val="18"/>
                <w:color w:val="7A04DD"/>
                <w:w w:val="96"/>
              </w:rPr>
            </w:pPr>
            <w:hyperlink r:id="rId523">
              <w:r>
                <w:rPr>
                  <w:rFonts w:ascii="Calibri" w:cs="Calibri" w:eastAsia="Calibri" w:hAnsi="Calibri"/>
                  <w:sz w:val="18"/>
                  <w:szCs w:val="18"/>
                  <w:color w:val="7A04DD"/>
                  <w:w w:val="96"/>
                </w:rPr>
                <w:t>subsidiaries, as Borrowers, the lenders referred to therein, Bank</w:t>
              </w:r>
            </w:hyperlink>
          </w:p>
        </w:tc>
        <w:tc>
          <w:tcPr>
            <w:tcW w:w="240" w:type="dxa"/>
            <w:vAlign w:val="bottom"/>
            <w:tcBorders>
              <w:bottom w:val="single" w:sz="8" w:color="EBFBFF"/>
            </w:tcBorders>
            <w:gridSpan w:val="3"/>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540" w:type="dxa"/>
            <w:vAlign w:val="bottom"/>
            <w:tcBorders>
              <w:bottom w:val="single" w:sz="8" w:color="7A04DD"/>
            </w:tcBorders>
            <w:gridSpan w:val="19"/>
            <w:shd w:val="clear" w:color="auto" w:fill="EBFBFF"/>
          </w:tcPr>
          <w:p>
            <w:pPr>
              <w:spacing w:after="0" w:line="196" w:lineRule="exact"/>
              <w:rPr>
                <w:rFonts w:ascii="Calibri" w:cs="Calibri" w:eastAsia="Calibri" w:hAnsi="Calibri"/>
                <w:sz w:val="18"/>
                <w:szCs w:val="18"/>
                <w:color w:val="7A04DD"/>
                <w:w w:val="97"/>
              </w:rPr>
            </w:pPr>
            <w:hyperlink r:id="rId523">
              <w:r>
                <w:rPr>
                  <w:rFonts w:ascii="Calibri" w:cs="Calibri" w:eastAsia="Calibri" w:hAnsi="Calibri"/>
                  <w:sz w:val="18"/>
                  <w:szCs w:val="18"/>
                  <w:color w:val="7A04DD"/>
                  <w:w w:val="97"/>
                </w:rPr>
                <w:t>of America, N.A., as Administratve Agent, Swingline Lender and</w:t>
              </w:r>
            </w:hyperlink>
          </w:p>
        </w:tc>
        <w:tc>
          <w:tcPr>
            <w:tcW w:w="260" w:type="dxa"/>
            <w:vAlign w:val="bottom"/>
            <w:tcBorders>
              <w:bottom w:val="single" w:sz="8" w:color="EBFBFF"/>
            </w:tcBorders>
            <w:gridSpan w:val="4"/>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420" w:type="dxa"/>
            <w:vAlign w:val="bottom"/>
            <w:tcBorders>
              <w:bottom w:val="single" w:sz="8" w:color="7A04DD"/>
              <w:right w:val="single" w:sz="8" w:color="EBFBFF"/>
            </w:tcBorders>
            <w:gridSpan w:val="14"/>
            <w:shd w:val="clear" w:color="auto" w:fill="EBFBFF"/>
          </w:tcPr>
          <w:p>
            <w:pPr>
              <w:spacing w:after="0" w:line="196" w:lineRule="exact"/>
              <w:rPr>
                <w:rFonts w:ascii="Calibri" w:cs="Calibri" w:eastAsia="Calibri" w:hAnsi="Calibri"/>
                <w:sz w:val="18"/>
                <w:szCs w:val="18"/>
                <w:color w:val="7A04DD"/>
                <w:w w:val="98"/>
              </w:rPr>
            </w:pPr>
            <w:hyperlink r:id="rId523">
              <w:r>
                <w:rPr>
                  <w:rFonts w:ascii="Calibri" w:cs="Calibri" w:eastAsia="Calibri" w:hAnsi="Calibri"/>
                  <w:sz w:val="18"/>
                  <w:szCs w:val="18"/>
                  <w:color w:val="7A04DD"/>
                  <w:w w:val="98"/>
                </w:rPr>
                <w:t>Issuing Lender, PNC Bank, Natonal Associaton, as Syndicaton</w:t>
              </w:r>
            </w:hyperlink>
          </w:p>
        </w:tc>
        <w:tc>
          <w:tcPr>
            <w:tcW w:w="380" w:type="dxa"/>
            <w:vAlign w:val="bottom"/>
            <w:tcBorders>
              <w:bottom w:val="single" w:sz="8" w:color="EBFBFF"/>
            </w:tcBorders>
            <w:gridSpan w:val="9"/>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3"/>
            <w:shd w:val="clear" w:color="auto" w:fill="EBFBFF"/>
          </w:tcPr>
          <w:p>
            <w:pPr>
              <w:spacing w:after="0" w:line="196" w:lineRule="exact"/>
              <w:rPr>
                <w:rFonts w:ascii="Calibri" w:cs="Calibri" w:eastAsia="Calibri" w:hAnsi="Calibri"/>
                <w:sz w:val="18"/>
                <w:szCs w:val="18"/>
                <w:color w:val="7A04DD"/>
              </w:rPr>
            </w:pPr>
            <w:hyperlink r:id="rId523">
              <w:r>
                <w:rPr>
                  <w:rFonts w:ascii="Calibri" w:cs="Calibri" w:eastAsia="Calibri" w:hAnsi="Calibri"/>
                  <w:sz w:val="18"/>
                  <w:szCs w:val="18"/>
                  <w:color w:val="7A04DD"/>
                </w:rPr>
                <w:t>Agent, and Regions Bank, BBVA USA and Fifh Third Bank,</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40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1100" w:type="dxa"/>
            <w:vAlign w:val="bottom"/>
            <w:shd w:val="clear" w:color="auto" w:fill="7A04DD"/>
          </w:tcPr>
          <w:p>
            <w:pPr>
              <w:spacing w:after="0" w:line="20" w:lineRule="exact"/>
              <w:rPr>
                <w:sz w:val="1"/>
                <w:szCs w:val="1"/>
                <w:color w:val="auto"/>
              </w:rPr>
            </w:pPr>
          </w:p>
        </w:tc>
        <w:tc>
          <w:tcPr>
            <w:tcW w:w="280" w:type="dxa"/>
            <w:vAlign w:val="bottom"/>
            <w:gridSpan w:val="2"/>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840" w:type="dxa"/>
            <w:vAlign w:val="bottom"/>
            <w:shd w:val="clear" w:color="auto" w:fill="7A04DD"/>
          </w:tcPr>
          <w:p>
            <w:pPr>
              <w:spacing w:after="0" w:line="20" w:lineRule="exact"/>
              <w:rPr>
                <w:sz w:val="1"/>
                <w:szCs w:val="1"/>
                <w:color w:val="auto"/>
              </w:rPr>
            </w:pPr>
          </w:p>
        </w:tc>
        <w:tc>
          <w:tcPr>
            <w:tcW w:w="620" w:type="dxa"/>
            <w:vAlign w:val="bottom"/>
            <w:shd w:val="clear" w:color="auto" w:fill="7A04DD"/>
          </w:tcPr>
          <w:p>
            <w:pPr>
              <w:spacing w:after="0" w:line="20" w:lineRule="exact"/>
              <w:rPr>
                <w:sz w:val="1"/>
                <w:szCs w:val="1"/>
                <w:color w:val="auto"/>
              </w:rPr>
            </w:pPr>
          </w:p>
        </w:tc>
        <w:tc>
          <w:tcPr>
            <w:tcW w:w="48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420" w:type="dxa"/>
            <w:vAlign w:val="bottom"/>
            <w:tcBorders>
              <w:right w:val="single" w:sz="8" w:color="EBFBFF"/>
            </w:tcBorders>
            <w:shd w:val="clear" w:color="auto" w:fill="7A04DD"/>
          </w:tcPr>
          <w:p>
            <w:pPr>
              <w:spacing w:after="0" w:line="20" w:lineRule="exact"/>
              <w:rPr>
                <w:sz w:val="1"/>
                <w:szCs w:val="1"/>
                <w:color w:val="auto"/>
              </w:rPr>
            </w:pPr>
          </w:p>
        </w:tc>
        <w:tc>
          <w:tcPr>
            <w:tcW w:w="100" w:type="dxa"/>
            <w:vAlign w:val="bottom"/>
            <w:gridSpan w:val="2"/>
            <w:shd w:val="clear" w:color="auto" w:fill="EBFBFF"/>
          </w:tcPr>
          <w:p>
            <w:pPr>
              <w:spacing w:after="0" w:line="20" w:lineRule="exact"/>
              <w:rPr>
                <w:sz w:val="1"/>
                <w:szCs w:val="1"/>
                <w:color w:val="auto"/>
              </w:rPr>
            </w:pPr>
          </w:p>
        </w:tc>
        <w:tc>
          <w:tcPr>
            <w:tcW w:w="80" w:type="dxa"/>
            <w:vAlign w:val="bottom"/>
            <w:shd w:val="clear" w:color="auto" w:fill="EBFBFF"/>
          </w:tcPr>
          <w:p>
            <w:pPr>
              <w:spacing w:after="0" w:line="20" w:lineRule="exact"/>
              <w:rPr>
                <w:sz w:val="1"/>
                <w:szCs w:val="1"/>
                <w:color w:val="auto"/>
              </w:rPr>
            </w:pPr>
          </w:p>
        </w:tc>
        <w:tc>
          <w:tcPr>
            <w:tcW w:w="40" w:type="dxa"/>
            <w:vAlign w:val="bottom"/>
            <w:tcBorders>
              <w:right w:val="single" w:sz="8" w:color="EBFBFF"/>
            </w:tcBorders>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tcBorders>
              <w:right w:val="single" w:sz="8" w:color="EBFBFF"/>
            </w:tcBorders>
            <w:shd w:val="clear" w:color="auto" w:fill="EBFBFF"/>
          </w:tcPr>
          <w:p>
            <w:pPr>
              <w:spacing w:after="0" w:line="20" w:lineRule="exact"/>
              <w:rPr>
                <w:sz w:val="1"/>
                <w:szCs w:val="1"/>
                <w:color w:val="auto"/>
              </w:rPr>
            </w:pPr>
          </w:p>
        </w:tc>
        <w:tc>
          <w:tcPr>
            <w:tcW w:w="60" w:type="dxa"/>
            <w:vAlign w:val="bottom"/>
            <w:gridSpan w:val="3"/>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0" w:type="dxa"/>
            <w:vAlign w:val="bottom"/>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43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420" w:type="dxa"/>
            <w:vAlign w:val="bottom"/>
            <w:tcBorders>
              <w:bottom w:val="single" w:sz="8" w:color="7A04DD"/>
              <w:right w:val="single" w:sz="8" w:color="EBFBFF"/>
            </w:tcBorders>
            <w:gridSpan w:val="14"/>
            <w:shd w:val="clear" w:color="auto" w:fill="EBFBFF"/>
          </w:tcPr>
          <w:p>
            <w:pPr>
              <w:spacing w:after="0" w:line="196" w:lineRule="exact"/>
              <w:rPr>
                <w:rFonts w:ascii="Calibri" w:cs="Calibri" w:eastAsia="Calibri" w:hAnsi="Calibri"/>
                <w:sz w:val="18"/>
                <w:szCs w:val="18"/>
                <w:color w:val="7A04DD"/>
                <w:w w:val="99"/>
              </w:rPr>
            </w:pPr>
            <w:hyperlink r:id="rId523">
              <w:r>
                <w:rPr>
                  <w:rFonts w:ascii="Calibri" w:cs="Calibri" w:eastAsia="Calibri" w:hAnsi="Calibri"/>
                  <w:sz w:val="18"/>
                  <w:szCs w:val="18"/>
                  <w:color w:val="7A04DD"/>
                  <w:w w:val="99"/>
                </w:rPr>
                <w:t>Natonal Associaton, as Co-Documentaton Agents, with BofA</w:t>
              </w:r>
            </w:hyperlink>
          </w:p>
        </w:tc>
        <w:tc>
          <w:tcPr>
            <w:tcW w:w="380" w:type="dxa"/>
            <w:vAlign w:val="bottom"/>
            <w:tcBorders>
              <w:bottom w:val="single" w:sz="8" w:color="EBFBFF"/>
            </w:tcBorders>
            <w:gridSpan w:val="9"/>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520" w:type="dxa"/>
            <w:vAlign w:val="bottom"/>
            <w:tcBorders>
              <w:bottom w:val="single" w:sz="8" w:color="7A04DD"/>
              <w:right w:val="single" w:sz="8" w:color="EBFBFF"/>
            </w:tcBorders>
            <w:gridSpan w:val="18"/>
            <w:shd w:val="clear" w:color="auto" w:fill="EBFBFF"/>
          </w:tcPr>
          <w:p>
            <w:pPr>
              <w:spacing w:after="0" w:line="196" w:lineRule="exact"/>
              <w:rPr>
                <w:rFonts w:ascii="Calibri" w:cs="Calibri" w:eastAsia="Calibri" w:hAnsi="Calibri"/>
                <w:sz w:val="18"/>
                <w:szCs w:val="18"/>
                <w:color w:val="7A04DD"/>
                <w:w w:val="99"/>
              </w:rPr>
            </w:pPr>
            <w:hyperlink r:id="rId523">
              <w:r>
                <w:rPr>
                  <w:rFonts w:ascii="Calibri" w:cs="Calibri" w:eastAsia="Calibri" w:hAnsi="Calibri"/>
                  <w:sz w:val="18"/>
                  <w:szCs w:val="18"/>
                  <w:color w:val="7A04DD"/>
                  <w:w w:val="99"/>
                </w:rPr>
                <w:t>Securites, Inc., PNC Bank, Natonal Associaton, Regions Capital</w:t>
              </w:r>
            </w:hyperlink>
          </w:p>
        </w:tc>
        <w:tc>
          <w:tcPr>
            <w:tcW w:w="280" w:type="dxa"/>
            <w:vAlign w:val="bottom"/>
            <w:tcBorders>
              <w:bottom w:val="single" w:sz="8" w:color="EBFBFF"/>
            </w:tcBorders>
            <w:gridSpan w:val="5"/>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4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600" w:type="dxa"/>
            <w:vAlign w:val="bottom"/>
            <w:tcBorders>
              <w:bottom w:val="single" w:sz="8" w:color="7A04DD"/>
            </w:tcBorders>
            <w:gridSpan w:val="22"/>
            <w:shd w:val="clear" w:color="auto" w:fill="EBFBFF"/>
          </w:tcPr>
          <w:p>
            <w:pPr>
              <w:spacing w:after="0" w:line="196" w:lineRule="exact"/>
              <w:rPr>
                <w:rFonts w:ascii="Calibri" w:cs="Calibri" w:eastAsia="Calibri" w:hAnsi="Calibri"/>
                <w:sz w:val="18"/>
                <w:szCs w:val="18"/>
                <w:color w:val="7A04DD"/>
                <w:w w:val="99"/>
              </w:rPr>
            </w:pPr>
            <w:hyperlink r:id="rId523">
              <w:r>
                <w:rPr>
                  <w:rFonts w:ascii="Calibri" w:cs="Calibri" w:eastAsia="Calibri" w:hAnsi="Calibri"/>
                  <w:sz w:val="18"/>
                  <w:szCs w:val="18"/>
                  <w:color w:val="7A04DD"/>
                  <w:w w:val="99"/>
                </w:rPr>
                <w:t>Markets, BBVA USA and Fifh Third Bank, Natonal Associaton as</w:t>
              </w:r>
            </w:hyperlink>
          </w:p>
        </w:tc>
        <w:tc>
          <w:tcPr>
            <w:tcW w:w="200" w:type="dxa"/>
            <w:vAlign w:val="bottom"/>
            <w:tcBorders>
              <w:bottom w:val="single" w:sz="8" w:color="EBFBFF"/>
            </w:tcBorders>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3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3"/>
            <w:shd w:val="clear" w:color="auto" w:fill="EBFBFF"/>
          </w:tcPr>
          <w:p>
            <w:pPr>
              <w:spacing w:after="0" w:line="196" w:lineRule="exact"/>
              <w:rPr>
                <w:rFonts w:ascii="Calibri" w:cs="Calibri" w:eastAsia="Calibri" w:hAnsi="Calibri"/>
                <w:sz w:val="18"/>
                <w:szCs w:val="18"/>
                <w:color w:val="7A04DD"/>
              </w:rPr>
            </w:pPr>
            <w:hyperlink r:id="rId523">
              <w:r>
                <w:rPr>
                  <w:rFonts w:ascii="Calibri" w:cs="Calibri" w:eastAsia="Calibri" w:hAnsi="Calibri"/>
                  <w:sz w:val="18"/>
                  <w:szCs w:val="18"/>
                  <w:color w:val="7A04DD"/>
                </w:rPr>
                <w:t>Joint Lead Arrangers and Joint Bookrunners</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11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24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7A04DD"/>
            </w:tcBorders>
            <w:shd w:val="clear" w:color="auto" w:fill="EBFBFF"/>
          </w:tcPr>
          <w:p>
            <w:pPr>
              <w:spacing w:after="0"/>
              <w:rPr>
                <w:sz w:val="5"/>
                <w:szCs w:val="5"/>
                <w:color w:val="auto"/>
              </w:rPr>
            </w:pPr>
          </w:p>
        </w:tc>
        <w:tc>
          <w:tcPr>
            <w:tcW w:w="620" w:type="dxa"/>
            <w:vAlign w:val="bottom"/>
            <w:tcBorders>
              <w:top w:val="single" w:sz="8" w:color="7A04DD"/>
            </w:tcBorders>
            <w:shd w:val="clear" w:color="auto" w:fill="EBFBFF"/>
          </w:tcPr>
          <w:p>
            <w:pPr>
              <w:spacing w:after="0"/>
              <w:rPr>
                <w:sz w:val="5"/>
                <w:szCs w:val="5"/>
                <w:color w:val="auto"/>
              </w:rPr>
            </w:pPr>
          </w:p>
        </w:tc>
        <w:tc>
          <w:tcPr>
            <w:tcW w:w="4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2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43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1080" w:type="dxa"/>
            <w:vAlign w:val="bottom"/>
            <w:gridSpan w:val="2"/>
          </w:tcPr>
          <w:p>
            <w:pPr>
              <w:spacing w:after="0" w:line="189" w:lineRule="exact"/>
              <w:rPr>
                <w:rFonts w:ascii="Calibri" w:cs="Calibri" w:eastAsia="Calibri" w:hAnsi="Calibri"/>
                <w:sz w:val="18"/>
                <w:szCs w:val="18"/>
                <w:color w:val="7A04DD"/>
              </w:rPr>
            </w:pPr>
            <w:hyperlink r:id="rId524">
              <w:r>
                <w:rPr>
                  <w:rFonts w:ascii="Calibri" w:cs="Calibri" w:eastAsia="Calibri" w:hAnsi="Calibri"/>
                  <w:sz w:val="18"/>
                  <w:szCs w:val="18"/>
                  <w:color w:val="7A04DD"/>
                </w:rPr>
                <w:t>10.</w:t>
              </w:r>
              <w:r>
                <w:rPr>
                  <w:rFonts w:ascii="Calibri" w:cs="Calibri" w:eastAsia="Calibri" w:hAnsi="Calibri"/>
                  <w:sz w:val="18"/>
                  <w:szCs w:val="18"/>
                  <w:u w:val="single" w:color="auto"/>
                  <w:color w:val="7A04DD"/>
                </w:rPr>
                <w:t>18</w:t>
              </w:r>
            </w:hyperlink>
          </w:p>
        </w:tc>
        <w:tc>
          <w:tcPr>
            <w:tcW w:w="4800" w:type="dxa"/>
            <w:vAlign w:val="bottom"/>
            <w:gridSpan w:val="23"/>
          </w:tcPr>
          <w:p>
            <w:pPr>
              <w:spacing w:after="0" w:line="189" w:lineRule="exact"/>
              <w:rPr>
                <w:rFonts w:ascii="Calibri" w:cs="Calibri" w:eastAsia="Calibri" w:hAnsi="Calibri"/>
                <w:sz w:val="18"/>
                <w:szCs w:val="18"/>
                <w:color w:val="7A04DD"/>
              </w:rPr>
            </w:pPr>
            <w:hyperlink r:id="rId524">
              <w:r>
                <w:rPr>
                  <w:rFonts w:ascii="Calibri" w:cs="Calibri" w:eastAsia="Calibri" w:hAnsi="Calibri"/>
                  <w:sz w:val="18"/>
                  <w:szCs w:val="18"/>
                  <w:color w:val="7A04DD"/>
                </w:rPr>
                <w:t>Amended and Restated Pledge Agreement, dated as of October</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11/3/2020</w:t>
            </w:r>
          </w:p>
        </w:tc>
        <w:tc>
          <w:tcPr>
            <w:tcW w:w="680" w:type="dxa"/>
            <w:vAlign w:val="bottom"/>
          </w:tcPr>
          <w:p>
            <w:pPr>
              <w:spacing w:after="0"/>
              <w:rPr>
                <w:sz w:val="16"/>
                <w:szCs w:val="16"/>
                <w:color w:val="auto"/>
              </w:rPr>
            </w:pPr>
          </w:p>
        </w:tc>
        <w:tc>
          <w:tcPr>
            <w:tcW w:w="433" w:type="dxa"/>
            <w:vAlign w:val="bottom"/>
          </w:tcPr>
          <w:p>
            <w:pPr>
              <w:jc w:val="right"/>
              <w:ind w:right="3"/>
              <w:spacing w:after="0" w:line="189" w:lineRule="exact"/>
              <w:rPr>
                <w:sz w:val="20"/>
                <w:szCs w:val="20"/>
                <w:color w:val="auto"/>
              </w:rPr>
            </w:pPr>
            <w:r>
              <w:rPr>
                <w:rFonts w:ascii="Calibri" w:cs="Calibri" w:eastAsia="Calibri" w:hAnsi="Calibri"/>
                <w:sz w:val="18"/>
                <w:szCs w:val="18"/>
                <w:color w:val="51555C"/>
              </w:rPr>
              <w:t>10.5</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shd w:val="clear" w:color="auto" w:fill="7A04DD"/>
          </w:tcPr>
          <w:p>
            <w:pPr>
              <w:spacing w:after="0" w:line="20" w:lineRule="exact"/>
              <w:rPr>
                <w:sz w:val="1"/>
                <w:szCs w:val="1"/>
                <w:color w:val="auto"/>
              </w:rPr>
            </w:pPr>
          </w:p>
        </w:tc>
        <w:tc>
          <w:tcPr>
            <w:tcW w:w="280" w:type="dxa"/>
            <w:vAlign w:val="bottom"/>
            <w:gridSpan w:val="2"/>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840" w:type="dxa"/>
            <w:vAlign w:val="bottom"/>
            <w:shd w:val="clear" w:color="auto" w:fill="7A04DD"/>
          </w:tcPr>
          <w:p>
            <w:pPr>
              <w:spacing w:after="0" w:line="20" w:lineRule="exact"/>
              <w:rPr>
                <w:sz w:val="1"/>
                <w:szCs w:val="1"/>
                <w:color w:val="auto"/>
              </w:rPr>
            </w:pPr>
          </w:p>
        </w:tc>
        <w:tc>
          <w:tcPr>
            <w:tcW w:w="1100" w:type="dxa"/>
            <w:vAlign w:val="bottom"/>
            <w:gridSpan w:val="2"/>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420" w:type="dxa"/>
            <w:vAlign w:val="bottom"/>
            <w:tcBorders>
              <w:right w:val="single" w:sz="8" w:color="7A04DD"/>
            </w:tcBorders>
            <w:shd w:val="clear" w:color="auto" w:fill="7A04DD"/>
          </w:tcPr>
          <w:p>
            <w:pPr>
              <w:spacing w:after="0" w:line="20" w:lineRule="exact"/>
              <w:rPr>
                <w:sz w:val="1"/>
                <w:szCs w:val="1"/>
                <w:color w:val="auto"/>
              </w:rPr>
            </w:pPr>
          </w:p>
        </w:tc>
        <w:tc>
          <w:tcPr>
            <w:tcW w:w="100" w:type="dxa"/>
            <w:vAlign w:val="bottom"/>
            <w:gridSpan w:val="2"/>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40" w:type="dxa"/>
            <w:vAlign w:val="bottom"/>
            <w:tcBorders>
              <w:right w:val="single" w:sz="8" w:color="7A04DD"/>
            </w:tcBorders>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40" w:type="dxa"/>
            <w:vAlign w:val="bottom"/>
            <w:tcBorders>
              <w:right w:val="single" w:sz="8" w:color="7A04DD"/>
            </w:tcBorders>
            <w:shd w:val="clear" w:color="auto" w:fill="7A04DD"/>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80" w:type="dxa"/>
            <w:vAlign w:val="bottom"/>
            <w:tcBorders>
              <w:bottom w:val="single" w:sz="8" w:color="7A04DD"/>
            </w:tcBorders>
            <w:gridSpan w:val="21"/>
          </w:tcPr>
          <w:p>
            <w:pPr>
              <w:spacing w:after="0" w:line="196" w:lineRule="exact"/>
              <w:rPr>
                <w:rFonts w:ascii="Calibri" w:cs="Calibri" w:eastAsia="Calibri" w:hAnsi="Calibri"/>
                <w:sz w:val="18"/>
                <w:szCs w:val="18"/>
                <w:color w:val="7A04DD"/>
                <w:w w:val="97"/>
              </w:rPr>
            </w:pPr>
            <w:hyperlink r:id="rId524">
              <w:r>
                <w:rPr>
                  <w:rFonts w:ascii="Calibri" w:cs="Calibri" w:eastAsia="Calibri" w:hAnsi="Calibri"/>
                  <w:sz w:val="18"/>
                  <w:szCs w:val="18"/>
                  <w:color w:val="7A04DD"/>
                  <w:w w:val="97"/>
                </w:rPr>
                <w:t>30, 2020, by Blackbaud, Inc. in favor of Bank of America, N.A., as</w:t>
              </w:r>
            </w:hyperlink>
          </w:p>
        </w:tc>
        <w:tc>
          <w:tcPr>
            <w:tcW w:w="22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0" w:type="dxa"/>
            <w:vAlign w:val="bottom"/>
            <w:gridSpan w:val="23"/>
          </w:tcPr>
          <w:p>
            <w:pPr>
              <w:spacing w:after="0" w:line="196" w:lineRule="exact"/>
              <w:rPr>
                <w:rFonts w:ascii="Calibri" w:cs="Calibri" w:eastAsia="Calibri" w:hAnsi="Calibri"/>
                <w:sz w:val="18"/>
                <w:szCs w:val="18"/>
                <w:color w:val="7A04DD"/>
              </w:rPr>
            </w:pPr>
            <w:hyperlink r:id="rId524">
              <w:r>
                <w:rPr>
                  <w:rFonts w:ascii="Calibri" w:cs="Calibri" w:eastAsia="Calibri" w:hAnsi="Calibri"/>
                  <w:sz w:val="18"/>
                  <w:szCs w:val="18"/>
                  <w:color w:val="7A04DD"/>
                </w:rPr>
                <w:t>Administratve Agent, for the ratable beneft of itself and the</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00" w:type="dxa"/>
            <w:vAlign w:val="bottom"/>
            <w:tcBorders>
              <w:top w:val="single" w:sz="8" w:color="7A04DD"/>
            </w:tcBorders>
            <w:gridSpan w:val="12"/>
          </w:tcPr>
          <w:p>
            <w:pPr>
              <w:spacing w:after="0" w:line="196" w:lineRule="exact"/>
              <w:rPr>
                <w:rFonts w:ascii="Calibri" w:cs="Calibri" w:eastAsia="Calibri" w:hAnsi="Calibri"/>
                <w:sz w:val="18"/>
                <w:szCs w:val="18"/>
                <w:color w:val="7A04DD"/>
              </w:rPr>
            </w:pPr>
            <w:hyperlink r:id="rId524">
              <w:r>
                <w:rPr>
                  <w:rFonts w:ascii="Calibri" w:cs="Calibri" w:eastAsia="Calibri" w:hAnsi="Calibri"/>
                  <w:sz w:val="18"/>
                  <w:szCs w:val="18"/>
                  <w:color w:val="7A04DD"/>
                </w:rPr>
                <w:t>secured partes referred to therein</w:t>
              </w:r>
            </w:hyperlink>
          </w:p>
        </w:tc>
        <w:tc>
          <w:tcPr>
            <w:tcW w:w="500" w:type="dxa"/>
            <w:vAlign w:val="bottom"/>
            <w:gridSpan w:val="11"/>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240" w:type="dxa"/>
            <w:vAlign w:val="bottom"/>
            <w:tcBorders>
              <w:top w:val="single" w:sz="8" w:color="7A04DD"/>
            </w:tcBorders>
          </w:tcPr>
          <w:p>
            <w:pPr>
              <w:spacing w:after="0"/>
              <w:rPr>
                <w:sz w:val="5"/>
                <w:szCs w:val="5"/>
                <w:color w:val="auto"/>
              </w:rPr>
            </w:pPr>
          </w:p>
        </w:tc>
        <w:tc>
          <w:tcPr>
            <w:tcW w:w="840" w:type="dxa"/>
            <w:vAlign w:val="bottom"/>
            <w:tcBorders>
              <w:top w:val="single" w:sz="8" w:color="7A04DD"/>
            </w:tcBorders>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3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25">
              <w:r>
                <w:rPr>
                  <w:rFonts w:ascii="Calibri" w:cs="Calibri" w:eastAsia="Calibri" w:hAnsi="Calibri"/>
                  <w:sz w:val="18"/>
                  <w:szCs w:val="18"/>
                  <w:color w:val="7A04DD"/>
                </w:rPr>
                <w:t>10.</w:t>
              </w:r>
              <w:r>
                <w:rPr>
                  <w:rFonts w:ascii="Calibri" w:cs="Calibri" w:eastAsia="Calibri" w:hAnsi="Calibri"/>
                  <w:sz w:val="18"/>
                  <w:szCs w:val="18"/>
                  <w:u w:val="single" w:color="auto"/>
                  <w:color w:val="7A04DD"/>
                </w:rPr>
                <w:t>19</w:t>
              </w:r>
              <w:r>
                <w:rPr>
                  <w:rFonts w:ascii="Calibri" w:cs="Calibri" w:eastAsia="Calibri" w:hAnsi="Calibri"/>
                  <w:sz w:val="18"/>
                  <w:szCs w:val="18"/>
                  <w:color w:val="7A04DD"/>
                </w:rPr>
                <w:t xml:space="preserve"> </w:t>
              </w:r>
            </w:hyperlink>
            <w:r>
              <w:rPr>
                <w:rFonts w:ascii="Calibri" w:cs="Calibri" w:eastAsia="Calibri" w:hAnsi="Calibri"/>
                <w:sz w:val="18"/>
                <w:szCs w:val="18"/>
                <w:color w:val="51555C"/>
              </w:rPr>
              <w:t>†</w:t>
            </w:r>
          </w:p>
        </w:tc>
        <w:tc>
          <w:tcPr>
            <w:tcW w:w="4800" w:type="dxa"/>
            <w:vAlign w:val="bottom"/>
            <w:gridSpan w:val="23"/>
            <w:shd w:val="clear" w:color="auto" w:fill="EBFBFF"/>
          </w:tcPr>
          <w:p>
            <w:pPr>
              <w:spacing w:after="0" w:line="189" w:lineRule="exact"/>
              <w:rPr>
                <w:rFonts w:ascii="Calibri" w:cs="Calibri" w:eastAsia="Calibri" w:hAnsi="Calibri"/>
                <w:sz w:val="18"/>
                <w:szCs w:val="18"/>
                <w:color w:val="7A04DD"/>
              </w:rPr>
            </w:pPr>
            <w:hyperlink r:id="rId525">
              <w:r>
                <w:rPr>
                  <w:rFonts w:ascii="Calibri" w:cs="Calibri" w:eastAsia="Calibri" w:hAnsi="Calibri"/>
                  <w:sz w:val="18"/>
                  <w:szCs w:val="18"/>
                  <w:color w:val="7A04DD"/>
                </w:rPr>
                <w:t>Form of Employment Agreement between Blackbaud, Inc. and</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5/4/2021</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4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420" w:type="dxa"/>
            <w:vAlign w:val="bottom"/>
            <w:tcBorders>
              <w:top w:val="single" w:sz="8" w:color="7A04DD"/>
              <w:right w:val="single" w:sz="8" w:color="EBFBFF"/>
            </w:tcBorders>
            <w:gridSpan w:val="14"/>
            <w:shd w:val="clear" w:color="auto" w:fill="EBFBFF"/>
          </w:tcPr>
          <w:p>
            <w:pPr>
              <w:spacing w:after="0" w:line="196" w:lineRule="exact"/>
              <w:rPr>
                <w:rFonts w:ascii="Calibri" w:cs="Calibri" w:eastAsia="Calibri" w:hAnsi="Calibri"/>
                <w:sz w:val="18"/>
                <w:szCs w:val="18"/>
                <w:color w:val="7A04DD"/>
              </w:rPr>
            </w:pPr>
            <w:hyperlink r:id="rId525">
              <w:r>
                <w:rPr>
                  <w:rFonts w:ascii="Calibri" w:cs="Calibri" w:eastAsia="Calibri" w:hAnsi="Calibri"/>
                  <w:sz w:val="18"/>
                  <w:szCs w:val="18"/>
                  <w:color w:val="7A04DD"/>
                </w:rPr>
                <w:t>Kevin McDearis</w:t>
              </w:r>
            </w:hyperlink>
          </w:p>
        </w:tc>
        <w:tc>
          <w:tcPr>
            <w:tcW w:w="380" w:type="dxa"/>
            <w:vAlign w:val="bottom"/>
            <w:tcBorders>
              <w:top w:val="single" w:sz="8" w:color="EBFBFF"/>
            </w:tcBorders>
            <w:gridSpan w:val="9"/>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11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60" w:type="dxa"/>
            <w:vAlign w:val="bottom"/>
            <w:tcBorders>
              <w:top w:val="single" w:sz="8" w:color="EBFBFF"/>
            </w:tcBorders>
            <w:shd w:val="clear" w:color="auto" w:fill="EBFBFF"/>
          </w:tcPr>
          <w:p>
            <w:pPr>
              <w:spacing w:after="0"/>
              <w:rPr>
                <w:sz w:val="5"/>
                <w:szCs w:val="5"/>
                <w:color w:val="auto"/>
              </w:rPr>
            </w:pPr>
          </w:p>
        </w:tc>
        <w:tc>
          <w:tcPr>
            <w:tcW w:w="240" w:type="dxa"/>
            <w:vAlign w:val="bottom"/>
            <w:tcBorders>
              <w:top w:val="single" w:sz="8" w:color="EBFBFF"/>
            </w:tcBorders>
            <w:shd w:val="clear" w:color="auto" w:fill="EBFBFF"/>
          </w:tcPr>
          <w:p>
            <w:pPr>
              <w:spacing w:after="0"/>
              <w:rPr>
                <w:sz w:val="5"/>
                <w:szCs w:val="5"/>
                <w:color w:val="auto"/>
              </w:rPr>
            </w:pPr>
          </w:p>
        </w:tc>
        <w:tc>
          <w:tcPr>
            <w:tcW w:w="840" w:type="dxa"/>
            <w:vAlign w:val="bottom"/>
            <w:tcBorders>
              <w:top w:val="single" w:sz="8" w:color="EBFBFF"/>
            </w:tcBorders>
            <w:shd w:val="clear" w:color="auto" w:fill="EBFBFF"/>
          </w:tcPr>
          <w:p>
            <w:pPr>
              <w:spacing w:after="0"/>
              <w:rPr>
                <w:sz w:val="5"/>
                <w:szCs w:val="5"/>
                <w:color w:val="auto"/>
              </w:rPr>
            </w:pPr>
          </w:p>
        </w:tc>
        <w:tc>
          <w:tcPr>
            <w:tcW w:w="620" w:type="dxa"/>
            <w:vAlign w:val="bottom"/>
            <w:tcBorders>
              <w:top w:val="single" w:sz="8" w:color="EBFBFF"/>
            </w:tcBorders>
            <w:shd w:val="clear" w:color="auto" w:fill="EBFBFF"/>
          </w:tcPr>
          <w:p>
            <w:pPr>
              <w:spacing w:after="0"/>
              <w:rPr>
                <w:sz w:val="5"/>
                <w:szCs w:val="5"/>
                <w:color w:val="auto"/>
              </w:rPr>
            </w:pPr>
          </w:p>
        </w:tc>
        <w:tc>
          <w:tcPr>
            <w:tcW w:w="4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2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43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1080" w:type="dxa"/>
            <w:vAlign w:val="bottom"/>
            <w:gridSpan w:val="2"/>
          </w:tcPr>
          <w:p>
            <w:pPr>
              <w:spacing w:after="0" w:line="189" w:lineRule="exact"/>
              <w:rPr>
                <w:rFonts w:ascii="Calibri" w:cs="Calibri" w:eastAsia="Calibri" w:hAnsi="Calibri"/>
                <w:sz w:val="18"/>
                <w:szCs w:val="18"/>
                <w:color w:val="7A04DD"/>
              </w:rPr>
            </w:pPr>
            <w:hyperlink r:id="rId526">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20</w:t>
            </w:r>
          </w:p>
        </w:tc>
        <w:tc>
          <w:tcPr>
            <w:tcW w:w="4800" w:type="dxa"/>
            <w:vAlign w:val="bottom"/>
            <w:gridSpan w:val="23"/>
          </w:tcPr>
          <w:p>
            <w:pPr>
              <w:spacing w:after="0" w:line="189" w:lineRule="exact"/>
              <w:rPr>
                <w:rFonts w:ascii="Calibri" w:cs="Calibri" w:eastAsia="Calibri" w:hAnsi="Calibri"/>
                <w:sz w:val="18"/>
                <w:szCs w:val="18"/>
                <w:color w:val="7A04DD"/>
              </w:rPr>
            </w:pPr>
            <w:hyperlink r:id="rId526">
              <w:r>
                <w:rPr>
                  <w:rFonts w:ascii="Calibri" w:cs="Calibri" w:eastAsia="Calibri" w:hAnsi="Calibri"/>
                  <w:sz w:val="18"/>
                  <w:szCs w:val="18"/>
                  <w:color w:val="7A04DD"/>
                </w:rPr>
                <w:t>LIBOR Transiton Amendment, dated as of September 20, 2021,</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11/4/2021</w:t>
            </w:r>
          </w:p>
        </w:tc>
        <w:tc>
          <w:tcPr>
            <w:tcW w:w="680" w:type="dxa"/>
            <w:vAlign w:val="bottom"/>
          </w:tcPr>
          <w:p>
            <w:pPr>
              <w:spacing w:after="0"/>
              <w:rPr>
                <w:sz w:val="16"/>
                <w:szCs w:val="16"/>
                <w:color w:val="auto"/>
              </w:rPr>
            </w:pPr>
          </w:p>
        </w:tc>
        <w:tc>
          <w:tcPr>
            <w:tcW w:w="433" w:type="dxa"/>
            <w:vAlign w:val="bottom"/>
          </w:tcPr>
          <w:p>
            <w:pPr>
              <w:jc w:val="right"/>
              <w:ind w:right="3"/>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4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520" w:type="dxa"/>
            <w:vAlign w:val="bottom"/>
            <w:tcBorders>
              <w:top w:val="single" w:sz="8" w:color="7A04DD"/>
            </w:tcBorders>
            <w:gridSpan w:val="18"/>
          </w:tcPr>
          <w:p>
            <w:pPr>
              <w:spacing w:after="0" w:line="196" w:lineRule="exact"/>
              <w:rPr>
                <w:rFonts w:ascii="Calibri" w:cs="Calibri" w:eastAsia="Calibri" w:hAnsi="Calibri"/>
                <w:sz w:val="18"/>
                <w:szCs w:val="18"/>
                <w:color w:val="7A04DD"/>
              </w:rPr>
            </w:pPr>
            <w:hyperlink r:id="rId526">
              <w:r>
                <w:rPr>
                  <w:rFonts w:ascii="Calibri" w:cs="Calibri" w:eastAsia="Calibri" w:hAnsi="Calibri"/>
                  <w:sz w:val="18"/>
                  <w:szCs w:val="18"/>
                  <w:color w:val="7A04DD"/>
                </w:rPr>
                <w:t>between Blackbaud, Inc. and Bank of America, N.A.</w:t>
              </w:r>
            </w:hyperlink>
          </w:p>
        </w:tc>
        <w:tc>
          <w:tcPr>
            <w:tcW w:w="28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240" w:type="dxa"/>
            <w:vAlign w:val="bottom"/>
            <w:tcBorders>
              <w:top w:val="single" w:sz="8" w:color="7A04DD"/>
            </w:tcBorders>
          </w:tcPr>
          <w:p>
            <w:pPr>
              <w:spacing w:after="0"/>
              <w:rPr>
                <w:sz w:val="5"/>
                <w:szCs w:val="5"/>
                <w:color w:val="auto"/>
              </w:rPr>
            </w:pPr>
          </w:p>
        </w:tc>
        <w:tc>
          <w:tcPr>
            <w:tcW w:w="840" w:type="dxa"/>
            <w:vAlign w:val="bottom"/>
            <w:tcBorders>
              <w:top w:val="single" w:sz="8" w:color="7A04DD"/>
            </w:tcBorders>
          </w:tcPr>
          <w:p>
            <w:pPr>
              <w:spacing w:after="0"/>
              <w:rPr>
                <w:sz w:val="5"/>
                <w:szCs w:val="5"/>
                <w:color w:val="auto"/>
              </w:rPr>
            </w:pPr>
          </w:p>
        </w:tc>
        <w:tc>
          <w:tcPr>
            <w:tcW w:w="620" w:type="dxa"/>
            <w:vAlign w:val="bottom"/>
            <w:tcBorders>
              <w:top w:val="single" w:sz="8" w:color="7A04DD"/>
            </w:tcBorders>
          </w:tcPr>
          <w:p>
            <w:pPr>
              <w:spacing w:after="0"/>
              <w:rPr>
                <w:sz w:val="5"/>
                <w:szCs w:val="5"/>
                <w:color w:val="auto"/>
              </w:rPr>
            </w:pPr>
          </w:p>
        </w:tc>
        <w:tc>
          <w:tcPr>
            <w:tcW w:w="480" w:type="dxa"/>
            <w:vAlign w:val="bottom"/>
            <w:tcBorders>
              <w:top w:val="single" w:sz="8" w:color="7A04DD"/>
            </w:tcBorders>
          </w:tcPr>
          <w:p>
            <w:pPr>
              <w:spacing w:after="0"/>
              <w:rPr>
                <w:sz w:val="5"/>
                <w:szCs w:val="5"/>
                <w:color w:val="auto"/>
              </w:rPr>
            </w:pPr>
          </w:p>
        </w:tc>
        <w:tc>
          <w:tcPr>
            <w:tcW w:w="80" w:type="dxa"/>
            <w:vAlign w:val="bottom"/>
            <w:tcBorders>
              <w:top w:val="single" w:sz="8" w:color="7A04DD"/>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3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27">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21</w:t>
            </w:r>
          </w:p>
        </w:tc>
        <w:tc>
          <w:tcPr>
            <w:tcW w:w="4800" w:type="dxa"/>
            <w:vAlign w:val="bottom"/>
            <w:gridSpan w:val="23"/>
            <w:shd w:val="clear" w:color="auto" w:fill="EBFBFF"/>
          </w:tcPr>
          <w:p>
            <w:pPr>
              <w:spacing w:after="0" w:line="189" w:lineRule="exact"/>
              <w:rPr>
                <w:rFonts w:ascii="Calibri" w:cs="Calibri" w:eastAsia="Calibri" w:hAnsi="Calibri"/>
                <w:sz w:val="18"/>
                <w:szCs w:val="18"/>
                <w:color w:val="7A04DD"/>
              </w:rPr>
            </w:pPr>
            <w:hyperlink r:id="rId527">
              <w:r>
                <w:rPr>
                  <w:rFonts w:ascii="Calibri" w:cs="Calibri" w:eastAsia="Calibri" w:hAnsi="Calibri"/>
                  <w:sz w:val="18"/>
                  <w:szCs w:val="18"/>
                  <w:color w:val="7A04DD"/>
                </w:rPr>
                <w:t>First Incremental Term Loan Agreement, dated as of December</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1/3/2022</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bottom w:val="single" w:sz="8" w:color="EBFBFF"/>
            </w:tcBorders>
            <w:shd w:val="clear" w:color="auto" w:fill="EBFBFF"/>
          </w:tcPr>
          <w:p>
            <w:pPr>
              <w:spacing w:after="0"/>
              <w:rPr>
                <w:sz w:val="17"/>
                <w:szCs w:val="17"/>
                <w:color w:val="auto"/>
              </w:rPr>
            </w:pPr>
          </w:p>
        </w:tc>
        <w:tc>
          <w:tcPr>
            <w:tcW w:w="400" w:type="dxa"/>
            <w:vAlign w:val="bottom"/>
            <w:tcBorders>
              <w:top w:val="single" w:sz="8" w:color="7A04DD"/>
              <w:bottom w:val="single" w:sz="8" w:color="EBFBFF"/>
            </w:tcBorders>
            <w:shd w:val="clear" w:color="auto" w:fill="EBFBFF"/>
          </w:tcPr>
          <w:p>
            <w:pPr>
              <w:spacing w:after="0"/>
              <w:rPr>
                <w:sz w:val="17"/>
                <w:szCs w:val="17"/>
                <w:color w:val="auto"/>
              </w:rPr>
            </w:pPr>
          </w:p>
        </w:tc>
        <w:tc>
          <w:tcPr>
            <w:tcW w:w="680" w:type="dxa"/>
            <w:vAlign w:val="bottom"/>
            <w:tcBorders>
              <w:top w:val="single" w:sz="8" w:color="EBFBFF"/>
              <w:bottom w:val="single" w:sz="8" w:color="EBFBFF"/>
            </w:tcBorders>
            <w:shd w:val="clear" w:color="auto" w:fill="EBFBFF"/>
          </w:tcPr>
          <w:p>
            <w:pPr>
              <w:spacing w:after="0"/>
              <w:rPr>
                <w:sz w:val="17"/>
                <w:szCs w:val="17"/>
                <w:color w:val="auto"/>
              </w:rPr>
            </w:pPr>
          </w:p>
        </w:tc>
        <w:tc>
          <w:tcPr>
            <w:tcW w:w="4200" w:type="dxa"/>
            <w:vAlign w:val="bottom"/>
            <w:tcBorders>
              <w:top w:val="single" w:sz="8" w:color="7A04DD"/>
              <w:bottom w:val="single" w:sz="8" w:color="7A04DD"/>
              <w:right w:val="single" w:sz="8" w:color="EBFBFF"/>
            </w:tcBorders>
            <w:gridSpan w:val="10"/>
            <w:shd w:val="clear" w:color="auto" w:fill="EBFBFF"/>
          </w:tcPr>
          <w:p>
            <w:pPr>
              <w:spacing w:after="0" w:line="196" w:lineRule="exact"/>
              <w:rPr>
                <w:rFonts w:ascii="Calibri" w:cs="Calibri" w:eastAsia="Calibri" w:hAnsi="Calibri"/>
                <w:sz w:val="18"/>
                <w:szCs w:val="18"/>
                <w:color w:val="7A04DD"/>
                <w:w w:val="98"/>
              </w:rPr>
            </w:pPr>
            <w:hyperlink r:id="rId527">
              <w:r>
                <w:rPr>
                  <w:rFonts w:ascii="Calibri" w:cs="Calibri" w:eastAsia="Calibri" w:hAnsi="Calibri"/>
                  <w:sz w:val="18"/>
                  <w:szCs w:val="18"/>
                  <w:color w:val="7A04DD"/>
                  <w:w w:val="98"/>
                </w:rPr>
                <w:t>31, 2021, by and among Blackbaud, Inc., the lenders party</w:t>
              </w:r>
            </w:hyperlink>
          </w:p>
        </w:tc>
        <w:tc>
          <w:tcPr>
            <w:tcW w:w="280" w:type="dxa"/>
            <w:vAlign w:val="bottom"/>
            <w:tcBorders>
              <w:top w:val="single" w:sz="8" w:color="7A04DD"/>
              <w:bottom w:val="single" w:sz="8" w:color="EBFBFF"/>
            </w:tcBorders>
            <w:gridSpan w:val="7"/>
            <w:shd w:val="clear" w:color="auto" w:fill="EBFBFF"/>
          </w:tcPr>
          <w:p>
            <w:pPr>
              <w:spacing w:after="0"/>
              <w:rPr>
                <w:sz w:val="17"/>
                <w:szCs w:val="17"/>
                <w:color w:val="auto"/>
              </w:rPr>
            </w:pPr>
          </w:p>
        </w:tc>
        <w:tc>
          <w:tcPr>
            <w:tcW w:w="320" w:type="dxa"/>
            <w:vAlign w:val="bottom"/>
            <w:tcBorders>
              <w:top w:val="single" w:sz="8" w:color="EBFBFF"/>
              <w:bottom w:val="single" w:sz="8" w:color="EBFBFF"/>
            </w:tcBorders>
            <w:gridSpan w:val="6"/>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580" w:type="dxa"/>
            <w:vAlign w:val="bottom"/>
            <w:tcBorders>
              <w:top w:val="single" w:sz="8" w:color="EBFBFF"/>
              <w:bottom w:val="single" w:sz="8" w:color="EBFBFF"/>
            </w:tcBorders>
            <w:shd w:val="clear" w:color="auto" w:fill="EBFBFF"/>
          </w:tcPr>
          <w:p>
            <w:pPr>
              <w:spacing w:after="0"/>
              <w:rPr>
                <w:sz w:val="17"/>
                <w:szCs w:val="17"/>
                <w:color w:val="auto"/>
              </w:rPr>
            </w:pPr>
          </w:p>
        </w:tc>
        <w:tc>
          <w:tcPr>
            <w:tcW w:w="680" w:type="dxa"/>
            <w:vAlign w:val="bottom"/>
            <w:tcBorders>
              <w:top w:val="single" w:sz="8" w:color="EBFBFF"/>
              <w:bottom w:val="single" w:sz="8" w:color="EBFBFF"/>
            </w:tcBorders>
            <w:shd w:val="clear" w:color="auto" w:fill="EBFBFF"/>
          </w:tcPr>
          <w:p>
            <w:pPr>
              <w:spacing w:after="0"/>
              <w:rPr>
                <w:sz w:val="17"/>
                <w:szCs w:val="17"/>
                <w:color w:val="auto"/>
              </w:rPr>
            </w:pPr>
          </w:p>
        </w:tc>
        <w:tc>
          <w:tcPr>
            <w:tcW w:w="433" w:type="dxa"/>
            <w:vAlign w:val="bottom"/>
            <w:tcBorders>
              <w:top w:val="single" w:sz="8" w:color="EBFBFF"/>
              <w:bottom w:val="single" w:sz="8" w:color="EBFBFF"/>
            </w:tcBorders>
            <w:shd w:val="clear" w:color="auto" w:fill="EBFBFF"/>
          </w:tcPr>
          <w:p>
            <w:pPr>
              <w:spacing w:after="0"/>
              <w:rPr>
                <w:sz w:val="17"/>
                <w:szCs w:val="17"/>
                <w:color w:val="auto"/>
              </w:rPr>
            </w:pPr>
          </w:p>
        </w:tc>
        <w:tc>
          <w:tcPr>
            <w:tcW w:w="928"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3"/>
            <w:shd w:val="clear" w:color="auto" w:fill="EBFBFF"/>
          </w:tcPr>
          <w:p>
            <w:pPr>
              <w:spacing w:after="0" w:line="196" w:lineRule="exact"/>
              <w:rPr>
                <w:rFonts w:ascii="Calibri" w:cs="Calibri" w:eastAsia="Calibri" w:hAnsi="Calibri"/>
                <w:sz w:val="18"/>
                <w:szCs w:val="18"/>
                <w:color w:val="7A04DD"/>
              </w:rPr>
            </w:pPr>
            <w:hyperlink r:id="rId527">
              <w:r>
                <w:rPr>
                  <w:rFonts w:ascii="Calibri" w:cs="Calibri" w:eastAsia="Calibri" w:hAnsi="Calibri"/>
                  <w:sz w:val="18"/>
                  <w:szCs w:val="18"/>
                  <w:color w:val="7A04DD"/>
                </w:rPr>
                <w:t>thereto and Bank of America N.A., as administratve agent</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11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24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7A04DD"/>
            </w:tcBorders>
            <w:shd w:val="clear" w:color="auto" w:fill="EBFBFF"/>
          </w:tcPr>
          <w:p>
            <w:pPr>
              <w:spacing w:after="0"/>
              <w:rPr>
                <w:sz w:val="5"/>
                <w:szCs w:val="5"/>
                <w:color w:val="auto"/>
              </w:rPr>
            </w:pPr>
          </w:p>
        </w:tc>
        <w:tc>
          <w:tcPr>
            <w:tcW w:w="620" w:type="dxa"/>
            <w:vAlign w:val="bottom"/>
            <w:tcBorders>
              <w:top w:val="single" w:sz="8" w:color="7A04DD"/>
            </w:tcBorders>
            <w:shd w:val="clear" w:color="auto" w:fill="EBFBFF"/>
          </w:tcPr>
          <w:p>
            <w:pPr>
              <w:spacing w:after="0"/>
              <w:rPr>
                <w:sz w:val="5"/>
                <w:szCs w:val="5"/>
                <w:color w:val="auto"/>
              </w:rPr>
            </w:pPr>
          </w:p>
        </w:tc>
        <w:tc>
          <w:tcPr>
            <w:tcW w:w="48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tcBorders>
            <w:shd w:val="clear" w:color="auto" w:fill="EBFBFF"/>
          </w:tcPr>
          <w:p>
            <w:pPr>
              <w:spacing w:after="0"/>
              <w:rPr>
                <w:sz w:val="5"/>
                <w:szCs w:val="5"/>
                <w:color w:val="auto"/>
              </w:rPr>
            </w:pPr>
          </w:p>
        </w:tc>
        <w:tc>
          <w:tcPr>
            <w:tcW w:w="140" w:type="dxa"/>
            <w:vAlign w:val="bottom"/>
            <w:tcBorders>
              <w:top w:val="single" w:sz="8" w:color="7A04DD"/>
            </w:tcBorders>
            <w:shd w:val="clear" w:color="auto" w:fill="EBFBFF"/>
          </w:tcPr>
          <w:p>
            <w:pPr>
              <w:spacing w:after="0"/>
              <w:rPr>
                <w:sz w:val="5"/>
                <w:szCs w:val="5"/>
                <w:color w:val="auto"/>
              </w:rPr>
            </w:pPr>
          </w:p>
        </w:tc>
        <w:tc>
          <w:tcPr>
            <w:tcW w:w="420" w:type="dxa"/>
            <w:vAlign w:val="bottom"/>
            <w:tcBorders>
              <w:top w:val="single" w:sz="8" w:color="7A04DD"/>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43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1080" w:type="dxa"/>
            <w:vAlign w:val="bottom"/>
            <w:gridSpan w:val="2"/>
          </w:tcPr>
          <w:p>
            <w:pPr>
              <w:spacing w:after="0" w:line="189" w:lineRule="exact"/>
              <w:rPr>
                <w:rFonts w:ascii="Calibri" w:cs="Calibri" w:eastAsia="Calibri" w:hAnsi="Calibri"/>
                <w:sz w:val="18"/>
                <w:szCs w:val="18"/>
                <w:color w:val="7A04DD"/>
              </w:rPr>
            </w:pPr>
            <w:hyperlink r:id="rId528">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22</w:t>
            </w:r>
          </w:p>
        </w:tc>
        <w:tc>
          <w:tcPr>
            <w:tcW w:w="4800" w:type="dxa"/>
            <w:vAlign w:val="bottom"/>
            <w:gridSpan w:val="23"/>
          </w:tcPr>
          <w:p>
            <w:pPr>
              <w:spacing w:after="0" w:line="189" w:lineRule="exact"/>
              <w:rPr>
                <w:rFonts w:ascii="Calibri" w:cs="Calibri" w:eastAsia="Calibri" w:hAnsi="Calibri"/>
                <w:sz w:val="18"/>
                <w:szCs w:val="18"/>
                <w:color w:val="7A04DD"/>
              </w:rPr>
            </w:pPr>
            <w:hyperlink r:id="rId528">
              <w:r>
                <w:rPr>
                  <w:rFonts w:ascii="Calibri" w:cs="Calibri" w:eastAsia="Calibri" w:hAnsi="Calibri"/>
                  <w:sz w:val="18"/>
                  <w:szCs w:val="18"/>
                  <w:color w:val="7A04DD"/>
                </w:rPr>
                <w:t>Registraton Rights Agreement, dated as of December 31, 2021,</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1/3/2022</w:t>
            </w:r>
          </w:p>
        </w:tc>
        <w:tc>
          <w:tcPr>
            <w:tcW w:w="680" w:type="dxa"/>
            <w:vAlign w:val="bottom"/>
          </w:tcPr>
          <w:p>
            <w:pPr>
              <w:spacing w:after="0"/>
              <w:rPr>
                <w:sz w:val="16"/>
                <w:szCs w:val="16"/>
                <w:color w:val="auto"/>
              </w:rPr>
            </w:pPr>
          </w:p>
        </w:tc>
        <w:tc>
          <w:tcPr>
            <w:tcW w:w="433" w:type="dxa"/>
            <w:vAlign w:val="bottom"/>
          </w:tcPr>
          <w:p>
            <w:pPr>
              <w:jc w:val="right"/>
              <w:ind w:right="3"/>
              <w:spacing w:after="0" w:line="189" w:lineRule="exact"/>
              <w:rPr>
                <w:sz w:val="20"/>
                <w:szCs w:val="20"/>
                <w:color w:val="auto"/>
              </w:rPr>
            </w:pPr>
            <w:r>
              <w:rPr>
                <w:rFonts w:ascii="Calibri" w:cs="Calibri" w:eastAsia="Calibri" w:hAnsi="Calibri"/>
                <w:sz w:val="18"/>
                <w:szCs w:val="18"/>
                <w:color w:val="51555C"/>
              </w:rPr>
              <w:t>10.2</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4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520" w:type="dxa"/>
            <w:vAlign w:val="bottom"/>
            <w:tcBorders>
              <w:top w:val="single" w:sz="8" w:color="7A04DD"/>
            </w:tcBorders>
            <w:gridSpan w:val="18"/>
          </w:tcPr>
          <w:p>
            <w:pPr>
              <w:spacing w:after="0" w:line="196" w:lineRule="exact"/>
              <w:rPr>
                <w:rFonts w:ascii="Calibri" w:cs="Calibri" w:eastAsia="Calibri" w:hAnsi="Calibri"/>
                <w:sz w:val="18"/>
                <w:szCs w:val="18"/>
                <w:color w:val="7A04DD"/>
                <w:w w:val="98"/>
              </w:rPr>
            </w:pPr>
            <w:hyperlink r:id="rId528">
              <w:r>
                <w:rPr>
                  <w:rFonts w:ascii="Calibri" w:cs="Calibri" w:eastAsia="Calibri" w:hAnsi="Calibri"/>
                  <w:sz w:val="18"/>
                  <w:szCs w:val="18"/>
                  <w:color w:val="7A04DD"/>
                  <w:w w:val="98"/>
                </w:rPr>
                <w:t>by and among Blackbaud, Inc., EverFi, Inc., TPG Eon, L.P., each</w:t>
              </w:r>
            </w:hyperlink>
          </w:p>
        </w:tc>
        <w:tc>
          <w:tcPr>
            <w:tcW w:w="28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80" w:type="dxa"/>
            <w:vAlign w:val="bottom"/>
            <w:tcBorders>
              <w:top w:val="single" w:sz="8" w:color="7A04DD"/>
            </w:tcBorders>
            <w:gridSpan w:val="13"/>
          </w:tcPr>
          <w:p>
            <w:pPr>
              <w:spacing w:after="0" w:line="196" w:lineRule="exact"/>
              <w:rPr>
                <w:rFonts w:ascii="Calibri" w:cs="Calibri" w:eastAsia="Calibri" w:hAnsi="Calibri"/>
                <w:sz w:val="18"/>
                <w:szCs w:val="18"/>
                <w:color w:val="7A04DD"/>
              </w:rPr>
            </w:pPr>
            <w:hyperlink r:id="rId528">
              <w:r>
                <w:rPr>
                  <w:rFonts w:ascii="Calibri" w:cs="Calibri" w:eastAsia="Calibri" w:hAnsi="Calibri"/>
                  <w:sz w:val="18"/>
                  <w:szCs w:val="18"/>
                  <w:color w:val="7A04DD"/>
                </w:rPr>
                <w:t>other shareholder party thereto and Eon Stockholder</w:t>
              </w:r>
            </w:hyperlink>
          </w:p>
        </w:tc>
        <w:tc>
          <w:tcPr>
            <w:tcW w:w="420" w:type="dxa"/>
            <w:vAlign w:val="bottom"/>
            <w:gridSpan w:val="10"/>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80" w:type="dxa"/>
            <w:vAlign w:val="bottom"/>
            <w:tcBorders>
              <w:top w:val="single" w:sz="8" w:color="7A04DD"/>
            </w:tcBorders>
            <w:gridSpan w:val="9"/>
          </w:tcPr>
          <w:p>
            <w:pPr>
              <w:spacing w:after="0" w:line="196" w:lineRule="exact"/>
              <w:rPr>
                <w:rFonts w:ascii="Calibri" w:cs="Calibri" w:eastAsia="Calibri" w:hAnsi="Calibri"/>
                <w:sz w:val="18"/>
                <w:szCs w:val="18"/>
                <w:color w:val="7A04DD"/>
              </w:rPr>
            </w:pPr>
            <w:hyperlink r:id="rId528">
              <w:r>
                <w:rPr>
                  <w:rFonts w:ascii="Calibri" w:cs="Calibri" w:eastAsia="Calibri" w:hAnsi="Calibri"/>
                  <w:sz w:val="18"/>
                  <w:szCs w:val="18"/>
                  <w:color w:val="7A04DD"/>
                </w:rPr>
                <w:t>Representatve, LLC</w:t>
              </w:r>
            </w:hyperlink>
          </w:p>
        </w:tc>
        <w:tc>
          <w:tcPr>
            <w:tcW w:w="1020" w:type="dxa"/>
            <w:vAlign w:val="bottom"/>
            <w:gridSpan w:val="14"/>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3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29">
              <w:r>
                <w:rPr>
                  <w:rFonts w:ascii="Calibri" w:cs="Calibri" w:eastAsia="Calibri" w:hAnsi="Calibri"/>
                  <w:sz w:val="18"/>
                  <w:szCs w:val="18"/>
                  <w:color w:val="7A04DD"/>
                </w:rPr>
                <w:t>10.</w:t>
              </w:r>
            </w:hyperlink>
            <w:r>
              <w:rPr>
                <w:rFonts w:ascii="Calibri" w:cs="Calibri" w:eastAsia="Calibri" w:hAnsi="Calibri"/>
                <w:sz w:val="18"/>
                <w:szCs w:val="18"/>
                <w:u w:val="single" w:color="auto"/>
                <w:color w:val="7A04DD"/>
              </w:rPr>
              <w:t>23</w:t>
            </w:r>
          </w:p>
        </w:tc>
        <w:tc>
          <w:tcPr>
            <w:tcW w:w="4800" w:type="dxa"/>
            <w:vAlign w:val="bottom"/>
            <w:gridSpan w:val="23"/>
            <w:shd w:val="clear" w:color="auto" w:fill="EBFBFF"/>
          </w:tcPr>
          <w:p>
            <w:pPr>
              <w:spacing w:after="0" w:line="189" w:lineRule="exact"/>
              <w:rPr>
                <w:rFonts w:ascii="Calibri" w:cs="Calibri" w:eastAsia="Calibri" w:hAnsi="Calibri"/>
                <w:sz w:val="18"/>
                <w:szCs w:val="18"/>
                <w:color w:val="7A04DD"/>
              </w:rPr>
            </w:pPr>
            <w:hyperlink r:id="rId529">
              <w:r>
                <w:rPr>
                  <w:rFonts w:ascii="Calibri" w:cs="Calibri" w:eastAsia="Calibri" w:hAnsi="Calibri"/>
                  <w:sz w:val="18"/>
                  <w:szCs w:val="18"/>
                  <w:color w:val="7A04DD"/>
                </w:rPr>
                <w:t>First Amendment to Credit Agreement, dated as of January 31,</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2/3/2022</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bottom w:val="single" w:sz="8" w:color="EBFBFF"/>
            </w:tcBorders>
            <w:shd w:val="clear" w:color="auto" w:fill="EBFBFF"/>
          </w:tcPr>
          <w:p>
            <w:pPr>
              <w:spacing w:after="0"/>
              <w:rPr>
                <w:sz w:val="17"/>
                <w:szCs w:val="17"/>
                <w:color w:val="auto"/>
              </w:rPr>
            </w:pPr>
          </w:p>
        </w:tc>
        <w:tc>
          <w:tcPr>
            <w:tcW w:w="400" w:type="dxa"/>
            <w:vAlign w:val="bottom"/>
            <w:tcBorders>
              <w:top w:val="single" w:sz="8" w:color="7A04DD"/>
              <w:bottom w:val="single" w:sz="8" w:color="EBFBFF"/>
            </w:tcBorders>
            <w:shd w:val="clear" w:color="auto" w:fill="EBFBFF"/>
          </w:tcPr>
          <w:p>
            <w:pPr>
              <w:spacing w:after="0"/>
              <w:rPr>
                <w:sz w:val="17"/>
                <w:szCs w:val="17"/>
                <w:color w:val="auto"/>
              </w:rPr>
            </w:pPr>
          </w:p>
        </w:tc>
        <w:tc>
          <w:tcPr>
            <w:tcW w:w="680" w:type="dxa"/>
            <w:vAlign w:val="bottom"/>
            <w:tcBorders>
              <w:top w:val="single" w:sz="8" w:color="EBFBFF"/>
              <w:bottom w:val="single" w:sz="8" w:color="EBFBFF"/>
            </w:tcBorders>
            <w:shd w:val="clear" w:color="auto" w:fill="EBFBFF"/>
          </w:tcPr>
          <w:p>
            <w:pPr>
              <w:spacing w:after="0"/>
              <w:rPr>
                <w:sz w:val="17"/>
                <w:szCs w:val="17"/>
                <w:color w:val="auto"/>
              </w:rPr>
            </w:pPr>
          </w:p>
        </w:tc>
        <w:tc>
          <w:tcPr>
            <w:tcW w:w="4440" w:type="dxa"/>
            <w:vAlign w:val="bottom"/>
            <w:tcBorders>
              <w:top w:val="single" w:sz="8" w:color="7A04DD"/>
              <w:bottom w:val="single" w:sz="8" w:color="7A04DD"/>
            </w:tcBorders>
            <w:gridSpan w:val="15"/>
            <w:shd w:val="clear" w:color="auto" w:fill="EBFBFF"/>
          </w:tcPr>
          <w:p>
            <w:pPr>
              <w:spacing w:after="0" w:line="196" w:lineRule="exact"/>
              <w:rPr>
                <w:rFonts w:ascii="Calibri" w:cs="Calibri" w:eastAsia="Calibri" w:hAnsi="Calibri"/>
                <w:sz w:val="18"/>
                <w:szCs w:val="18"/>
                <w:color w:val="7A04DD"/>
                <w:w w:val="96"/>
              </w:rPr>
            </w:pPr>
            <w:hyperlink r:id="rId529">
              <w:r>
                <w:rPr>
                  <w:rFonts w:ascii="Calibri" w:cs="Calibri" w:eastAsia="Calibri" w:hAnsi="Calibri"/>
                  <w:sz w:val="18"/>
                  <w:szCs w:val="18"/>
                  <w:color w:val="7A04DD"/>
                  <w:w w:val="96"/>
                </w:rPr>
                <w:t>2022, by and among Blackbaud, Inc., the lenders party thereto</w:t>
              </w:r>
            </w:hyperlink>
          </w:p>
        </w:tc>
        <w:tc>
          <w:tcPr>
            <w:tcW w:w="20" w:type="dxa"/>
            <w:vAlign w:val="bottom"/>
            <w:tcBorders>
              <w:top w:val="single" w:sz="8" w:color="7A04DD"/>
              <w:bottom w:val="single" w:sz="8" w:color="EBFBFF"/>
            </w:tcBorders>
            <w:shd w:val="clear" w:color="auto" w:fill="EBFBFF"/>
          </w:tcPr>
          <w:p>
            <w:pPr>
              <w:spacing w:after="0"/>
              <w:rPr>
                <w:sz w:val="17"/>
                <w:szCs w:val="17"/>
                <w:color w:val="auto"/>
              </w:rPr>
            </w:pPr>
          </w:p>
        </w:tc>
        <w:tc>
          <w:tcPr>
            <w:tcW w:w="340" w:type="dxa"/>
            <w:vAlign w:val="bottom"/>
            <w:tcBorders>
              <w:top w:val="single" w:sz="8" w:color="EBFBFF"/>
              <w:bottom w:val="single" w:sz="8" w:color="EBFBFF"/>
            </w:tcBorders>
            <w:gridSpan w:val="7"/>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580" w:type="dxa"/>
            <w:vAlign w:val="bottom"/>
            <w:tcBorders>
              <w:top w:val="single" w:sz="8" w:color="EBFBFF"/>
              <w:bottom w:val="single" w:sz="8" w:color="EBFBFF"/>
            </w:tcBorders>
            <w:shd w:val="clear" w:color="auto" w:fill="EBFBFF"/>
          </w:tcPr>
          <w:p>
            <w:pPr>
              <w:spacing w:after="0"/>
              <w:rPr>
                <w:sz w:val="17"/>
                <w:szCs w:val="17"/>
                <w:color w:val="auto"/>
              </w:rPr>
            </w:pPr>
          </w:p>
        </w:tc>
        <w:tc>
          <w:tcPr>
            <w:tcW w:w="680" w:type="dxa"/>
            <w:vAlign w:val="bottom"/>
            <w:tcBorders>
              <w:top w:val="single" w:sz="8" w:color="EBFBFF"/>
              <w:bottom w:val="single" w:sz="8" w:color="EBFBFF"/>
            </w:tcBorders>
            <w:shd w:val="clear" w:color="auto" w:fill="EBFBFF"/>
          </w:tcPr>
          <w:p>
            <w:pPr>
              <w:spacing w:after="0"/>
              <w:rPr>
                <w:sz w:val="17"/>
                <w:szCs w:val="17"/>
                <w:color w:val="auto"/>
              </w:rPr>
            </w:pPr>
          </w:p>
        </w:tc>
        <w:tc>
          <w:tcPr>
            <w:tcW w:w="433" w:type="dxa"/>
            <w:vAlign w:val="bottom"/>
            <w:tcBorders>
              <w:top w:val="single" w:sz="8" w:color="EBFBFF"/>
              <w:bottom w:val="single" w:sz="8" w:color="EBFBFF"/>
            </w:tcBorders>
            <w:shd w:val="clear" w:color="auto" w:fill="EBFBFF"/>
          </w:tcPr>
          <w:p>
            <w:pPr>
              <w:spacing w:after="0"/>
              <w:rPr>
                <w:sz w:val="17"/>
                <w:szCs w:val="17"/>
                <w:color w:val="auto"/>
              </w:rPr>
            </w:pPr>
          </w:p>
        </w:tc>
        <w:tc>
          <w:tcPr>
            <w:tcW w:w="928"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3"/>
            <w:shd w:val="clear" w:color="auto" w:fill="EBFBFF"/>
          </w:tcPr>
          <w:p>
            <w:pPr>
              <w:spacing w:after="0" w:line="196" w:lineRule="exact"/>
              <w:rPr>
                <w:rFonts w:ascii="Calibri" w:cs="Calibri" w:eastAsia="Calibri" w:hAnsi="Calibri"/>
                <w:sz w:val="18"/>
                <w:szCs w:val="18"/>
                <w:color w:val="7A04DD"/>
              </w:rPr>
            </w:pPr>
            <w:hyperlink r:id="rId529">
              <w:r>
                <w:rPr>
                  <w:rFonts w:ascii="Calibri" w:cs="Calibri" w:eastAsia="Calibri" w:hAnsi="Calibri"/>
                  <w:sz w:val="18"/>
                  <w:szCs w:val="18"/>
                  <w:color w:val="7A04DD"/>
                </w:rPr>
                <w:t>and Bank of America N.A., as administratve agent</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11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260" w:type="dxa"/>
            <w:vAlign w:val="bottom"/>
            <w:tcBorders>
              <w:top w:val="single" w:sz="8" w:color="7A04DD"/>
            </w:tcBorders>
            <w:shd w:val="clear" w:color="auto" w:fill="EBFBFF"/>
          </w:tcPr>
          <w:p>
            <w:pPr>
              <w:spacing w:after="0"/>
              <w:rPr>
                <w:sz w:val="5"/>
                <w:szCs w:val="5"/>
                <w:color w:val="auto"/>
              </w:rPr>
            </w:pPr>
          </w:p>
        </w:tc>
        <w:tc>
          <w:tcPr>
            <w:tcW w:w="24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7A04DD"/>
            </w:tcBorders>
            <w:shd w:val="clear" w:color="auto" w:fill="EBFBFF"/>
          </w:tcPr>
          <w:p>
            <w:pPr>
              <w:spacing w:after="0"/>
              <w:rPr>
                <w:sz w:val="5"/>
                <w:szCs w:val="5"/>
                <w:color w:val="auto"/>
              </w:rPr>
            </w:pPr>
          </w:p>
        </w:tc>
        <w:tc>
          <w:tcPr>
            <w:tcW w:w="620" w:type="dxa"/>
            <w:vAlign w:val="bottom"/>
            <w:tcBorders>
              <w:top w:val="single" w:sz="8" w:color="7A04DD"/>
            </w:tcBorders>
            <w:shd w:val="clear" w:color="auto" w:fill="EBFBFF"/>
          </w:tcPr>
          <w:p>
            <w:pPr>
              <w:spacing w:after="0"/>
              <w:rPr>
                <w:sz w:val="5"/>
                <w:szCs w:val="5"/>
                <w:color w:val="auto"/>
              </w:rPr>
            </w:pPr>
          </w:p>
        </w:tc>
        <w:tc>
          <w:tcPr>
            <w:tcW w:w="48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42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right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58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433" w:type="dxa"/>
            <w:vAlign w:val="bottom"/>
            <w:tcBorders>
              <w:top w:val="single" w:sz="8" w:color="EBFBFF"/>
            </w:tcBorders>
            <w:shd w:val="clear" w:color="auto" w:fill="EBFBFF"/>
          </w:tcPr>
          <w:p>
            <w:pPr>
              <w:spacing w:after="0"/>
              <w:rPr>
                <w:sz w:val="5"/>
                <w:szCs w:val="5"/>
                <w:color w:val="auto"/>
              </w:rPr>
            </w:pPr>
          </w:p>
        </w:tc>
        <w:tc>
          <w:tcPr>
            <w:tcW w:w="928"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1080" w:type="dxa"/>
            <w:vAlign w:val="bottom"/>
            <w:gridSpan w:val="2"/>
          </w:tcPr>
          <w:p>
            <w:pPr>
              <w:spacing w:after="0" w:line="189" w:lineRule="exact"/>
              <w:rPr>
                <w:rFonts w:ascii="Calibri" w:cs="Calibri" w:eastAsia="Calibri" w:hAnsi="Calibri"/>
                <w:sz w:val="18"/>
                <w:szCs w:val="18"/>
                <w:color w:val="7A04DD"/>
              </w:rPr>
            </w:pPr>
            <w:hyperlink r:id="rId530">
              <w:r>
                <w:rPr>
                  <w:rFonts w:ascii="Calibri" w:cs="Calibri" w:eastAsia="Calibri" w:hAnsi="Calibri"/>
                  <w:sz w:val="18"/>
                  <w:szCs w:val="18"/>
                  <w:color w:val="7A04DD"/>
                </w:rPr>
                <w:t>10.</w:t>
              </w:r>
              <w:r>
                <w:rPr>
                  <w:rFonts w:ascii="Calibri" w:cs="Calibri" w:eastAsia="Calibri" w:hAnsi="Calibri"/>
                  <w:sz w:val="18"/>
                  <w:szCs w:val="18"/>
                  <w:u w:val="single" w:color="auto"/>
                  <w:color w:val="7A04DD"/>
                </w:rPr>
                <w:t>24</w:t>
              </w:r>
            </w:hyperlink>
          </w:p>
        </w:tc>
        <w:tc>
          <w:tcPr>
            <w:tcW w:w="4800" w:type="dxa"/>
            <w:vAlign w:val="bottom"/>
            <w:gridSpan w:val="23"/>
          </w:tcPr>
          <w:p>
            <w:pPr>
              <w:spacing w:after="0" w:line="189" w:lineRule="exact"/>
              <w:rPr>
                <w:rFonts w:ascii="Calibri" w:cs="Calibri" w:eastAsia="Calibri" w:hAnsi="Calibri"/>
                <w:sz w:val="18"/>
                <w:szCs w:val="18"/>
                <w:color w:val="7A04DD"/>
              </w:rPr>
            </w:pPr>
            <w:hyperlink r:id="rId530">
              <w:r>
                <w:rPr>
                  <w:rFonts w:ascii="Calibri" w:cs="Calibri" w:eastAsia="Calibri" w:hAnsi="Calibri"/>
                  <w:sz w:val="18"/>
                  <w:szCs w:val="18"/>
                  <w:color w:val="7A04DD"/>
                </w:rPr>
                <w:t>LIBOR Transiton Amendment, dated as of August 26, 2022,</w:t>
              </w:r>
            </w:hyperlink>
          </w:p>
        </w:tc>
        <w:tc>
          <w:tcPr>
            <w:tcW w:w="1200" w:type="dxa"/>
            <w:vAlign w:val="bottom"/>
          </w:tcPr>
          <w:p>
            <w:pPr>
              <w:jc w:val="center"/>
              <w:ind w:right="33"/>
              <w:spacing w:after="0" w:line="189" w:lineRule="exact"/>
              <w:rPr>
                <w:sz w:val="20"/>
                <w:szCs w:val="20"/>
                <w:color w:val="auto"/>
              </w:rPr>
            </w:pPr>
            <w:r>
              <w:rPr>
                <w:rFonts w:ascii="Calibri" w:cs="Calibri" w:eastAsia="Calibri" w:hAnsi="Calibri"/>
                <w:sz w:val="18"/>
                <w:szCs w:val="18"/>
                <w:color w:val="51555C"/>
              </w:rPr>
              <w:t>10-Q</w:t>
            </w:r>
          </w:p>
        </w:tc>
        <w:tc>
          <w:tcPr>
            <w:tcW w:w="1580" w:type="dxa"/>
            <w:vAlign w:val="bottom"/>
          </w:tcPr>
          <w:p>
            <w:pPr>
              <w:jc w:val="right"/>
              <w:ind w:right="253"/>
              <w:spacing w:after="0" w:line="189" w:lineRule="exact"/>
              <w:rPr>
                <w:sz w:val="20"/>
                <w:szCs w:val="20"/>
                <w:color w:val="auto"/>
              </w:rPr>
            </w:pPr>
            <w:r>
              <w:rPr>
                <w:rFonts w:ascii="Calibri" w:cs="Calibri" w:eastAsia="Calibri" w:hAnsi="Calibri"/>
                <w:sz w:val="18"/>
                <w:szCs w:val="18"/>
                <w:color w:val="51555C"/>
              </w:rPr>
              <w:t>3/1/2022</w:t>
            </w:r>
          </w:p>
        </w:tc>
        <w:tc>
          <w:tcPr>
            <w:tcW w:w="680" w:type="dxa"/>
            <w:vAlign w:val="bottom"/>
          </w:tcPr>
          <w:p>
            <w:pPr>
              <w:spacing w:after="0"/>
              <w:rPr>
                <w:sz w:val="16"/>
                <w:szCs w:val="16"/>
                <w:color w:val="auto"/>
              </w:rPr>
            </w:pPr>
          </w:p>
        </w:tc>
        <w:tc>
          <w:tcPr>
            <w:tcW w:w="433" w:type="dxa"/>
            <w:vAlign w:val="bottom"/>
          </w:tcPr>
          <w:p>
            <w:pPr>
              <w:jc w:val="right"/>
              <w:ind w:right="3"/>
              <w:spacing w:after="0" w:line="189" w:lineRule="exact"/>
              <w:rPr>
                <w:sz w:val="20"/>
                <w:szCs w:val="20"/>
                <w:color w:val="auto"/>
              </w:rPr>
            </w:pPr>
            <w:r>
              <w:rPr>
                <w:rFonts w:ascii="Calibri" w:cs="Calibri" w:eastAsia="Calibri" w:hAnsi="Calibri"/>
                <w:sz w:val="18"/>
                <w:szCs w:val="18"/>
                <w:color w:val="51555C"/>
              </w:rPr>
              <w:t>10.2</w:t>
            </w:r>
          </w:p>
        </w:tc>
        <w:tc>
          <w:tcPr>
            <w:tcW w:w="928"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4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200" w:type="dxa"/>
            <w:vAlign w:val="bottom"/>
            <w:tcBorders>
              <w:top w:val="single" w:sz="8" w:color="7A04DD"/>
            </w:tcBorders>
            <w:gridSpan w:val="10"/>
          </w:tcPr>
          <w:p>
            <w:pPr>
              <w:spacing w:after="0" w:line="196" w:lineRule="exact"/>
              <w:rPr>
                <w:rFonts w:ascii="Calibri" w:cs="Calibri" w:eastAsia="Calibri" w:hAnsi="Calibri"/>
                <w:sz w:val="18"/>
                <w:szCs w:val="18"/>
                <w:color w:val="7A04DD"/>
              </w:rPr>
            </w:pPr>
            <w:hyperlink r:id="rId530">
              <w:r>
                <w:rPr>
                  <w:rFonts w:ascii="Calibri" w:cs="Calibri" w:eastAsia="Calibri" w:hAnsi="Calibri"/>
                  <w:sz w:val="18"/>
                  <w:szCs w:val="18"/>
                  <w:color w:val="7A04DD"/>
                </w:rPr>
                <w:t>between Blackbaud, Inc. and Bank of America, N.A.</w:t>
              </w:r>
            </w:hyperlink>
          </w:p>
        </w:tc>
        <w:tc>
          <w:tcPr>
            <w:tcW w:w="600" w:type="dxa"/>
            <w:vAlign w:val="bottom"/>
            <w:gridSpan w:val="13"/>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3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260" w:type="dxa"/>
            <w:vAlign w:val="bottom"/>
            <w:tcBorders>
              <w:top w:val="single" w:sz="8" w:color="7A04DD"/>
            </w:tcBorders>
          </w:tcPr>
          <w:p>
            <w:pPr>
              <w:spacing w:after="0"/>
              <w:rPr>
                <w:sz w:val="5"/>
                <w:szCs w:val="5"/>
                <w:color w:val="auto"/>
              </w:rPr>
            </w:pPr>
          </w:p>
        </w:tc>
        <w:tc>
          <w:tcPr>
            <w:tcW w:w="240" w:type="dxa"/>
            <w:vAlign w:val="bottom"/>
            <w:tcBorders>
              <w:top w:val="single" w:sz="8" w:color="7A04DD"/>
            </w:tcBorders>
          </w:tcPr>
          <w:p>
            <w:pPr>
              <w:spacing w:after="0"/>
              <w:rPr>
                <w:sz w:val="5"/>
                <w:szCs w:val="5"/>
                <w:color w:val="auto"/>
              </w:rPr>
            </w:pPr>
          </w:p>
        </w:tc>
        <w:tc>
          <w:tcPr>
            <w:tcW w:w="840" w:type="dxa"/>
            <w:vAlign w:val="bottom"/>
            <w:tcBorders>
              <w:top w:val="single" w:sz="8" w:color="7A04DD"/>
            </w:tcBorders>
          </w:tcPr>
          <w:p>
            <w:pPr>
              <w:spacing w:after="0"/>
              <w:rPr>
                <w:sz w:val="5"/>
                <w:szCs w:val="5"/>
                <w:color w:val="auto"/>
              </w:rPr>
            </w:pPr>
          </w:p>
        </w:tc>
        <w:tc>
          <w:tcPr>
            <w:tcW w:w="620" w:type="dxa"/>
            <w:vAlign w:val="bottom"/>
            <w:tcBorders>
              <w:top w:val="single" w:sz="8" w:color="7A04DD"/>
            </w:tcBorders>
          </w:tcPr>
          <w:p>
            <w:pPr>
              <w:spacing w:after="0"/>
              <w:rPr>
                <w:sz w:val="5"/>
                <w:szCs w:val="5"/>
                <w:color w:val="auto"/>
              </w:rPr>
            </w:pPr>
          </w:p>
        </w:tc>
        <w:tc>
          <w:tcPr>
            <w:tcW w:w="480" w:type="dxa"/>
            <w:vAlign w:val="bottom"/>
            <w:tcBorders>
              <w:top w:val="single" w:sz="8" w:color="7A04DD"/>
            </w:tcBorders>
          </w:tcPr>
          <w:p>
            <w:pPr>
              <w:spacing w:after="0"/>
              <w:rPr>
                <w:sz w:val="5"/>
                <w:szCs w:val="5"/>
                <w:color w:val="auto"/>
              </w:rPr>
            </w:pPr>
          </w:p>
        </w:tc>
        <w:tc>
          <w:tcPr>
            <w:tcW w:w="80" w:type="dxa"/>
            <w:vAlign w:val="bottom"/>
            <w:tcBorders>
              <w:top w:val="single" w:sz="8" w:color="7A04DD"/>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33" w:type="dxa"/>
            <w:vAlign w:val="bottom"/>
          </w:tcPr>
          <w:p>
            <w:pPr>
              <w:spacing w:after="0"/>
              <w:rPr>
                <w:sz w:val="5"/>
                <w:szCs w:val="5"/>
                <w:color w:val="auto"/>
              </w:rPr>
            </w:pPr>
          </w:p>
        </w:tc>
        <w:tc>
          <w:tcPr>
            <w:tcW w:w="928"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1080" w:type="dxa"/>
            <w:vAlign w:val="bottom"/>
            <w:gridSpan w:val="2"/>
            <w:shd w:val="clear" w:color="auto" w:fill="EBFBFF"/>
          </w:tcPr>
          <w:p>
            <w:pPr>
              <w:spacing w:after="0" w:line="189" w:lineRule="exact"/>
              <w:rPr>
                <w:rFonts w:ascii="Calibri" w:cs="Calibri" w:eastAsia="Calibri" w:hAnsi="Calibri"/>
                <w:sz w:val="18"/>
                <w:szCs w:val="18"/>
                <w:color w:val="7A04DD"/>
              </w:rPr>
            </w:pPr>
            <w:hyperlink r:id="rId531">
              <w:r>
                <w:rPr>
                  <w:rFonts w:ascii="Calibri" w:cs="Calibri" w:eastAsia="Calibri" w:hAnsi="Calibri"/>
                  <w:sz w:val="18"/>
                  <w:szCs w:val="18"/>
                  <w:color w:val="7A04DD"/>
                </w:rPr>
                <w:t>10.</w:t>
              </w:r>
              <w:r>
                <w:rPr>
                  <w:rFonts w:ascii="Calibri" w:cs="Calibri" w:eastAsia="Calibri" w:hAnsi="Calibri"/>
                  <w:sz w:val="18"/>
                  <w:szCs w:val="18"/>
                  <w:u w:val="single" w:color="auto"/>
                  <w:color w:val="7A04DD"/>
                </w:rPr>
                <w:t>25</w:t>
              </w:r>
              <w:r>
                <w:rPr>
                  <w:rFonts w:ascii="Calibri" w:cs="Calibri" w:eastAsia="Calibri" w:hAnsi="Calibri"/>
                  <w:sz w:val="18"/>
                  <w:szCs w:val="18"/>
                  <w:color w:val="7A04DD"/>
                </w:rPr>
                <w:t xml:space="preserve"> </w:t>
              </w:r>
            </w:hyperlink>
            <w:r>
              <w:rPr>
                <w:rFonts w:ascii="Calibri" w:cs="Calibri" w:eastAsia="Calibri" w:hAnsi="Calibri"/>
                <w:sz w:val="18"/>
                <w:szCs w:val="18"/>
                <w:color w:val="7A04DD"/>
              </w:rPr>
              <w:t>†</w:t>
            </w:r>
          </w:p>
        </w:tc>
        <w:tc>
          <w:tcPr>
            <w:tcW w:w="4800" w:type="dxa"/>
            <w:vAlign w:val="bottom"/>
            <w:gridSpan w:val="23"/>
            <w:shd w:val="clear" w:color="auto" w:fill="EBFBFF"/>
          </w:tcPr>
          <w:p>
            <w:pPr>
              <w:spacing w:after="0" w:line="189" w:lineRule="exact"/>
              <w:rPr>
                <w:rFonts w:ascii="Calibri" w:cs="Calibri" w:eastAsia="Calibri" w:hAnsi="Calibri"/>
                <w:sz w:val="18"/>
                <w:szCs w:val="18"/>
                <w:color w:val="7A04DD"/>
              </w:rPr>
            </w:pPr>
            <w:hyperlink r:id="rId531">
              <w:r>
                <w:rPr>
                  <w:rFonts w:ascii="Calibri" w:cs="Calibri" w:eastAsia="Calibri" w:hAnsi="Calibri"/>
                  <w:sz w:val="18"/>
                  <w:szCs w:val="18"/>
                  <w:color w:val="7A04DD"/>
                </w:rPr>
                <w:t>Amended and Restated Employment and Noncompetton</w:t>
              </w:r>
            </w:hyperlink>
          </w:p>
        </w:tc>
        <w:tc>
          <w:tcPr>
            <w:tcW w:w="1200" w:type="dxa"/>
            <w:vAlign w:val="bottom"/>
            <w:shd w:val="clear" w:color="auto" w:fill="EBFBFF"/>
          </w:tcPr>
          <w:p>
            <w:pPr>
              <w:jc w:val="center"/>
              <w:ind w:right="33"/>
              <w:spacing w:after="0" w:line="189" w:lineRule="exact"/>
              <w:rPr>
                <w:sz w:val="20"/>
                <w:szCs w:val="20"/>
                <w:color w:val="auto"/>
              </w:rPr>
            </w:pPr>
            <w:r>
              <w:rPr>
                <w:rFonts w:ascii="Calibri" w:cs="Calibri" w:eastAsia="Calibri" w:hAnsi="Calibri"/>
                <w:sz w:val="18"/>
                <w:szCs w:val="18"/>
                <w:color w:val="51555C"/>
                <w:w w:val="99"/>
              </w:rPr>
              <w:t>8-K</w:t>
            </w:r>
          </w:p>
        </w:tc>
        <w:tc>
          <w:tcPr>
            <w:tcW w:w="1580" w:type="dxa"/>
            <w:vAlign w:val="bottom"/>
            <w:shd w:val="clear" w:color="auto" w:fill="EBFBFF"/>
          </w:tcPr>
          <w:p>
            <w:pPr>
              <w:jc w:val="right"/>
              <w:ind w:right="253"/>
              <w:spacing w:after="0" w:line="189" w:lineRule="exact"/>
              <w:rPr>
                <w:sz w:val="20"/>
                <w:szCs w:val="20"/>
                <w:color w:val="auto"/>
              </w:rPr>
            </w:pPr>
            <w:r>
              <w:rPr>
                <w:rFonts w:ascii="Calibri" w:cs="Calibri" w:eastAsia="Calibri" w:hAnsi="Calibri"/>
                <w:sz w:val="18"/>
                <w:szCs w:val="18"/>
                <w:color w:val="51555C"/>
              </w:rPr>
              <w:t>9/21/2022</w:t>
            </w:r>
          </w:p>
        </w:tc>
        <w:tc>
          <w:tcPr>
            <w:tcW w:w="680" w:type="dxa"/>
            <w:vAlign w:val="bottom"/>
            <w:shd w:val="clear" w:color="auto" w:fill="EBFBFF"/>
          </w:tcPr>
          <w:p>
            <w:pPr>
              <w:spacing w:after="0"/>
              <w:rPr>
                <w:sz w:val="16"/>
                <w:szCs w:val="16"/>
                <w:color w:val="auto"/>
              </w:rPr>
            </w:pPr>
          </w:p>
        </w:tc>
        <w:tc>
          <w:tcPr>
            <w:tcW w:w="433" w:type="dxa"/>
            <w:vAlign w:val="bottom"/>
            <w:shd w:val="clear" w:color="auto" w:fill="EBFBFF"/>
          </w:tcPr>
          <w:p>
            <w:pPr>
              <w:jc w:val="right"/>
              <w:ind w:right="3"/>
              <w:spacing w:after="0" w:line="189" w:lineRule="exact"/>
              <w:rPr>
                <w:sz w:val="20"/>
                <w:szCs w:val="20"/>
                <w:color w:val="auto"/>
              </w:rPr>
            </w:pPr>
            <w:r>
              <w:rPr>
                <w:rFonts w:ascii="Calibri" w:cs="Calibri" w:eastAsia="Calibri" w:hAnsi="Calibri"/>
                <w:sz w:val="18"/>
                <w:szCs w:val="18"/>
                <w:color w:val="51555C"/>
              </w:rPr>
              <w:t>10.1</w:t>
            </w:r>
          </w:p>
        </w:tc>
        <w:tc>
          <w:tcPr>
            <w:tcW w:w="928"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1620" w:type="dxa"/>
            <w:vAlign w:val="bottom"/>
            <w:gridSpan w:val="4"/>
            <w:shd w:val="clear" w:color="auto" w:fill="7A04DD"/>
          </w:tcPr>
          <w:p>
            <w:pPr>
              <w:spacing w:after="0" w:line="20" w:lineRule="exact"/>
              <w:rPr>
                <w:sz w:val="1"/>
                <w:szCs w:val="1"/>
                <w:color w:val="auto"/>
              </w:rPr>
            </w:pPr>
          </w:p>
        </w:tc>
        <w:tc>
          <w:tcPr>
            <w:tcW w:w="2580" w:type="dxa"/>
            <w:vAlign w:val="bottom"/>
            <w:tcBorders>
              <w:right w:val="single" w:sz="8" w:color="7A04DD"/>
            </w:tcBorders>
            <w:gridSpan w:val="6"/>
            <w:shd w:val="clear" w:color="auto" w:fill="7A04DD"/>
          </w:tcPr>
          <w:p>
            <w:pPr>
              <w:spacing w:after="0" w:line="20" w:lineRule="exact"/>
              <w:rPr>
                <w:sz w:val="1"/>
                <w:szCs w:val="1"/>
                <w:color w:val="auto"/>
              </w:rPr>
            </w:pPr>
          </w:p>
        </w:tc>
        <w:tc>
          <w:tcPr>
            <w:tcW w:w="320" w:type="dxa"/>
            <w:vAlign w:val="bottom"/>
            <w:tcBorders>
              <w:right w:val="single" w:sz="8" w:color="EBFBFF"/>
            </w:tcBorders>
            <w:gridSpan w:val="8"/>
            <w:shd w:val="clear" w:color="auto" w:fill="EBFBFF"/>
          </w:tcPr>
          <w:p>
            <w:pPr>
              <w:spacing w:after="0" w:line="20" w:lineRule="exact"/>
              <w:rPr>
                <w:sz w:val="1"/>
                <w:szCs w:val="1"/>
                <w:color w:val="auto"/>
              </w:rPr>
            </w:pPr>
          </w:p>
        </w:tc>
        <w:tc>
          <w:tcPr>
            <w:tcW w:w="280" w:type="dxa"/>
            <w:vAlign w:val="bottom"/>
            <w:gridSpan w:val="5"/>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43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800" w:type="dxa"/>
            <w:vAlign w:val="bottom"/>
            <w:gridSpan w:val="23"/>
            <w:shd w:val="clear" w:color="auto" w:fill="EBFBFF"/>
          </w:tcPr>
          <w:p>
            <w:pPr>
              <w:spacing w:after="0" w:line="196" w:lineRule="exact"/>
              <w:rPr>
                <w:rFonts w:ascii="Calibri" w:cs="Calibri" w:eastAsia="Calibri" w:hAnsi="Calibri"/>
                <w:sz w:val="18"/>
                <w:szCs w:val="18"/>
                <w:color w:val="7A04DD"/>
              </w:rPr>
            </w:pPr>
            <w:hyperlink r:id="rId531">
              <w:r>
                <w:rPr>
                  <w:rFonts w:ascii="Calibri" w:cs="Calibri" w:eastAsia="Calibri" w:hAnsi="Calibri"/>
                  <w:sz w:val="18"/>
                  <w:szCs w:val="18"/>
                  <w:color w:val="7A04DD"/>
                </w:rPr>
                <w:t>Agreement dated September 20, 2022 between Blackbaud, Inc.</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3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40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520" w:type="dxa"/>
            <w:vAlign w:val="bottom"/>
            <w:tcBorders>
              <w:top w:val="single" w:sz="8" w:color="7A04DD"/>
              <w:right w:val="single" w:sz="8" w:color="EBFBFF"/>
            </w:tcBorders>
            <w:gridSpan w:val="18"/>
            <w:shd w:val="clear" w:color="auto" w:fill="EBFBFF"/>
          </w:tcPr>
          <w:p>
            <w:pPr>
              <w:spacing w:after="0" w:line="196" w:lineRule="exact"/>
              <w:rPr>
                <w:rFonts w:ascii="Calibri" w:cs="Calibri" w:eastAsia="Calibri" w:hAnsi="Calibri"/>
                <w:sz w:val="18"/>
                <w:szCs w:val="18"/>
                <w:color w:val="7A04DD"/>
              </w:rPr>
            </w:pPr>
            <w:hyperlink r:id="rId531">
              <w:r>
                <w:rPr>
                  <w:rFonts w:ascii="Calibri" w:cs="Calibri" w:eastAsia="Calibri" w:hAnsi="Calibri"/>
                  <w:sz w:val="18"/>
                  <w:szCs w:val="18"/>
                  <w:color w:val="7A04DD"/>
                </w:rPr>
                <w:t>and Michael P. Gianoni</w:t>
              </w:r>
            </w:hyperlink>
          </w:p>
        </w:tc>
        <w:tc>
          <w:tcPr>
            <w:tcW w:w="280" w:type="dxa"/>
            <w:vAlign w:val="bottom"/>
            <w:tcBorders>
              <w:top w:val="single" w:sz="8" w:color="EBFBFF"/>
            </w:tcBorders>
            <w:gridSpan w:val="5"/>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3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bottom w:val="single" w:sz="8" w:color="0CD973"/>
            </w:tcBorders>
            <w:shd w:val="clear" w:color="auto" w:fill="EBFBFF"/>
          </w:tcPr>
          <w:p>
            <w:pPr>
              <w:spacing w:after="0"/>
              <w:rPr>
                <w:sz w:val="5"/>
                <w:szCs w:val="5"/>
                <w:color w:val="auto"/>
              </w:rPr>
            </w:pPr>
          </w:p>
        </w:tc>
        <w:tc>
          <w:tcPr>
            <w:tcW w:w="400" w:type="dxa"/>
            <w:vAlign w:val="bottom"/>
            <w:tcBorders>
              <w:top w:val="single" w:sz="8" w:color="EBFBFF"/>
              <w:bottom w:val="single" w:sz="8" w:color="0CD973"/>
            </w:tcBorders>
            <w:shd w:val="clear" w:color="auto" w:fill="EBFBFF"/>
          </w:tcPr>
          <w:p>
            <w:pPr>
              <w:spacing w:after="0"/>
              <w:rPr>
                <w:sz w:val="5"/>
                <w:szCs w:val="5"/>
                <w:color w:val="auto"/>
              </w:rPr>
            </w:pPr>
          </w:p>
        </w:tc>
        <w:tc>
          <w:tcPr>
            <w:tcW w:w="680" w:type="dxa"/>
            <w:vAlign w:val="bottom"/>
            <w:tcBorders>
              <w:top w:val="single" w:sz="8" w:color="EBFBFF"/>
              <w:bottom w:val="single" w:sz="8" w:color="0CD973"/>
            </w:tcBorders>
            <w:shd w:val="clear" w:color="auto" w:fill="EBFBFF"/>
          </w:tcPr>
          <w:p>
            <w:pPr>
              <w:spacing w:after="0"/>
              <w:rPr>
                <w:sz w:val="5"/>
                <w:szCs w:val="5"/>
                <w:color w:val="auto"/>
              </w:rPr>
            </w:pPr>
          </w:p>
        </w:tc>
        <w:tc>
          <w:tcPr>
            <w:tcW w:w="1100" w:type="dxa"/>
            <w:vAlign w:val="bottom"/>
            <w:tcBorders>
              <w:top w:val="single" w:sz="8" w:color="7A04DD"/>
              <w:bottom w:val="single" w:sz="8" w:color="0CD973"/>
            </w:tcBorders>
            <w:shd w:val="clear" w:color="auto" w:fill="EBFBFF"/>
          </w:tcPr>
          <w:p>
            <w:pPr>
              <w:spacing w:after="0"/>
              <w:rPr>
                <w:sz w:val="5"/>
                <w:szCs w:val="5"/>
                <w:color w:val="auto"/>
              </w:rPr>
            </w:pPr>
          </w:p>
        </w:tc>
        <w:tc>
          <w:tcPr>
            <w:tcW w:w="20" w:type="dxa"/>
            <w:vAlign w:val="bottom"/>
            <w:tcBorders>
              <w:top w:val="single" w:sz="8" w:color="7A04DD"/>
              <w:bottom w:val="single" w:sz="8" w:color="0CD973"/>
            </w:tcBorders>
            <w:shd w:val="clear" w:color="auto" w:fill="EBFBFF"/>
          </w:tcPr>
          <w:p>
            <w:pPr>
              <w:spacing w:after="0"/>
              <w:rPr>
                <w:sz w:val="5"/>
                <w:szCs w:val="5"/>
                <w:color w:val="auto"/>
              </w:rPr>
            </w:pPr>
          </w:p>
        </w:tc>
        <w:tc>
          <w:tcPr>
            <w:tcW w:w="260" w:type="dxa"/>
            <w:vAlign w:val="bottom"/>
            <w:tcBorders>
              <w:top w:val="single" w:sz="8" w:color="7A04DD"/>
              <w:bottom w:val="single" w:sz="8" w:color="0CD973"/>
            </w:tcBorders>
            <w:shd w:val="clear" w:color="auto" w:fill="EBFBFF"/>
          </w:tcPr>
          <w:p>
            <w:pPr>
              <w:spacing w:after="0"/>
              <w:rPr>
                <w:sz w:val="5"/>
                <w:szCs w:val="5"/>
                <w:color w:val="auto"/>
              </w:rPr>
            </w:pPr>
          </w:p>
        </w:tc>
        <w:tc>
          <w:tcPr>
            <w:tcW w:w="240" w:type="dxa"/>
            <w:vAlign w:val="bottom"/>
            <w:tcBorders>
              <w:top w:val="single" w:sz="8" w:color="7A04DD"/>
              <w:bottom w:val="single" w:sz="8" w:color="0CD973"/>
            </w:tcBorders>
            <w:shd w:val="clear" w:color="auto" w:fill="EBFBFF"/>
          </w:tcPr>
          <w:p>
            <w:pPr>
              <w:spacing w:after="0"/>
              <w:rPr>
                <w:sz w:val="5"/>
                <w:szCs w:val="5"/>
                <w:color w:val="auto"/>
              </w:rPr>
            </w:pPr>
          </w:p>
        </w:tc>
        <w:tc>
          <w:tcPr>
            <w:tcW w:w="840" w:type="dxa"/>
            <w:vAlign w:val="bottom"/>
            <w:tcBorders>
              <w:top w:val="single" w:sz="8" w:color="EBFBFF"/>
              <w:bottom w:val="single" w:sz="8" w:color="0CD973"/>
            </w:tcBorders>
            <w:shd w:val="clear" w:color="auto" w:fill="EBFBFF"/>
          </w:tcPr>
          <w:p>
            <w:pPr>
              <w:spacing w:after="0"/>
              <w:rPr>
                <w:sz w:val="5"/>
                <w:szCs w:val="5"/>
                <w:color w:val="auto"/>
              </w:rPr>
            </w:pPr>
          </w:p>
        </w:tc>
        <w:tc>
          <w:tcPr>
            <w:tcW w:w="620" w:type="dxa"/>
            <w:vAlign w:val="bottom"/>
            <w:tcBorders>
              <w:top w:val="single" w:sz="8" w:color="EBFBFF"/>
              <w:bottom w:val="single" w:sz="8" w:color="0CD973"/>
            </w:tcBorders>
            <w:shd w:val="clear" w:color="auto" w:fill="EBFBFF"/>
          </w:tcPr>
          <w:p>
            <w:pPr>
              <w:spacing w:after="0"/>
              <w:rPr>
                <w:sz w:val="5"/>
                <w:szCs w:val="5"/>
                <w:color w:val="auto"/>
              </w:rPr>
            </w:pPr>
          </w:p>
        </w:tc>
        <w:tc>
          <w:tcPr>
            <w:tcW w:w="480" w:type="dxa"/>
            <w:vAlign w:val="bottom"/>
            <w:tcBorders>
              <w:top w:val="single" w:sz="8" w:color="EBFBFF"/>
              <w:bottom w:val="single" w:sz="8" w:color="0CD973"/>
            </w:tcBorders>
            <w:shd w:val="clear" w:color="auto" w:fill="EBFBFF"/>
          </w:tcPr>
          <w:p>
            <w:pPr>
              <w:spacing w:after="0"/>
              <w:rPr>
                <w:sz w:val="5"/>
                <w:szCs w:val="5"/>
                <w:color w:val="auto"/>
              </w:rPr>
            </w:pPr>
          </w:p>
        </w:tc>
        <w:tc>
          <w:tcPr>
            <w:tcW w:w="80" w:type="dxa"/>
            <w:vAlign w:val="bottom"/>
            <w:tcBorders>
              <w:top w:val="single" w:sz="8" w:color="EBFBFF"/>
              <w:bottom w:val="single" w:sz="8" w:color="0CD973"/>
            </w:tcBorders>
            <w:shd w:val="clear" w:color="auto" w:fill="EBFBFF"/>
          </w:tcPr>
          <w:p>
            <w:pPr>
              <w:spacing w:after="0"/>
              <w:rPr>
                <w:sz w:val="5"/>
                <w:szCs w:val="5"/>
                <w:color w:val="auto"/>
              </w:rPr>
            </w:pPr>
          </w:p>
        </w:tc>
        <w:tc>
          <w:tcPr>
            <w:tcW w:w="140" w:type="dxa"/>
            <w:vAlign w:val="bottom"/>
            <w:tcBorders>
              <w:top w:val="single" w:sz="8" w:color="EBFBFF"/>
              <w:bottom w:val="single" w:sz="8" w:color="0CD973"/>
            </w:tcBorders>
            <w:shd w:val="clear" w:color="auto" w:fill="EBFBFF"/>
          </w:tcPr>
          <w:p>
            <w:pPr>
              <w:spacing w:after="0"/>
              <w:rPr>
                <w:sz w:val="5"/>
                <w:szCs w:val="5"/>
                <w:color w:val="auto"/>
              </w:rPr>
            </w:pPr>
          </w:p>
        </w:tc>
        <w:tc>
          <w:tcPr>
            <w:tcW w:w="420" w:type="dxa"/>
            <w:vAlign w:val="bottom"/>
            <w:tcBorders>
              <w:top w:val="single" w:sz="8" w:color="EBFBFF"/>
              <w:bottom w:val="single" w:sz="8" w:color="0CD973"/>
              <w:right w:val="single" w:sz="8" w:color="EBFBFF"/>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80" w:type="dxa"/>
            <w:vAlign w:val="bottom"/>
            <w:tcBorders>
              <w:top w:val="single" w:sz="8" w:color="EBFBFF"/>
              <w:bottom w:val="single" w:sz="8" w:color="0CD973"/>
            </w:tcBorders>
            <w:shd w:val="clear" w:color="auto" w:fill="EBFBFF"/>
          </w:tcPr>
          <w:p>
            <w:pPr>
              <w:spacing w:after="0"/>
              <w:rPr>
                <w:sz w:val="5"/>
                <w:szCs w:val="5"/>
                <w:color w:val="auto"/>
              </w:rPr>
            </w:pPr>
          </w:p>
        </w:tc>
        <w:tc>
          <w:tcPr>
            <w:tcW w:w="80" w:type="dxa"/>
            <w:vAlign w:val="bottom"/>
            <w:tcBorders>
              <w:top w:val="single" w:sz="8" w:color="EBFBFF"/>
              <w:bottom w:val="single" w:sz="8" w:color="0CD973"/>
            </w:tcBorders>
            <w:shd w:val="clear" w:color="auto" w:fill="EBFBFF"/>
          </w:tcPr>
          <w:p>
            <w:pPr>
              <w:spacing w:after="0"/>
              <w:rPr>
                <w:sz w:val="5"/>
                <w:szCs w:val="5"/>
                <w:color w:val="auto"/>
              </w:rPr>
            </w:pPr>
          </w:p>
        </w:tc>
        <w:tc>
          <w:tcPr>
            <w:tcW w:w="40" w:type="dxa"/>
            <w:vAlign w:val="bottom"/>
            <w:tcBorders>
              <w:top w:val="single" w:sz="8" w:color="EBFBFF"/>
              <w:bottom w:val="single" w:sz="8" w:color="0CD973"/>
              <w:right w:val="single" w:sz="8" w:color="EBFBFF"/>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40" w:type="dxa"/>
            <w:vAlign w:val="bottom"/>
            <w:tcBorders>
              <w:top w:val="single" w:sz="8" w:color="EBFBFF"/>
              <w:bottom w:val="single" w:sz="8" w:color="0CD973"/>
              <w:right w:val="single" w:sz="8" w:color="EBFBFF"/>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Borders>
              <w:top w:val="single" w:sz="8" w:color="EBFBFF"/>
              <w:bottom w:val="single" w:sz="8" w:color="0CD973"/>
            </w:tcBorders>
            <w:shd w:val="clear" w:color="auto" w:fill="EBFBFF"/>
          </w:tcPr>
          <w:p>
            <w:pPr>
              <w:spacing w:after="0"/>
              <w:rPr>
                <w:sz w:val="5"/>
                <w:szCs w:val="5"/>
                <w:color w:val="auto"/>
              </w:rPr>
            </w:pPr>
          </w:p>
        </w:tc>
        <w:tc>
          <w:tcPr>
            <w:tcW w:w="200" w:type="dxa"/>
            <w:vAlign w:val="bottom"/>
            <w:tcBorders>
              <w:top w:val="single" w:sz="8" w:color="EBFBFF"/>
              <w:bottom w:val="single" w:sz="8" w:color="0CD973"/>
            </w:tcBorders>
            <w:shd w:val="clear" w:color="auto" w:fill="EBFBFF"/>
          </w:tcPr>
          <w:p>
            <w:pPr>
              <w:spacing w:after="0"/>
              <w:rPr>
                <w:sz w:val="5"/>
                <w:szCs w:val="5"/>
                <w:color w:val="auto"/>
              </w:rPr>
            </w:pPr>
          </w:p>
        </w:tc>
        <w:tc>
          <w:tcPr>
            <w:tcW w:w="1200" w:type="dxa"/>
            <w:vAlign w:val="bottom"/>
            <w:tcBorders>
              <w:top w:val="single" w:sz="8" w:color="EBFBFF"/>
              <w:bottom w:val="single" w:sz="8" w:color="0CD973"/>
            </w:tcBorders>
            <w:shd w:val="clear" w:color="auto" w:fill="EBFBFF"/>
          </w:tcPr>
          <w:p>
            <w:pPr>
              <w:spacing w:after="0"/>
              <w:rPr>
                <w:sz w:val="5"/>
                <w:szCs w:val="5"/>
                <w:color w:val="auto"/>
              </w:rPr>
            </w:pPr>
          </w:p>
        </w:tc>
        <w:tc>
          <w:tcPr>
            <w:tcW w:w="1580" w:type="dxa"/>
            <w:vAlign w:val="bottom"/>
            <w:tcBorders>
              <w:top w:val="single" w:sz="8" w:color="EBFBFF"/>
              <w:bottom w:val="single" w:sz="8" w:color="0CD973"/>
            </w:tcBorders>
            <w:shd w:val="clear" w:color="auto" w:fill="EBFBFF"/>
          </w:tcPr>
          <w:p>
            <w:pPr>
              <w:spacing w:after="0"/>
              <w:rPr>
                <w:sz w:val="5"/>
                <w:szCs w:val="5"/>
                <w:color w:val="auto"/>
              </w:rPr>
            </w:pPr>
          </w:p>
        </w:tc>
        <w:tc>
          <w:tcPr>
            <w:tcW w:w="680" w:type="dxa"/>
            <w:vAlign w:val="bottom"/>
            <w:tcBorders>
              <w:top w:val="single" w:sz="8" w:color="EBFBFF"/>
              <w:bottom w:val="single" w:sz="8" w:color="0CD973"/>
            </w:tcBorders>
            <w:shd w:val="clear" w:color="auto" w:fill="EBFBFF"/>
          </w:tcPr>
          <w:p>
            <w:pPr>
              <w:spacing w:after="0"/>
              <w:rPr>
                <w:sz w:val="5"/>
                <w:szCs w:val="5"/>
                <w:color w:val="auto"/>
              </w:rPr>
            </w:pPr>
          </w:p>
        </w:tc>
        <w:tc>
          <w:tcPr>
            <w:tcW w:w="433" w:type="dxa"/>
            <w:vAlign w:val="bottom"/>
            <w:tcBorders>
              <w:top w:val="single" w:sz="8" w:color="EBFBFF"/>
              <w:bottom w:val="single" w:sz="8" w:color="0CD973"/>
            </w:tcBorders>
            <w:shd w:val="clear" w:color="auto" w:fill="EBFBFF"/>
          </w:tcPr>
          <w:p>
            <w:pPr>
              <w:spacing w:after="0"/>
              <w:rPr>
                <w:sz w:val="5"/>
                <w:szCs w:val="5"/>
                <w:color w:val="auto"/>
              </w:rPr>
            </w:pPr>
          </w:p>
        </w:tc>
        <w:tc>
          <w:tcPr>
            <w:tcW w:w="928" w:type="dxa"/>
            <w:vAlign w:val="bottom"/>
            <w:tcBorders>
              <w:top w:val="single" w:sz="8" w:color="EBFBFF"/>
              <w:bottom w:val="single" w:sz="8" w:color="0CD973"/>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-6009005</wp:posOffset>
            </wp:positionV>
            <wp:extent cx="307721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2">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522605</wp:posOffset>
            </wp:positionV>
            <wp:extent cx="728980" cy="18859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117</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680" w:type="dxa"/>
            <w:vAlign w:val="bottom"/>
            <w:tcBorders>
              <w:left w:val="single" w:sz="8" w:color="004054"/>
            </w:tcBorders>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68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80" w:type="dxa"/>
            <w:vAlign w:val="bottom"/>
            <w:shd w:val="clear" w:color="auto" w:fill="004054"/>
          </w:tcPr>
          <w:p>
            <w:pPr>
              <w:spacing w:after="0"/>
              <w:rPr>
                <w:sz w:val="16"/>
                <w:szCs w:val="16"/>
                <w:color w:val="auto"/>
              </w:rPr>
            </w:pPr>
          </w:p>
        </w:tc>
        <w:tc>
          <w:tcPr>
            <w:tcW w:w="84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54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6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4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600" w:type="dxa"/>
            <w:vAlign w:val="bottom"/>
            <w:shd w:val="clear" w:color="auto" w:fill="004054"/>
          </w:tcPr>
          <w:p>
            <w:pPr>
              <w:jc w:val="right"/>
              <w:ind w:right="75"/>
              <w:spacing w:after="0"/>
              <w:rPr>
                <w:sz w:val="20"/>
                <w:szCs w:val="20"/>
                <w:color w:val="auto"/>
              </w:rPr>
            </w:pPr>
            <w:r>
              <w:rPr>
                <w:rFonts w:ascii="Calibri" w:cs="Calibri" w:eastAsia="Calibri" w:hAnsi="Calibri"/>
                <w:sz w:val="14"/>
                <w:szCs w:val="14"/>
                <w:b w:val="1"/>
                <w:bCs w:val="1"/>
                <w:color w:val="FFFFFF"/>
              </w:rPr>
              <w:t>Filed In</w:t>
            </w:r>
          </w:p>
        </w:tc>
        <w:tc>
          <w:tcPr>
            <w:tcW w:w="114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36"/>
        </w:trPr>
        <w:tc>
          <w:tcPr>
            <w:tcW w:w="94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Exhibit</w:t>
            </w:r>
          </w:p>
        </w:tc>
        <w:tc>
          <w:tcPr>
            <w:tcW w:w="680" w:type="dxa"/>
            <w:vAlign w:val="bottom"/>
            <w:tcBorders>
              <w:left w:val="single" w:sz="8" w:color="004054"/>
            </w:tcBorders>
            <w:shd w:val="clear" w:color="auto" w:fill="004054"/>
          </w:tcPr>
          <w:p>
            <w:pPr>
              <w:spacing w:after="0"/>
              <w:rPr>
                <w:sz w:val="20"/>
                <w:szCs w:val="20"/>
                <w:color w:val="auto"/>
              </w:rPr>
            </w:pPr>
          </w:p>
        </w:tc>
        <w:tc>
          <w:tcPr>
            <w:tcW w:w="420" w:type="dxa"/>
            <w:vAlign w:val="bottom"/>
            <w:shd w:val="clear" w:color="auto" w:fill="004054"/>
          </w:tcPr>
          <w:p>
            <w:pPr>
              <w:spacing w:after="0"/>
              <w:rPr>
                <w:sz w:val="20"/>
                <w:szCs w:val="20"/>
                <w:color w:val="auto"/>
              </w:rPr>
            </w:pPr>
          </w:p>
        </w:tc>
        <w:tc>
          <w:tcPr>
            <w:tcW w:w="400" w:type="dxa"/>
            <w:vAlign w:val="bottom"/>
            <w:shd w:val="clear" w:color="auto" w:fill="004054"/>
          </w:tcPr>
          <w:p>
            <w:pPr>
              <w:spacing w:after="0"/>
              <w:rPr>
                <w:sz w:val="20"/>
                <w:szCs w:val="20"/>
                <w:color w:val="auto"/>
              </w:rPr>
            </w:pPr>
          </w:p>
        </w:tc>
        <w:tc>
          <w:tcPr>
            <w:tcW w:w="400" w:type="dxa"/>
            <w:vAlign w:val="bottom"/>
            <w:shd w:val="clear" w:color="auto" w:fill="004054"/>
          </w:tcPr>
          <w:p>
            <w:pPr>
              <w:spacing w:after="0"/>
              <w:rPr>
                <w:sz w:val="20"/>
                <w:szCs w:val="20"/>
                <w:color w:val="auto"/>
              </w:rPr>
            </w:pPr>
          </w:p>
        </w:tc>
        <w:tc>
          <w:tcPr>
            <w:tcW w:w="68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80" w:type="dxa"/>
            <w:vAlign w:val="bottom"/>
            <w:shd w:val="clear" w:color="auto" w:fill="004054"/>
          </w:tcPr>
          <w:p>
            <w:pPr>
              <w:spacing w:after="0"/>
              <w:rPr>
                <w:sz w:val="20"/>
                <w:szCs w:val="20"/>
                <w:color w:val="auto"/>
              </w:rPr>
            </w:pPr>
          </w:p>
        </w:tc>
        <w:tc>
          <w:tcPr>
            <w:tcW w:w="840" w:type="dxa"/>
            <w:vAlign w:val="bottom"/>
            <w:shd w:val="clear" w:color="auto" w:fill="004054"/>
          </w:tcPr>
          <w:p>
            <w:pPr>
              <w:spacing w:after="0"/>
              <w:rPr>
                <w:sz w:val="20"/>
                <w:szCs w:val="20"/>
                <w:color w:val="auto"/>
              </w:rPr>
            </w:pPr>
          </w:p>
        </w:tc>
        <w:tc>
          <w:tcPr>
            <w:tcW w:w="300" w:type="dxa"/>
            <w:vAlign w:val="bottom"/>
            <w:shd w:val="clear" w:color="auto" w:fill="004054"/>
          </w:tcPr>
          <w:p>
            <w:pPr>
              <w:spacing w:after="0"/>
              <w:rPr>
                <w:sz w:val="20"/>
                <w:szCs w:val="20"/>
                <w:color w:val="auto"/>
              </w:rPr>
            </w:pPr>
          </w:p>
        </w:tc>
        <w:tc>
          <w:tcPr>
            <w:tcW w:w="54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0" w:type="dxa"/>
            <w:vAlign w:val="bottom"/>
            <w:shd w:val="clear" w:color="auto" w:fill="004054"/>
          </w:tcPr>
          <w:p>
            <w:pPr>
              <w:spacing w:after="0"/>
              <w:rPr>
                <w:sz w:val="20"/>
                <w:szCs w:val="20"/>
                <w:color w:val="auto"/>
              </w:rPr>
            </w:pPr>
          </w:p>
        </w:tc>
        <w:tc>
          <w:tcPr>
            <w:tcW w:w="6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20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40" w:type="dxa"/>
            <w:vAlign w:val="bottom"/>
            <w:shd w:val="clear" w:color="auto" w:fill="004054"/>
          </w:tcPr>
          <w:p>
            <w:pPr>
              <w:spacing w:after="0"/>
              <w:rPr>
                <w:sz w:val="20"/>
                <w:szCs w:val="20"/>
                <w:color w:val="auto"/>
              </w:rPr>
            </w:pPr>
          </w:p>
        </w:tc>
        <w:tc>
          <w:tcPr>
            <w:tcW w:w="20" w:type="dxa"/>
            <w:vAlign w:val="bottom"/>
            <w:shd w:val="clear" w:color="auto" w:fill="004054"/>
          </w:tcPr>
          <w:p>
            <w:pPr>
              <w:spacing w:after="0"/>
              <w:rPr>
                <w:sz w:val="20"/>
                <w:szCs w:val="20"/>
                <w:color w:val="auto"/>
              </w:rPr>
            </w:pPr>
          </w:p>
        </w:tc>
        <w:tc>
          <w:tcPr>
            <w:tcW w:w="100" w:type="dxa"/>
            <w:vAlign w:val="bottom"/>
            <w:shd w:val="clear" w:color="auto" w:fill="004054"/>
          </w:tcPr>
          <w:p>
            <w:pPr>
              <w:spacing w:after="0"/>
              <w:rPr>
                <w:sz w:val="20"/>
                <w:szCs w:val="20"/>
                <w:color w:val="auto"/>
              </w:rPr>
            </w:pPr>
          </w:p>
        </w:tc>
        <w:tc>
          <w:tcPr>
            <w:tcW w:w="140" w:type="dxa"/>
            <w:vAlign w:val="bottom"/>
            <w:shd w:val="clear" w:color="auto" w:fill="004054"/>
          </w:tcPr>
          <w:p>
            <w:pPr>
              <w:spacing w:after="0"/>
              <w:rPr>
                <w:sz w:val="20"/>
                <w:szCs w:val="20"/>
                <w:color w:val="auto"/>
              </w:rPr>
            </w:pPr>
          </w:p>
        </w:tc>
        <w:tc>
          <w:tcPr>
            <w:tcW w:w="1200" w:type="dxa"/>
            <w:vAlign w:val="bottom"/>
            <w:shd w:val="clear" w:color="auto" w:fill="004054"/>
          </w:tcPr>
          <w:p>
            <w:pPr>
              <w:jc w:val="center"/>
              <w:ind w:right="15"/>
              <w:spacing w:after="0"/>
              <w:rPr>
                <w:sz w:val="20"/>
                <w:szCs w:val="20"/>
                <w:color w:val="auto"/>
              </w:rPr>
            </w:pPr>
            <w:r>
              <w:rPr>
                <w:rFonts w:ascii="Calibri" w:cs="Calibri" w:eastAsia="Calibri" w:hAnsi="Calibri"/>
                <w:sz w:val="14"/>
                <w:szCs w:val="14"/>
                <w:b w:val="1"/>
                <w:bCs w:val="1"/>
                <w:color w:val="FFFFFF"/>
              </w:rPr>
              <w:t>Registrant’s</w:t>
            </w:r>
          </w:p>
        </w:tc>
        <w:tc>
          <w:tcPr>
            <w:tcW w:w="1600" w:type="dxa"/>
            <w:vAlign w:val="bottom"/>
            <w:shd w:val="clear" w:color="auto" w:fill="004054"/>
          </w:tcPr>
          <w:p>
            <w:pPr>
              <w:spacing w:after="0"/>
              <w:rPr>
                <w:sz w:val="20"/>
                <w:szCs w:val="20"/>
                <w:color w:val="auto"/>
              </w:rPr>
            </w:pPr>
          </w:p>
        </w:tc>
        <w:tc>
          <w:tcPr>
            <w:tcW w:w="1140" w:type="dxa"/>
            <w:vAlign w:val="bottom"/>
            <w:shd w:val="clear" w:color="auto" w:fill="004054"/>
          </w:tcPr>
          <w:p>
            <w:pPr>
              <w:ind w:left="200"/>
              <w:spacing w:after="0"/>
              <w:rPr>
                <w:sz w:val="20"/>
                <w:szCs w:val="20"/>
                <w:color w:val="auto"/>
              </w:rPr>
            </w:pPr>
            <w:r>
              <w:rPr>
                <w:rFonts w:ascii="Calibri" w:cs="Calibri" w:eastAsia="Calibri" w:hAnsi="Calibri"/>
                <w:sz w:val="14"/>
                <w:szCs w:val="14"/>
                <w:b w:val="1"/>
                <w:bCs w:val="1"/>
                <w:color w:val="FFFFFF"/>
              </w:rPr>
              <w:t>Exhibit</w:t>
            </w:r>
          </w:p>
        </w:tc>
        <w:tc>
          <w:tcPr>
            <w:tcW w:w="90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Filed</w:t>
            </w:r>
          </w:p>
        </w:tc>
        <w:tc>
          <w:tcPr>
            <w:tcW w:w="20" w:type="dxa"/>
            <w:vAlign w:val="bottom"/>
            <w:shd w:val="clear" w:color="auto" w:fill="004054"/>
          </w:tcPr>
          <w:p>
            <w:pPr>
              <w:spacing w:after="0"/>
              <w:rPr>
                <w:sz w:val="20"/>
                <w:szCs w:val="20"/>
                <w:color w:val="auto"/>
              </w:rPr>
            </w:pPr>
          </w:p>
        </w:tc>
      </w:tr>
      <w:tr>
        <w:trPr>
          <w:trHeight w:val="176"/>
        </w:trPr>
        <w:tc>
          <w:tcPr>
            <w:tcW w:w="940" w:type="dxa"/>
            <w:vAlign w:val="bottom"/>
            <w:gridSpan w:val="3"/>
            <w:shd w:val="clear" w:color="auto" w:fill="004054"/>
          </w:tcPr>
          <w:p>
            <w:pPr>
              <w:jc w:val="right"/>
              <w:spacing w:after="0"/>
              <w:rPr>
                <w:sz w:val="20"/>
                <w:szCs w:val="20"/>
                <w:color w:val="auto"/>
              </w:rPr>
            </w:pPr>
            <w:r>
              <w:rPr>
                <w:rFonts w:ascii="Calibri" w:cs="Calibri" w:eastAsia="Calibri" w:hAnsi="Calibri"/>
                <w:sz w:val="14"/>
                <w:szCs w:val="14"/>
                <w:b w:val="1"/>
                <w:bCs w:val="1"/>
                <w:color w:val="FFFFFF"/>
              </w:rPr>
              <w:t>Number</w:t>
            </w:r>
          </w:p>
        </w:tc>
        <w:tc>
          <w:tcPr>
            <w:tcW w:w="680" w:type="dxa"/>
            <w:vAlign w:val="bottom"/>
            <w:tcBorders>
              <w:left w:val="single" w:sz="8" w:color="004054"/>
            </w:tcBorders>
            <w:shd w:val="clear" w:color="auto" w:fill="004054"/>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400" w:type="dxa"/>
            <w:vAlign w:val="bottom"/>
            <w:shd w:val="clear" w:color="auto" w:fill="004054"/>
          </w:tcPr>
          <w:p>
            <w:pPr>
              <w:spacing w:after="0"/>
              <w:rPr>
                <w:sz w:val="15"/>
                <w:szCs w:val="15"/>
                <w:color w:val="auto"/>
              </w:rPr>
            </w:pPr>
          </w:p>
        </w:tc>
        <w:tc>
          <w:tcPr>
            <w:tcW w:w="3560" w:type="dxa"/>
            <w:vAlign w:val="bottom"/>
            <w:gridSpan w:val="19"/>
            <w:shd w:val="clear" w:color="auto" w:fill="004054"/>
          </w:tcPr>
          <w:p>
            <w:pPr>
              <w:ind w:left="360"/>
              <w:spacing w:after="0"/>
              <w:rPr>
                <w:sz w:val="20"/>
                <w:szCs w:val="20"/>
                <w:color w:val="auto"/>
              </w:rPr>
            </w:pPr>
            <w:r>
              <w:rPr>
                <w:rFonts w:ascii="Calibri" w:cs="Calibri" w:eastAsia="Calibri" w:hAnsi="Calibri"/>
                <w:sz w:val="14"/>
                <w:szCs w:val="14"/>
                <w:b w:val="1"/>
                <w:bCs w:val="1"/>
                <w:color w:val="FFFFFF"/>
              </w:rPr>
              <w:t>Descripton of Document</w:t>
            </w:r>
          </w:p>
        </w:tc>
        <w:tc>
          <w:tcPr>
            <w:tcW w:w="1200" w:type="dxa"/>
            <w:vAlign w:val="bottom"/>
            <w:shd w:val="clear" w:color="auto" w:fill="004054"/>
          </w:tcPr>
          <w:p>
            <w:pPr>
              <w:jc w:val="center"/>
              <w:ind w:right="15"/>
              <w:spacing w:after="0"/>
              <w:rPr>
                <w:sz w:val="20"/>
                <w:szCs w:val="20"/>
                <w:color w:val="auto"/>
              </w:rPr>
            </w:pPr>
            <w:r>
              <w:rPr>
                <w:rFonts w:ascii="Calibri" w:cs="Calibri" w:eastAsia="Calibri" w:hAnsi="Calibri"/>
                <w:sz w:val="14"/>
                <w:szCs w:val="14"/>
                <w:b w:val="1"/>
                <w:bCs w:val="1"/>
                <w:color w:val="FFFFFF"/>
                <w:w w:val="98"/>
              </w:rPr>
              <w:t>Form</w:t>
            </w:r>
          </w:p>
        </w:tc>
        <w:tc>
          <w:tcPr>
            <w:tcW w:w="1600" w:type="dxa"/>
            <w:vAlign w:val="bottom"/>
            <w:shd w:val="clear" w:color="auto" w:fill="004054"/>
          </w:tcPr>
          <w:p>
            <w:pPr>
              <w:jc w:val="right"/>
              <w:ind w:right="695"/>
              <w:spacing w:after="0"/>
              <w:rPr>
                <w:sz w:val="20"/>
                <w:szCs w:val="20"/>
                <w:color w:val="auto"/>
              </w:rPr>
            </w:pPr>
            <w:r>
              <w:rPr>
                <w:rFonts w:ascii="Calibri" w:cs="Calibri" w:eastAsia="Calibri" w:hAnsi="Calibri"/>
                <w:sz w:val="14"/>
                <w:szCs w:val="14"/>
                <w:b w:val="1"/>
                <w:bCs w:val="1"/>
                <w:color w:val="FFFFFF"/>
              </w:rPr>
              <w:t>Dated</w:t>
            </w:r>
          </w:p>
        </w:tc>
        <w:tc>
          <w:tcPr>
            <w:tcW w:w="1140" w:type="dxa"/>
            <w:vAlign w:val="bottom"/>
            <w:shd w:val="clear" w:color="auto" w:fill="004054"/>
          </w:tcPr>
          <w:p>
            <w:pPr>
              <w:jc w:val="right"/>
              <w:ind w:right="395"/>
              <w:spacing w:after="0"/>
              <w:rPr>
                <w:sz w:val="20"/>
                <w:szCs w:val="20"/>
                <w:color w:val="auto"/>
              </w:rPr>
            </w:pPr>
            <w:r>
              <w:rPr>
                <w:rFonts w:ascii="Calibri" w:cs="Calibri" w:eastAsia="Calibri" w:hAnsi="Calibri"/>
                <w:sz w:val="14"/>
                <w:szCs w:val="14"/>
                <w:b w:val="1"/>
                <w:bCs w:val="1"/>
                <w:color w:val="FFFFFF"/>
              </w:rPr>
              <w:t>Number</w:t>
            </w:r>
          </w:p>
        </w:tc>
        <w:tc>
          <w:tcPr>
            <w:tcW w:w="900" w:type="dxa"/>
            <w:vAlign w:val="bottom"/>
            <w:shd w:val="clear" w:color="auto" w:fill="004054"/>
          </w:tcPr>
          <w:p>
            <w:pPr>
              <w:jc w:val="center"/>
              <w:spacing w:after="0"/>
              <w:rPr>
                <w:sz w:val="20"/>
                <w:szCs w:val="20"/>
                <w:color w:val="auto"/>
              </w:rPr>
            </w:pPr>
            <w:r>
              <w:rPr>
                <w:rFonts w:ascii="Calibri" w:cs="Calibri" w:eastAsia="Calibri" w:hAnsi="Calibri"/>
                <w:sz w:val="14"/>
                <w:szCs w:val="14"/>
                <w:b w:val="1"/>
                <w:bCs w:val="1"/>
                <w:color w:val="FFFFFF"/>
              </w:rPr>
              <w:t>Herewith</w:t>
            </w:r>
          </w:p>
        </w:tc>
        <w:tc>
          <w:tcPr>
            <w:tcW w:w="20" w:type="dxa"/>
            <w:vAlign w:val="bottom"/>
            <w:shd w:val="clear" w:color="auto" w:fill="004054"/>
          </w:tcPr>
          <w:p>
            <w:pPr>
              <w:spacing w:after="0"/>
              <w:rPr>
                <w:sz w:val="15"/>
                <w:szCs w:val="15"/>
                <w:color w:val="auto"/>
              </w:rPr>
            </w:pPr>
          </w:p>
        </w:tc>
      </w:tr>
      <w:tr>
        <w:trPr>
          <w:trHeight w:val="74"/>
        </w:trPr>
        <w:tc>
          <w:tcPr>
            <w:tcW w:w="54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680" w:type="dxa"/>
            <w:vAlign w:val="bottom"/>
            <w:tcBorders>
              <w:left w:val="single" w:sz="8" w:color="004054"/>
            </w:tcBorders>
            <w:shd w:val="clear" w:color="auto" w:fill="004054"/>
          </w:tcPr>
          <w:p>
            <w:pPr>
              <w:spacing w:after="0"/>
              <w:rPr>
                <w:sz w:val="6"/>
                <w:szCs w:val="6"/>
                <w:color w:val="auto"/>
              </w:rPr>
            </w:pPr>
          </w:p>
        </w:tc>
        <w:tc>
          <w:tcPr>
            <w:tcW w:w="42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400" w:type="dxa"/>
            <w:vAlign w:val="bottom"/>
            <w:shd w:val="clear" w:color="auto" w:fill="004054"/>
          </w:tcPr>
          <w:p>
            <w:pPr>
              <w:spacing w:after="0"/>
              <w:rPr>
                <w:sz w:val="6"/>
                <w:szCs w:val="6"/>
                <w:color w:val="auto"/>
              </w:rPr>
            </w:pPr>
          </w:p>
        </w:tc>
        <w:tc>
          <w:tcPr>
            <w:tcW w:w="68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80" w:type="dxa"/>
            <w:vAlign w:val="bottom"/>
            <w:shd w:val="clear" w:color="auto" w:fill="004054"/>
          </w:tcPr>
          <w:p>
            <w:pPr>
              <w:spacing w:after="0"/>
              <w:rPr>
                <w:sz w:val="6"/>
                <w:szCs w:val="6"/>
                <w:color w:val="auto"/>
              </w:rPr>
            </w:pPr>
          </w:p>
        </w:tc>
        <w:tc>
          <w:tcPr>
            <w:tcW w:w="840" w:type="dxa"/>
            <w:vAlign w:val="bottom"/>
            <w:shd w:val="clear" w:color="auto" w:fill="004054"/>
          </w:tcPr>
          <w:p>
            <w:pPr>
              <w:spacing w:after="0"/>
              <w:rPr>
                <w:sz w:val="6"/>
                <w:szCs w:val="6"/>
                <w:color w:val="auto"/>
              </w:rPr>
            </w:pPr>
          </w:p>
        </w:tc>
        <w:tc>
          <w:tcPr>
            <w:tcW w:w="300" w:type="dxa"/>
            <w:vAlign w:val="bottom"/>
            <w:shd w:val="clear" w:color="auto" w:fill="004054"/>
          </w:tcPr>
          <w:p>
            <w:pPr>
              <w:spacing w:after="0"/>
              <w:rPr>
                <w:sz w:val="6"/>
                <w:szCs w:val="6"/>
                <w:color w:val="auto"/>
              </w:rPr>
            </w:pPr>
          </w:p>
        </w:tc>
        <w:tc>
          <w:tcPr>
            <w:tcW w:w="54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0" w:type="dxa"/>
            <w:vAlign w:val="bottom"/>
            <w:shd w:val="clear" w:color="auto" w:fill="004054"/>
          </w:tcPr>
          <w:p>
            <w:pPr>
              <w:spacing w:after="0"/>
              <w:rPr>
                <w:sz w:val="6"/>
                <w:szCs w:val="6"/>
                <w:color w:val="auto"/>
              </w:rPr>
            </w:pPr>
          </w:p>
        </w:tc>
        <w:tc>
          <w:tcPr>
            <w:tcW w:w="6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2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10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1200" w:type="dxa"/>
            <w:vAlign w:val="bottom"/>
            <w:shd w:val="clear" w:color="auto" w:fill="004054"/>
          </w:tcPr>
          <w:p>
            <w:pPr>
              <w:spacing w:after="0"/>
              <w:rPr>
                <w:sz w:val="6"/>
                <w:szCs w:val="6"/>
                <w:color w:val="auto"/>
              </w:rPr>
            </w:pPr>
          </w:p>
        </w:tc>
        <w:tc>
          <w:tcPr>
            <w:tcW w:w="1600" w:type="dxa"/>
            <w:vAlign w:val="bottom"/>
            <w:shd w:val="clear" w:color="auto" w:fill="004054"/>
          </w:tcPr>
          <w:p>
            <w:pPr>
              <w:spacing w:after="0"/>
              <w:rPr>
                <w:sz w:val="6"/>
                <w:szCs w:val="6"/>
                <w:color w:val="auto"/>
              </w:rPr>
            </w:pPr>
          </w:p>
        </w:tc>
        <w:tc>
          <w:tcPr>
            <w:tcW w:w="1140" w:type="dxa"/>
            <w:vAlign w:val="bottom"/>
            <w:shd w:val="clear" w:color="auto" w:fill="004054"/>
          </w:tcPr>
          <w:p>
            <w:pPr>
              <w:spacing w:after="0"/>
              <w:rPr>
                <w:sz w:val="6"/>
                <w:szCs w:val="6"/>
                <w:color w:val="auto"/>
              </w:rPr>
            </w:pPr>
          </w:p>
        </w:tc>
        <w:tc>
          <w:tcPr>
            <w:tcW w:w="90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r>
      <w:tr>
        <w:trPr>
          <w:trHeight w:val="189"/>
        </w:trPr>
        <w:tc>
          <w:tcPr>
            <w:tcW w:w="540" w:type="dxa"/>
            <w:vAlign w:val="bottom"/>
            <w:shd w:val="clear" w:color="auto" w:fill="EBFBFF"/>
          </w:tcPr>
          <w:p>
            <w:pPr>
              <w:spacing w:after="0"/>
              <w:rPr>
                <w:sz w:val="16"/>
                <w:szCs w:val="16"/>
                <w:color w:val="auto"/>
              </w:rPr>
            </w:pPr>
          </w:p>
        </w:tc>
        <w:tc>
          <w:tcPr>
            <w:tcW w:w="400" w:type="dxa"/>
            <w:vAlign w:val="bottom"/>
            <w:gridSpan w:val="2"/>
            <w:shd w:val="clear" w:color="auto" w:fill="EBFBFF"/>
          </w:tcPr>
          <w:p>
            <w:pPr>
              <w:jc w:val="right"/>
              <w:spacing w:after="0" w:line="189" w:lineRule="exact"/>
              <w:rPr>
                <w:sz w:val="20"/>
                <w:szCs w:val="20"/>
                <w:color w:val="auto"/>
              </w:rPr>
            </w:pPr>
            <w:r>
              <w:rPr>
                <w:rFonts w:ascii="Calibri" w:cs="Calibri" w:eastAsia="Calibri" w:hAnsi="Calibri"/>
                <w:sz w:val="18"/>
                <w:szCs w:val="18"/>
                <w:color w:val="7A04DD"/>
                <w:w w:val="97"/>
              </w:rPr>
              <w:t>10.26</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rFonts w:ascii="Calibri" w:cs="Calibri" w:eastAsia="Calibri" w:hAnsi="Calibri"/>
                <w:sz w:val="18"/>
                <w:szCs w:val="18"/>
                <w:color w:val="7A04DD"/>
              </w:rPr>
            </w:pPr>
            <w:hyperlink r:id="rId536">
              <w:r>
                <w:rPr>
                  <w:rFonts w:ascii="Calibri" w:cs="Calibri" w:eastAsia="Calibri" w:hAnsi="Calibri"/>
                  <w:sz w:val="18"/>
                  <w:szCs w:val="18"/>
                  <w:color w:val="7A04DD"/>
                </w:rPr>
                <w:t>Consent Agreement, dated as of January 23, 2023, between</w:t>
              </w:r>
            </w:hyperlink>
          </w:p>
        </w:tc>
        <w:tc>
          <w:tcPr>
            <w:tcW w:w="1200" w:type="dxa"/>
            <w:vAlign w:val="bottom"/>
            <w:shd w:val="clear" w:color="auto" w:fill="EBFBFF"/>
          </w:tcPr>
          <w:p>
            <w:pPr>
              <w:jc w:val="center"/>
              <w:ind w:right="15"/>
              <w:spacing w:after="0" w:line="189" w:lineRule="exact"/>
              <w:rPr>
                <w:sz w:val="20"/>
                <w:szCs w:val="20"/>
                <w:color w:val="auto"/>
              </w:rPr>
            </w:pPr>
            <w:r>
              <w:rPr>
                <w:rFonts w:ascii="Calibri" w:cs="Calibri" w:eastAsia="Calibri" w:hAnsi="Calibri"/>
                <w:sz w:val="18"/>
                <w:szCs w:val="18"/>
                <w:color w:val="51555C"/>
              </w:rPr>
              <w:t>10-K</w:t>
            </w:r>
          </w:p>
        </w:tc>
        <w:tc>
          <w:tcPr>
            <w:tcW w:w="1600" w:type="dxa"/>
            <w:vAlign w:val="bottom"/>
            <w:shd w:val="clear" w:color="auto" w:fill="EBFBFF"/>
          </w:tcPr>
          <w:p>
            <w:pPr>
              <w:jc w:val="right"/>
              <w:ind w:right="275"/>
              <w:spacing w:after="0" w:line="189" w:lineRule="exact"/>
              <w:rPr>
                <w:sz w:val="20"/>
                <w:szCs w:val="20"/>
                <w:color w:val="auto"/>
              </w:rPr>
            </w:pPr>
            <w:r>
              <w:rPr>
                <w:rFonts w:ascii="Calibri" w:cs="Calibri" w:eastAsia="Calibri" w:hAnsi="Calibri"/>
                <w:sz w:val="18"/>
                <w:szCs w:val="18"/>
                <w:color w:val="51555C"/>
              </w:rPr>
              <w:t>2/24/2023</w:t>
            </w:r>
          </w:p>
        </w:tc>
        <w:tc>
          <w:tcPr>
            <w:tcW w:w="1140" w:type="dxa"/>
            <w:vAlign w:val="bottom"/>
            <w:shd w:val="clear" w:color="auto" w:fill="EBFBFF"/>
          </w:tcPr>
          <w:p>
            <w:pPr>
              <w:jc w:val="right"/>
              <w:ind w:right="35"/>
              <w:spacing w:after="0" w:line="189" w:lineRule="exact"/>
              <w:rPr>
                <w:sz w:val="20"/>
                <w:szCs w:val="20"/>
                <w:color w:val="auto"/>
              </w:rPr>
            </w:pPr>
            <w:r>
              <w:rPr>
                <w:rFonts w:ascii="Calibri" w:cs="Calibri" w:eastAsia="Calibri" w:hAnsi="Calibri"/>
                <w:sz w:val="18"/>
                <w:szCs w:val="18"/>
                <w:color w:val="51555C"/>
              </w:rPr>
              <w:t>10.30</w:t>
            </w:r>
          </w:p>
        </w:tc>
        <w:tc>
          <w:tcPr>
            <w:tcW w:w="900"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7A04DD"/>
            </w:tcBorders>
            <w:shd w:val="clear" w:color="auto" w:fill="EBFBFF"/>
          </w:tcPr>
          <w:p>
            <w:pPr>
              <w:spacing w:after="0"/>
              <w:rPr>
                <w:sz w:val="17"/>
                <w:szCs w:val="17"/>
                <w:color w:val="auto"/>
              </w:rPr>
            </w:pPr>
          </w:p>
        </w:tc>
        <w:tc>
          <w:tcPr>
            <w:tcW w:w="3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240" w:type="dxa"/>
            <w:vAlign w:val="bottom"/>
            <w:tcBorders>
              <w:top w:val="single" w:sz="8" w:color="7A04DD"/>
            </w:tcBorders>
            <w:gridSpan w:val="15"/>
            <w:shd w:val="clear" w:color="auto" w:fill="EBFBFF"/>
          </w:tcPr>
          <w:p>
            <w:pPr>
              <w:spacing w:after="0" w:line="196" w:lineRule="exact"/>
              <w:rPr>
                <w:rFonts w:ascii="Calibri" w:cs="Calibri" w:eastAsia="Calibri" w:hAnsi="Calibri"/>
                <w:sz w:val="18"/>
                <w:szCs w:val="18"/>
                <w:color w:val="7A04DD"/>
              </w:rPr>
            </w:pPr>
            <w:hyperlink r:id="rId536">
              <w:r>
                <w:rPr>
                  <w:rFonts w:ascii="Calibri" w:cs="Calibri" w:eastAsia="Calibri" w:hAnsi="Calibri"/>
                  <w:sz w:val="18"/>
                  <w:szCs w:val="18"/>
                  <w:color w:val="7A04DD"/>
                </w:rPr>
                <w:t>Blackbaud, Inc. and Bank of America, N.A.</w:t>
              </w:r>
            </w:hyperlink>
          </w:p>
        </w:tc>
        <w:tc>
          <w:tcPr>
            <w:tcW w:w="540" w:type="dxa"/>
            <w:vAlign w:val="bottom"/>
            <w:tcBorders>
              <w:top w:val="single" w:sz="8" w:color="EBFBFF"/>
            </w:tcBorders>
            <w:gridSpan w:val="7"/>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5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400" w:type="dxa"/>
            <w:vAlign w:val="bottom"/>
            <w:gridSpan w:val="2"/>
          </w:tcPr>
          <w:p>
            <w:pPr>
              <w:jc w:val="right"/>
              <w:spacing w:after="0" w:line="189" w:lineRule="exact"/>
              <w:rPr>
                <w:rFonts w:ascii="Calibri" w:cs="Calibri" w:eastAsia="Calibri" w:hAnsi="Calibri"/>
                <w:sz w:val="18"/>
                <w:szCs w:val="18"/>
                <w:color w:val="7A04DD"/>
                <w:w w:val="97"/>
              </w:rPr>
            </w:pPr>
            <w:hyperlink r:id="rId537">
              <w:r>
                <w:rPr>
                  <w:rFonts w:ascii="Calibri" w:cs="Calibri" w:eastAsia="Calibri" w:hAnsi="Calibri"/>
                  <w:sz w:val="18"/>
                  <w:szCs w:val="18"/>
                  <w:color w:val="7A04DD"/>
                  <w:w w:val="97"/>
                </w:rPr>
                <w:t>10.</w:t>
              </w:r>
              <w:r>
                <w:rPr>
                  <w:rFonts w:ascii="Calibri" w:cs="Calibri" w:eastAsia="Calibri" w:hAnsi="Calibri"/>
                  <w:sz w:val="18"/>
                  <w:szCs w:val="18"/>
                  <w:u w:val="single" w:color="auto"/>
                  <w:color w:val="7A04DD"/>
                  <w:w w:val="97"/>
                </w:rPr>
                <w:t>27</w:t>
              </w:r>
            </w:hyperlink>
          </w:p>
        </w:tc>
        <w:tc>
          <w:tcPr>
            <w:tcW w:w="680" w:type="dxa"/>
            <w:vAlign w:val="bottom"/>
          </w:tcPr>
          <w:p>
            <w:pPr>
              <w:ind w:left="40"/>
              <w:spacing w:after="0" w:line="189" w:lineRule="exact"/>
              <w:rPr>
                <w:sz w:val="20"/>
                <w:szCs w:val="20"/>
                <w:color w:val="auto"/>
              </w:rPr>
            </w:pPr>
            <w:r>
              <w:rPr>
                <w:rFonts w:ascii="Calibri" w:cs="Calibri" w:eastAsia="Calibri" w:hAnsi="Calibri"/>
                <w:sz w:val="18"/>
                <w:szCs w:val="18"/>
                <w:color w:val="7A04DD"/>
              </w:rPr>
              <w:t>†</w:t>
            </w:r>
          </w:p>
        </w:tc>
        <w:tc>
          <w:tcPr>
            <w:tcW w:w="4780" w:type="dxa"/>
            <w:vAlign w:val="bottom"/>
            <w:gridSpan w:val="22"/>
          </w:tcPr>
          <w:p>
            <w:pPr>
              <w:spacing w:after="0" w:line="189" w:lineRule="exact"/>
              <w:rPr>
                <w:rFonts w:ascii="Calibri" w:cs="Calibri" w:eastAsia="Calibri" w:hAnsi="Calibri"/>
                <w:sz w:val="18"/>
                <w:szCs w:val="18"/>
                <w:color w:val="7A04DD"/>
              </w:rPr>
            </w:pPr>
            <w:hyperlink r:id="rId537">
              <w:r>
                <w:rPr>
                  <w:rFonts w:ascii="Calibri" w:cs="Calibri" w:eastAsia="Calibri" w:hAnsi="Calibri"/>
                  <w:sz w:val="18"/>
                  <w:szCs w:val="18"/>
                  <w:color w:val="7A04DD"/>
                </w:rPr>
                <w:t>Amended and Restated Blackbaud, Inc. 2016 Equity and</w:t>
              </w:r>
            </w:hyperlink>
          </w:p>
        </w:tc>
        <w:tc>
          <w:tcPr>
            <w:tcW w:w="1200" w:type="dxa"/>
            <w:vAlign w:val="bottom"/>
          </w:tcPr>
          <w:p>
            <w:pPr>
              <w:jc w:val="center"/>
              <w:ind w:right="15"/>
              <w:spacing w:after="0" w:line="189" w:lineRule="exact"/>
              <w:rPr>
                <w:sz w:val="20"/>
                <w:szCs w:val="20"/>
                <w:color w:val="auto"/>
              </w:rPr>
            </w:pPr>
            <w:r>
              <w:rPr>
                <w:rFonts w:ascii="Calibri" w:cs="Calibri" w:eastAsia="Calibri" w:hAnsi="Calibri"/>
                <w:sz w:val="18"/>
                <w:szCs w:val="18"/>
                <w:color w:val="51555C"/>
                <w:w w:val="95"/>
              </w:rPr>
              <w:t>DEF 14A</w:t>
            </w:r>
          </w:p>
        </w:tc>
        <w:tc>
          <w:tcPr>
            <w:tcW w:w="1600" w:type="dxa"/>
            <w:vAlign w:val="bottom"/>
          </w:tcPr>
          <w:p>
            <w:pPr>
              <w:jc w:val="right"/>
              <w:ind w:right="275"/>
              <w:spacing w:after="0" w:line="189" w:lineRule="exact"/>
              <w:rPr>
                <w:sz w:val="20"/>
                <w:szCs w:val="20"/>
                <w:color w:val="auto"/>
              </w:rPr>
            </w:pPr>
            <w:r>
              <w:rPr>
                <w:rFonts w:ascii="Calibri" w:cs="Calibri" w:eastAsia="Calibri" w:hAnsi="Calibri"/>
                <w:sz w:val="18"/>
                <w:szCs w:val="18"/>
                <w:color w:val="51555C"/>
              </w:rPr>
              <w:t>4/25/2023</w:t>
            </w:r>
          </w:p>
        </w:tc>
        <w:tc>
          <w:tcPr>
            <w:tcW w:w="1140" w:type="dxa"/>
            <w:vAlign w:val="bottom"/>
          </w:tcPr>
          <w:p>
            <w:pPr>
              <w:ind w:left="200"/>
              <w:spacing w:after="0" w:line="189" w:lineRule="exact"/>
              <w:rPr>
                <w:sz w:val="20"/>
                <w:szCs w:val="20"/>
                <w:color w:val="auto"/>
              </w:rPr>
            </w:pPr>
            <w:r>
              <w:rPr>
                <w:rFonts w:ascii="Calibri" w:cs="Calibri" w:eastAsia="Calibri" w:hAnsi="Calibri"/>
                <w:sz w:val="18"/>
                <w:szCs w:val="18"/>
                <w:color w:val="51555C"/>
              </w:rPr>
              <w:t>Appendix B</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100" w:type="dxa"/>
            <w:vAlign w:val="bottom"/>
            <w:tcBorders>
              <w:top w:val="single" w:sz="8" w:color="7A04DD"/>
            </w:tcBorders>
          </w:tcPr>
          <w:p>
            <w:pPr>
              <w:spacing w:after="0"/>
              <w:rPr>
                <w:sz w:val="17"/>
                <w:szCs w:val="17"/>
                <w:color w:val="auto"/>
              </w:rPr>
            </w:pPr>
          </w:p>
        </w:tc>
        <w:tc>
          <w:tcPr>
            <w:tcW w:w="3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3960" w:type="dxa"/>
            <w:vAlign w:val="bottom"/>
            <w:tcBorders>
              <w:top w:val="single" w:sz="8" w:color="7A04DD"/>
            </w:tcBorders>
            <w:gridSpan w:val="12"/>
          </w:tcPr>
          <w:p>
            <w:pPr>
              <w:spacing w:after="0" w:line="196" w:lineRule="exact"/>
              <w:rPr>
                <w:rFonts w:ascii="Calibri" w:cs="Calibri" w:eastAsia="Calibri" w:hAnsi="Calibri"/>
                <w:sz w:val="18"/>
                <w:szCs w:val="18"/>
                <w:color w:val="7A04DD"/>
              </w:rPr>
            </w:pPr>
            <w:hyperlink r:id="rId537">
              <w:r>
                <w:rPr>
                  <w:rFonts w:ascii="Calibri" w:cs="Calibri" w:eastAsia="Calibri" w:hAnsi="Calibri"/>
                  <w:sz w:val="18"/>
                  <w:szCs w:val="18"/>
                  <w:color w:val="7A04DD"/>
                </w:rPr>
                <w:t>Incentve Compensaton Plan</w:t>
              </w:r>
            </w:hyperlink>
          </w:p>
        </w:tc>
        <w:tc>
          <w:tcPr>
            <w:tcW w:w="820" w:type="dxa"/>
            <w:vAlign w:val="bottom"/>
            <w:gridSpan w:val="10"/>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680" w:type="dxa"/>
            <w:vAlign w:val="bottom"/>
            <w:tcBorders>
              <w:top w:val="single" w:sz="8" w:color="7A04DD"/>
            </w:tcBorders>
          </w:tcPr>
          <w:p>
            <w:pPr>
              <w:spacing w:after="0"/>
              <w:rPr>
                <w:sz w:val="5"/>
                <w:szCs w:val="5"/>
                <w:color w:val="auto"/>
              </w:rPr>
            </w:pPr>
          </w:p>
        </w:tc>
        <w:tc>
          <w:tcPr>
            <w:tcW w:w="100" w:type="dxa"/>
            <w:vAlign w:val="bottom"/>
            <w:tcBorders>
              <w:top w:val="single" w:sz="8" w:color="7A04DD"/>
            </w:tcBorders>
          </w:tcPr>
          <w:p>
            <w:pPr>
              <w:spacing w:after="0"/>
              <w:rPr>
                <w:sz w:val="5"/>
                <w:szCs w:val="5"/>
                <w:color w:val="auto"/>
              </w:rPr>
            </w:pPr>
          </w:p>
        </w:tc>
        <w:tc>
          <w:tcPr>
            <w:tcW w:w="60" w:type="dxa"/>
            <w:vAlign w:val="bottom"/>
            <w:tcBorders>
              <w:top w:val="single" w:sz="8" w:color="7A04DD"/>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shd w:val="clear" w:color="auto" w:fill="EBFBFF"/>
          </w:tcPr>
          <w:p>
            <w:pPr>
              <w:spacing w:after="0"/>
              <w:rPr>
                <w:sz w:val="16"/>
                <w:szCs w:val="16"/>
                <w:color w:val="auto"/>
              </w:rPr>
            </w:pPr>
          </w:p>
        </w:tc>
        <w:tc>
          <w:tcPr>
            <w:tcW w:w="400" w:type="dxa"/>
            <w:vAlign w:val="bottom"/>
            <w:gridSpan w:val="2"/>
            <w:shd w:val="clear" w:color="auto" w:fill="EBFBFF"/>
          </w:tcPr>
          <w:p>
            <w:pPr>
              <w:jc w:val="right"/>
              <w:spacing w:after="0" w:line="189" w:lineRule="exact"/>
              <w:rPr>
                <w:rFonts w:ascii="Calibri" w:cs="Calibri" w:eastAsia="Calibri" w:hAnsi="Calibri"/>
                <w:sz w:val="18"/>
                <w:szCs w:val="18"/>
                <w:color w:val="7A04DD"/>
                <w:w w:val="97"/>
              </w:rPr>
            </w:pPr>
            <w:hyperlink r:id="rId538">
              <w:r>
                <w:rPr>
                  <w:rFonts w:ascii="Calibri" w:cs="Calibri" w:eastAsia="Calibri" w:hAnsi="Calibri"/>
                  <w:sz w:val="18"/>
                  <w:szCs w:val="18"/>
                  <w:color w:val="7A04DD"/>
                  <w:w w:val="97"/>
                </w:rPr>
                <w:t>10.</w:t>
              </w:r>
              <w:r>
                <w:rPr>
                  <w:rFonts w:ascii="Calibri" w:cs="Calibri" w:eastAsia="Calibri" w:hAnsi="Calibri"/>
                  <w:sz w:val="18"/>
                  <w:szCs w:val="18"/>
                  <w:u w:val="single" w:color="auto"/>
                  <w:color w:val="7A04DD"/>
                  <w:w w:val="97"/>
                </w:rPr>
                <w:t>28</w:t>
              </w:r>
            </w:hyperlink>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rFonts w:ascii="Calibri" w:cs="Calibri" w:eastAsia="Calibri" w:hAnsi="Calibri"/>
                <w:sz w:val="18"/>
                <w:szCs w:val="18"/>
                <w:color w:val="7A04DD"/>
              </w:rPr>
            </w:pPr>
            <w:hyperlink r:id="rId538">
              <w:r>
                <w:rPr>
                  <w:rFonts w:ascii="Calibri" w:cs="Calibri" w:eastAsia="Calibri" w:hAnsi="Calibri"/>
                  <w:sz w:val="18"/>
                  <w:szCs w:val="18"/>
                  <w:color w:val="7A04DD"/>
                </w:rPr>
                <w:t>Form of Retenton Agreement dated as of April 24, 2023</w:t>
              </w:r>
            </w:hyperlink>
          </w:p>
        </w:tc>
        <w:tc>
          <w:tcPr>
            <w:tcW w:w="1200" w:type="dxa"/>
            <w:vAlign w:val="bottom"/>
            <w:shd w:val="clear" w:color="auto" w:fill="EBFBFF"/>
          </w:tcPr>
          <w:p>
            <w:pPr>
              <w:jc w:val="center"/>
              <w:ind w:right="15"/>
              <w:spacing w:after="0" w:line="189" w:lineRule="exact"/>
              <w:rPr>
                <w:sz w:val="20"/>
                <w:szCs w:val="20"/>
                <w:color w:val="auto"/>
              </w:rPr>
            </w:pPr>
            <w:r>
              <w:rPr>
                <w:rFonts w:ascii="Calibri" w:cs="Calibri" w:eastAsia="Calibri" w:hAnsi="Calibri"/>
                <w:sz w:val="18"/>
                <w:szCs w:val="18"/>
                <w:color w:val="51555C"/>
                <w:w w:val="94"/>
              </w:rPr>
              <w:t>10-Q</w:t>
            </w:r>
          </w:p>
        </w:tc>
        <w:tc>
          <w:tcPr>
            <w:tcW w:w="1600" w:type="dxa"/>
            <w:vAlign w:val="bottom"/>
            <w:shd w:val="clear" w:color="auto" w:fill="EBFBFF"/>
          </w:tcPr>
          <w:p>
            <w:pPr>
              <w:jc w:val="right"/>
              <w:ind w:right="275"/>
              <w:spacing w:after="0" w:line="189" w:lineRule="exact"/>
              <w:rPr>
                <w:sz w:val="20"/>
                <w:szCs w:val="20"/>
                <w:color w:val="auto"/>
              </w:rPr>
            </w:pPr>
            <w:r>
              <w:rPr>
                <w:rFonts w:ascii="Calibri" w:cs="Calibri" w:eastAsia="Calibri" w:hAnsi="Calibri"/>
                <w:sz w:val="18"/>
                <w:szCs w:val="18"/>
                <w:color w:val="51555C"/>
              </w:rPr>
              <w:t>5/4/2023</w:t>
            </w:r>
          </w:p>
        </w:tc>
        <w:tc>
          <w:tcPr>
            <w:tcW w:w="1140" w:type="dxa"/>
            <w:vAlign w:val="bottom"/>
            <w:shd w:val="clear" w:color="auto" w:fill="EBFBFF"/>
          </w:tcPr>
          <w:p>
            <w:pPr>
              <w:jc w:val="right"/>
              <w:ind w:right="35"/>
              <w:spacing w:after="0" w:line="189" w:lineRule="exact"/>
              <w:rPr>
                <w:sz w:val="20"/>
                <w:szCs w:val="20"/>
                <w:color w:val="auto"/>
              </w:rPr>
            </w:pPr>
            <w:r>
              <w:rPr>
                <w:rFonts w:ascii="Calibri" w:cs="Calibri" w:eastAsia="Calibri" w:hAnsi="Calibri"/>
                <w:sz w:val="18"/>
                <w:szCs w:val="18"/>
                <w:color w:val="51555C"/>
              </w:rPr>
              <w:t>10.1</w:t>
            </w:r>
          </w:p>
        </w:tc>
        <w:tc>
          <w:tcPr>
            <w:tcW w:w="900" w:type="dxa"/>
            <w:vAlign w:val="bottom"/>
            <w:shd w:val="clear" w:color="auto" w:fill="EBFB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40" w:type="dxa"/>
            <w:vAlign w:val="bottom"/>
            <w:shd w:val="clear" w:color="auto" w:fill="EBFBFF"/>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680" w:type="dxa"/>
            <w:vAlign w:val="bottom"/>
            <w:tcBorders>
              <w:left w:val="single" w:sz="8" w:color="EBFBFF"/>
            </w:tcBorders>
            <w:shd w:val="clear" w:color="auto" w:fill="EBFBFF"/>
          </w:tcPr>
          <w:p>
            <w:pPr>
              <w:spacing w:after="0" w:line="20" w:lineRule="exact"/>
              <w:rPr>
                <w:sz w:val="1"/>
                <w:szCs w:val="1"/>
                <w:color w:val="auto"/>
              </w:rPr>
            </w:pPr>
          </w:p>
        </w:tc>
        <w:tc>
          <w:tcPr>
            <w:tcW w:w="420" w:type="dxa"/>
            <w:vAlign w:val="bottom"/>
            <w:shd w:val="clear" w:color="auto" w:fill="7A04DD"/>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400" w:type="dxa"/>
            <w:vAlign w:val="bottom"/>
            <w:shd w:val="clear" w:color="auto" w:fill="7A04DD"/>
          </w:tcPr>
          <w:p>
            <w:pPr>
              <w:spacing w:after="0" w:line="20" w:lineRule="exact"/>
              <w:rPr>
                <w:sz w:val="1"/>
                <w:szCs w:val="1"/>
                <w:color w:val="auto"/>
              </w:rPr>
            </w:pPr>
          </w:p>
        </w:tc>
        <w:tc>
          <w:tcPr>
            <w:tcW w:w="680" w:type="dxa"/>
            <w:vAlign w:val="bottom"/>
            <w:shd w:val="clear" w:color="auto" w:fill="7A04DD"/>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140" w:type="dxa"/>
            <w:vAlign w:val="bottom"/>
            <w:gridSpan w:val="2"/>
            <w:shd w:val="clear" w:color="auto" w:fill="7A04DD"/>
          </w:tcPr>
          <w:p>
            <w:pPr>
              <w:spacing w:after="0" w:line="20" w:lineRule="exact"/>
              <w:rPr>
                <w:sz w:val="1"/>
                <w:szCs w:val="1"/>
                <w:color w:val="auto"/>
              </w:rPr>
            </w:pPr>
          </w:p>
        </w:tc>
        <w:tc>
          <w:tcPr>
            <w:tcW w:w="1140" w:type="dxa"/>
            <w:vAlign w:val="bottom"/>
            <w:gridSpan w:val="2"/>
            <w:shd w:val="clear" w:color="auto" w:fill="7A04DD"/>
          </w:tcPr>
          <w:p>
            <w:pPr>
              <w:spacing w:after="0" w:line="20" w:lineRule="exact"/>
              <w:rPr>
                <w:sz w:val="1"/>
                <w:szCs w:val="1"/>
                <w:color w:val="auto"/>
              </w:rPr>
            </w:pPr>
          </w:p>
        </w:tc>
        <w:tc>
          <w:tcPr>
            <w:tcW w:w="5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120" w:type="dxa"/>
            <w:vAlign w:val="bottom"/>
            <w:gridSpan w:val="2"/>
            <w:shd w:val="clear" w:color="auto" w:fill="7A04DD"/>
          </w:tcPr>
          <w:p>
            <w:pPr>
              <w:spacing w:after="0" w:line="20" w:lineRule="exact"/>
              <w:rPr>
                <w:sz w:val="1"/>
                <w:szCs w:val="1"/>
                <w:color w:val="auto"/>
              </w:rPr>
            </w:pPr>
          </w:p>
        </w:tc>
        <w:tc>
          <w:tcPr>
            <w:tcW w:w="200" w:type="dxa"/>
            <w:vAlign w:val="bottom"/>
            <w:shd w:val="clear" w:color="auto" w:fill="EBFBFF"/>
          </w:tcPr>
          <w:p>
            <w:pPr>
              <w:spacing w:after="0" w:line="20" w:lineRule="exact"/>
              <w:rPr>
                <w:sz w:val="1"/>
                <w:szCs w:val="1"/>
                <w:color w:val="auto"/>
              </w:rPr>
            </w:pPr>
          </w:p>
        </w:tc>
        <w:tc>
          <w:tcPr>
            <w:tcW w:w="80" w:type="dxa"/>
            <w:vAlign w:val="bottom"/>
            <w:gridSpan w:val="2"/>
            <w:shd w:val="clear" w:color="auto" w:fill="EBFBFF"/>
          </w:tcPr>
          <w:p>
            <w:pPr>
              <w:spacing w:after="0" w:line="20" w:lineRule="exact"/>
              <w:rPr>
                <w:sz w:val="1"/>
                <w:szCs w:val="1"/>
                <w:color w:val="auto"/>
              </w:rPr>
            </w:pPr>
          </w:p>
        </w:tc>
        <w:tc>
          <w:tcPr>
            <w:tcW w:w="20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140" w:type="dxa"/>
            <w:vAlign w:val="bottom"/>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600" w:type="dxa"/>
            <w:vAlign w:val="bottom"/>
            <w:shd w:val="clear" w:color="auto" w:fill="EBFBFF"/>
          </w:tcPr>
          <w:p>
            <w:pPr>
              <w:spacing w:after="0" w:line="20" w:lineRule="exact"/>
              <w:rPr>
                <w:sz w:val="1"/>
                <w:szCs w:val="1"/>
                <w:color w:val="auto"/>
              </w:rPr>
            </w:pPr>
          </w:p>
        </w:tc>
        <w:tc>
          <w:tcPr>
            <w:tcW w:w="1140" w:type="dxa"/>
            <w:vAlign w:val="bottom"/>
            <w:shd w:val="clear" w:color="auto" w:fill="EBFBFF"/>
          </w:tcPr>
          <w:p>
            <w:pPr>
              <w:spacing w:after="0" w:line="20" w:lineRule="exact"/>
              <w:rPr>
                <w:sz w:val="1"/>
                <w:szCs w:val="1"/>
                <w:color w:val="auto"/>
              </w:rPr>
            </w:pPr>
          </w:p>
        </w:tc>
        <w:tc>
          <w:tcPr>
            <w:tcW w:w="90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tcBorders>
            <w:shd w:val="clear" w:color="auto" w:fill="EBFBFF"/>
          </w:tcPr>
          <w:p>
            <w:pPr>
              <w:spacing w:after="0"/>
              <w:rPr>
                <w:sz w:val="17"/>
                <w:szCs w:val="17"/>
                <w:color w:val="auto"/>
              </w:rPr>
            </w:pPr>
          </w:p>
        </w:tc>
        <w:tc>
          <w:tcPr>
            <w:tcW w:w="30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480" w:type="dxa"/>
            <w:vAlign w:val="bottom"/>
            <w:tcBorders>
              <w:bottom w:val="single" w:sz="8" w:color="7A04DD"/>
            </w:tcBorders>
            <w:gridSpan w:val="18"/>
            <w:shd w:val="clear" w:color="auto" w:fill="EBFBFF"/>
          </w:tcPr>
          <w:p>
            <w:pPr>
              <w:spacing w:after="0" w:line="196" w:lineRule="exact"/>
              <w:rPr>
                <w:rFonts w:ascii="Calibri" w:cs="Calibri" w:eastAsia="Calibri" w:hAnsi="Calibri"/>
                <w:sz w:val="18"/>
                <w:szCs w:val="18"/>
                <w:color w:val="7A04DD"/>
                <w:w w:val="96"/>
              </w:rPr>
            </w:pPr>
            <w:hyperlink r:id="rId538">
              <w:r>
                <w:rPr>
                  <w:rFonts w:ascii="Calibri" w:cs="Calibri" w:eastAsia="Calibri" w:hAnsi="Calibri"/>
                  <w:sz w:val="18"/>
                  <w:szCs w:val="18"/>
                  <w:color w:val="7A04DD"/>
                  <w:w w:val="96"/>
                </w:rPr>
                <w:t>between Blackbaud, Inc. and each of Anthony W. Boor, David J.</w:t>
              </w:r>
            </w:hyperlink>
          </w:p>
        </w:tc>
        <w:tc>
          <w:tcPr>
            <w:tcW w:w="300" w:type="dxa"/>
            <w:vAlign w:val="bottom"/>
            <w:tcBorders>
              <w:bottom w:val="single" w:sz="8" w:color="EBFBFF"/>
            </w:tcBorders>
            <w:gridSpan w:val="4"/>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600" w:type="dxa"/>
            <w:vAlign w:val="bottom"/>
            <w:tcBorders>
              <w:bottom w:val="single" w:sz="8" w:color="EBFBFF"/>
            </w:tcBorders>
            <w:shd w:val="clear" w:color="auto" w:fill="EBFBFF"/>
          </w:tcPr>
          <w:p>
            <w:pPr>
              <w:spacing w:after="0"/>
              <w:rPr>
                <w:sz w:val="17"/>
                <w:szCs w:val="17"/>
                <w:color w:val="auto"/>
              </w:rPr>
            </w:pPr>
          </w:p>
        </w:tc>
        <w:tc>
          <w:tcPr>
            <w:tcW w:w="114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30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196" w:lineRule="exact"/>
              <w:rPr>
                <w:rFonts w:ascii="Calibri" w:cs="Calibri" w:eastAsia="Calibri" w:hAnsi="Calibri"/>
                <w:sz w:val="18"/>
                <w:szCs w:val="18"/>
                <w:color w:val="7A04DD"/>
                <w:w w:val="98"/>
              </w:rPr>
            </w:pPr>
            <w:hyperlink r:id="rId538">
              <w:r>
                <w:rPr>
                  <w:rFonts w:ascii="Calibri" w:cs="Calibri" w:eastAsia="Calibri" w:hAnsi="Calibri"/>
                  <w:sz w:val="18"/>
                  <w:szCs w:val="18"/>
                  <w:color w:val="7A04DD"/>
                  <w:w w:val="98"/>
                </w:rPr>
                <w:t>Benjamin, Kevin P. Gregoire, Kevin R. McDearis, Kevin W. Mooney</w:t>
              </w:r>
            </w:hyperlink>
          </w:p>
        </w:tc>
        <w:tc>
          <w:tcPr>
            <w:tcW w:w="1200" w:type="dxa"/>
            <w:vAlign w:val="bottom"/>
            <w:shd w:val="clear" w:color="auto" w:fill="EBFBFF"/>
          </w:tcPr>
          <w:p>
            <w:pPr>
              <w:spacing w:after="0"/>
              <w:rPr>
                <w:sz w:val="17"/>
                <w:szCs w:val="17"/>
                <w:color w:val="auto"/>
              </w:rPr>
            </w:pPr>
          </w:p>
        </w:tc>
        <w:tc>
          <w:tcPr>
            <w:tcW w:w="1600" w:type="dxa"/>
            <w:vAlign w:val="bottom"/>
            <w:shd w:val="clear" w:color="auto" w:fill="EBFBFF"/>
          </w:tcPr>
          <w:p>
            <w:pPr>
              <w:spacing w:after="0"/>
              <w:rPr>
                <w:sz w:val="17"/>
                <w:szCs w:val="17"/>
                <w:color w:val="auto"/>
              </w:rPr>
            </w:pPr>
          </w:p>
        </w:tc>
        <w:tc>
          <w:tcPr>
            <w:tcW w:w="114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30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640" w:type="dxa"/>
            <w:vAlign w:val="bottom"/>
            <w:tcBorders>
              <w:top w:val="single" w:sz="8" w:color="7A04DD"/>
            </w:tcBorders>
            <w:gridSpan w:val="21"/>
            <w:shd w:val="clear" w:color="auto" w:fill="EBFBFF"/>
          </w:tcPr>
          <w:p>
            <w:pPr>
              <w:spacing w:after="0" w:line="196" w:lineRule="exact"/>
              <w:rPr>
                <w:rFonts w:ascii="Calibri" w:cs="Calibri" w:eastAsia="Calibri" w:hAnsi="Calibri"/>
                <w:sz w:val="18"/>
                <w:szCs w:val="18"/>
                <w:color w:val="7A04DD"/>
              </w:rPr>
            </w:pPr>
            <w:hyperlink r:id="rId538">
              <w:r>
                <w:rPr>
                  <w:rFonts w:ascii="Calibri" w:cs="Calibri" w:eastAsia="Calibri" w:hAnsi="Calibri"/>
                  <w:sz w:val="18"/>
                  <w:szCs w:val="18"/>
                  <w:color w:val="7A04DD"/>
                </w:rPr>
                <w:t>and Jon W. Olson</w:t>
              </w:r>
            </w:hyperlink>
          </w:p>
        </w:tc>
        <w:tc>
          <w:tcPr>
            <w:tcW w:w="140" w:type="dxa"/>
            <w:vAlign w:val="bottom"/>
            <w:tcBorders>
              <w:top w:val="single" w:sz="8" w:color="EBFBFF"/>
            </w:tcBorders>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4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5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540" w:type="dxa"/>
            <w:vAlign w:val="bottom"/>
          </w:tcPr>
          <w:p>
            <w:pPr>
              <w:spacing w:after="0"/>
              <w:rPr>
                <w:sz w:val="16"/>
                <w:szCs w:val="16"/>
                <w:color w:val="auto"/>
              </w:rPr>
            </w:pPr>
          </w:p>
        </w:tc>
        <w:tc>
          <w:tcPr>
            <w:tcW w:w="400" w:type="dxa"/>
            <w:vAlign w:val="bottom"/>
            <w:gridSpan w:val="2"/>
          </w:tcPr>
          <w:p>
            <w:pPr>
              <w:jc w:val="right"/>
              <w:spacing w:after="0" w:line="189" w:lineRule="exact"/>
              <w:rPr>
                <w:rFonts w:ascii="Calibri" w:cs="Calibri" w:eastAsia="Calibri" w:hAnsi="Calibri"/>
                <w:sz w:val="18"/>
                <w:szCs w:val="18"/>
                <w:color w:val="7A04DD"/>
                <w:w w:val="97"/>
              </w:rPr>
            </w:pPr>
            <w:hyperlink r:id="rId539">
              <w:r>
                <w:rPr>
                  <w:rFonts w:ascii="Calibri" w:cs="Calibri" w:eastAsia="Calibri" w:hAnsi="Calibri"/>
                  <w:sz w:val="18"/>
                  <w:szCs w:val="18"/>
                  <w:color w:val="7A04DD"/>
                  <w:w w:val="97"/>
                </w:rPr>
                <w:t>10.</w:t>
              </w:r>
              <w:r>
                <w:rPr>
                  <w:rFonts w:ascii="Calibri" w:cs="Calibri" w:eastAsia="Calibri" w:hAnsi="Calibri"/>
                  <w:sz w:val="18"/>
                  <w:szCs w:val="18"/>
                  <w:u w:val="single" w:color="auto"/>
                  <w:color w:val="7A04DD"/>
                  <w:w w:val="97"/>
                </w:rPr>
                <w:t>29</w:t>
              </w:r>
            </w:hyperlink>
          </w:p>
        </w:tc>
        <w:tc>
          <w:tcPr>
            <w:tcW w:w="680" w:type="dxa"/>
            <w:vAlign w:val="bottom"/>
          </w:tcPr>
          <w:p>
            <w:pPr>
              <w:spacing w:after="0"/>
              <w:rPr>
                <w:sz w:val="16"/>
                <w:szCs w:val="16"/>
                <w:color w:val="auto"/>
              </w:rPr>
            </w:pPr>
          </w:p>
        </w:tc>
        <w:tc>
          <w:tcPr>
            <w:tcW w:w="4780" w:type="dxa"/>
            <w:vAlign w:val="bottom"/>
            <w:gridSpan w:val="22"/>
          </w:tcPr>
          <w:p>
            <w:pPr>
              <w:spacing w:after="0" w:line="189" w:lineRule="exact"/>
              <w:rPr>
                <w:rFonts w:ascii="Calibri" w:cs="Calibri" w:eastAsia="Calibri" w:hAnsi="Calibri"/>
                <w:sz w:val="18"/>
                <w:szCs w:val="18"/>
                <w:color w:val="7A04DD"/>
              </w:rPr>
            </w:pPr>
            <w:hyperlink r:id="rId539">
              <w:r>
                <w:rPr>
                  <w:rFonts w:ascii="Calibri" w:cs="Calibri" w:eastAsia="Calibri" w:hAnsi="Calibri"/>
                  <w:sz w:val="18"/>
                  <w:szCs w:val="18"/>
                  <w:color w:val="7A04DD"/>
                </w:rPr>
                <w:t>Relocaton Agreement dated June 8, 2023 between Blackbaud,</w:t>
              </w:r>
            </w:hyperlink>
          </w:p>
        </w:tc>
        <w:tc>
          <w:tcPr>
            <w:tcW w:w="1200" w:type="dxa"/>
            <w:vAlign w:val="bottom"/>
          </w:tcPr>
          <w:p>
            <w:pPr>
              <w:jc w:val="center"/>
              <w:ind w:right="15"/>
              <w:spacing w:after="0" w:line="189" w:lineRule="exact"/>
              <w:rPr>
                <w:sz w:val="20"/>
                <w:szCs w:val="20"/>
                <w:color w:val="auto"/>
              </w:rPr>
            </w:pPr>
            <w:r>
              <w:rPr>
                <w:rFonts w:ascii="Calibri" w:cs="Calibri" w:eastAsia="Calibri" w:hAnsi="Calibri"/>
                <w:sz w:val="18"/>
                <w:szCs w:val="18"/>
                <w:color w:val="51555C"/>
                <w:w w:val="91"/>
              </w:rPr>
              <w:t>8-K</w:t>
            </w:r>
          </w:p>
        </w:tc>
        <w:tc>
          <w:tcPr>
            <w:tcW w:w="1600" w:type="dxa"/>
            <w:vAlign w:val="bottom"/>
          </w:tcPr>
          <w:p>
            <w:pPr>
              <w:jc w:val="right"/>
              <w:ind w:right="275"/>
              <w:spacing w:after="0" w:line="189" w:lineRule="exact"/>
              <w:rPr>
                <w:sz w:val="20"/>
                <w:szCs w:val="20"/>
                <w:color w:val="auto"/>
              </w:rPr>
            </w:pPr>
            <w:r>
              <w:rPr>
                <w:rFonts w:ascii="Calibri" w:cs="Calibri" w:eastAsia="Calibri" w:hAnsi="Calibri"/>
                <w:sz w:val="18"/>
                <w:szCs w:val="18"/>
                <w:color w:val="51555C"/>
              </w:rPr>
              <w:t>6/12/2023</w:t>
            </w:r>
          </w:p>
        </w:tc>
        <w:tc>
          <w:tcPr>
            <w:tcW w:w="1140" w:type="dxa"/>
            <w:vAlign w:val="bottom"/>
          </w:tcPr>
          <w:p>
            <w:pPr>
              <w:jc w:val="right"/>
              <w:ind w:right="35"/>
              <w:spacing w:after="0" w:line="189" w:lineRule="exact"/>
              <w:rPr>
                <w:sz w:val="20"/>
                <w:szCs w:val="20"/>
                <w:color w:val="auto"/>
              </w:rPr>
            </w:pPr>
            <w:r>
              <w:rPr>
                <w:rFonts w:ascii="Calibri" w:cs="Calibri" w:eastAsia="Calibri" w:hAnsi="Calibri"/>
                <w:sz w:val="18"/>
                <w:szCs w:val="18"/>
                <w:color w:val="51555C"/>
              </w:rPr>
              <w:t>10.1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100" w:type="dxa"/>
            <w:vAlign w:val="bottom"/>
            <w:tcBorders>
              <w:top w:val="single" w:sz="8" w:color="7A04DD"/>
            </w:tcBorders>
          </w:tcPr>
          <w:p>
            <w:pPr>
              <w:spacing w:after="0"/>
              <w:rPr>
                <w:sz w:val="17"/>
                <w:szCs w:val="17"/>
                <w:color w:val="auto"/>
              </w:rPr>
            </w:pPr>
          </w:p>
        </w:tc>
        <w:tc>
          <w:tcPr>
            <w:tcW w:w="3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460" w:type="dxa"/>
            <w:vAlign w:val="bottom"/>
            <w:tcBorders>
              <w:top w:val="single" w:sz="8" w:color="7A04DD"/>
            </w:tcBorders>
            <w:gridSpan w:val="17"/>
          </w:tcPr>
          <w:p>
            <w:pPr>
              <w:spacing w:after="0" w:line="196" w:lineRule="exact"/>
              <w:rPr>
                <w:rFonts w:ascii="Calibri" w:cs="Calibri" w:eastAsia="Calibri" w:hAnsi="Calibri"/>
                <w:sz w:val="18"/>
                <w:szCs w:val="18"/>
                <w:color w:val="7A04DD"/>
              </w:rPr>
            </w:pPr>
            <w:hyperlink r:id="rId539">
              <w:r>
                <w:rPr>
                  <w:rFonts w:ascii="Calibri" w:cs="Calibri" w:eastAsia="Calibri" w:hAnsi="Calibri"/>
                  <w:sz w:val="18"/>
                  <w:szCs w:val="18"/>
                  <w:color w:val="7A04DD"/>
                </w:rPr>
                <w:t>Inc. and David J. Benjamin.</w:t>
              </w:r>
            </w:hyperlink>
          </w:p>
        </w:tc>
        <w:tc>
          <w:tcPr>
            <w:tcW w:w="32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680" w:type="dxa"/>
            <w:vAlign w:val="bottom"/>
            <w:tcBorders>
              <w:top w:val="single" w:sz="8" w:color="7A04DD"/>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shd w:val="clear" w:color="auto" w:fill="EBFBFF"/>
          </w:tcPr>
          <w:p>
            <w:pPr>
              <w:jc w:val="right"/>
              <w:spacing w:after="0" w:line="189" w:lineRule="exact"/>
              <w:rPr>
                <w:sz w:val="20"/>
                <w:szCs w:val="20"/>
                <w:color w:val="auto"/>
              </w:rPr>
            </w:pPr>
            <w:r>
              <w:rPr>
                <w:rFonts w:ascii="Calibri" w:cs="Calibri" w:eastAsia="Calibri" w:hAnsi="Calibri"/>
                <w:sz w:val="18"/>
                <w:szCs w:val="18"/>
                <w:color w:val="7A04DD"/>
              </w:rPr>
              <w:t>21.</w:t>
            </w:r>
            <w:r>
              <w:rPr>
                <w:rFonts w:ascii="Calibri" w:cs="Calibri" w:eastAsia="Calibri" w:hAnsi="Calibri"/>
                <w:sz w:val="18"/>
                <w:szCs w:val="18"/>
                <w:u w:val="single" w:color="auto"/>
                <w:color w:val="7A04DD"/>
              </w:rPr>
              <w:t>1</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sz w:val="20"/>
                <w:szCs w:val="20"/>
                <w:color w:val="auto"/>
              </w:rPr>
            </w:pPr>
            <w:r>
              <w:rPr>
                <w:rFonts w:ascii="Calibri" w:cs="Calibri" w:eastAsia="Calibri" w:hAnsi="Calibri"/>
                <w:sz w:val="18"/>
                <w:szCs w:val="18"/>
                <w:color w:val="7A04DD"/>
              </w:rPr>
              <w:t>Subsidiaries of Blackbaud, Inc.</w:t>
            </w:r>
          </w:p>
        </w:tc>
        <w:tc>
          <w:tcPr>
            <w:tcW w:w="1200" w:type="dxa"/>
            <w:vAlign w:val="bottom"/>
            <w:shd w:val="clear" w:color="auto" w:fill="EBFBFF"/>
          </w:tcPr>
          <w:p>
            <w:pPr>
              <w:spacing w:after="0"/>
              <w:rPr>
                <w:sz w:val="16"/>
                <w:szCs w:val="16"/>
                <w:color w:val="auto"/>
              </w:rPr>
            </w:pPr>
          </w:p>
        </w:tc>
        <w:tc>
          <w:tcPr>
            <w:tcW w:w="1600" w:type="dxa"/>
            <w:vAlign w:val="bottom"/>
            <w:shd w:val="clear" w:color="auto" w:fill="EBFBFF"/>
          </w:tcPr>
          <w:p>
            <w:pPr>
              <w:spacing w:after="0"/>
              <w:rPr>
                <w:sz w:val="16"/>
                <w:szCs w:val="16"/>
                <w:color w:val="auto"/>
              </w:rPr>
            </w:pPr>
          </w:p>
        </w:tc>
        <w:tc>
          <w:tcPr>
            <w:tcW w:w="1140" w:type="dxa"/>
            <w:vAlign w:val="bottom"/>
            <w:shd w:val="clear" w:color="auto" w:fill="EBFBFF"/>
          </w:tcPr>
          <w:p>
            <w:pPr>
              <w:spacing w:after="0"/>
              <w:rPr>
                <w:sz w:val="16"/>
                <w:szCs w:val="16"/>
                <w:color w:val="auto"/>
              </w:rPr>
            </w:pPr>
          </w:p>
        </w:tc>
        <w:tc>
          <w:tcPr>
            <w:tcW w:w="900" w:type="dxa"/>
            <w:vAlign w:val="bottom"/>
            <w:shd w:val="clear" w:color="auto" w:fill="EBFBFF"/>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5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tcPr>
          <w:p>
            <w:pPr>
              <w:jc w:val="right"/>
              <w:spacing w:after="0" w:line="189" w:lineRule="exact"/>
              <w:rPr>
                <w:sz w:val="20"/>
                <w:szCs w:val="20"/>
                <w:color w:val="auto"/>
              </w:rPr>
            </w:pPr>
            <w:r>
              <w:rPr>
                <w:rFonts w:ascii="Calibri" w:cs="Calibri" w:eastAsia="Calibri" w:hAnsi="Calibri"/>
                <w:sz w:val="18"/>
                <w:szCs w:val="18"/>
                <w:color w:val="7A04DD"/>
              </w:rPr>
              <w:t>23.</w:t>
            </w:r>
            <w:r>
              <w:rPr>
                <w:rFonts w:ascii="Calibri" w:cs="Calibri" w:eastAsia="Calibri" w:hAnsi="Calibri"/>
                <w:sz w:val="18"/>
                <w:szCs w:val="18"/>
                <w:u w:val="single" w:color="auto"/>
                <w:color w:val="7A04DD"/>
              </w:rPr>
              <w:t>1</w:t>
            </w:r>
          </w:p>
        </w:tc>
        <w:tc>
          <w:tcPr>
            <w:tcW w:w="680" w:type="dxa"/>
            <w:vAlign w:val="bottom"/>
          </w:tcPr>
          <w:p>
            <w:pPr>
              <w:spacing w:after="0"/>
              <w:rPr>
                <w:sz w:val="16"/>
                <w:szCs w:val="16"/>
                <w:color w:val="auto"/>
              </w:rPr>
            </w:pPr>
          </w:p>
        </w:tc>
        <w:tc>
          <w:tcPr>
            <w:tcW w:w="4780" w:type="dxa"/>
            <w:vAlign w:val="bottom"/>
            <w:gridSpan w:val="22"/>
          </w:tcPr>
          <w:p>
            <w:pPr>
              <w:spacing w:after="0" w:line="189" w:lineRule="exact"/>
              <w:rPr>
                <w:sz w:val="20"/>
                <w:szCs w:val="20"/>
                <w:color w:val="auto"/>
              </w:rPr>
            </w:pPr>
            <w:r>
              <w:rPr>
                <w:rFonts w:ascii="Calibri" w:cs="Calibri" w:eastAsia="Calibri" w:hAnsi="Calibri"/>
                <w:sz w:val="18"/>
                <w:szCs w:val="18"/>
                <w:color w:val="7A04DD"/>
              </w:rPr>
              <w:t>Consent of Independent Registered Public Accountng Firm</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680" w:type="dxa"/>
            <w:vAlign w:val="bottom"/>
            <w:tcBorders>
              <w:top w:val="single" w:sz="8" w:color="7A04DD"/>
            </w:tcBorders>
          </w:tcPr>
          <w:p>
            <w:pPr>
              <w:spacing w:after="0"/>
              <w:rPr>
                <w:sz w:val="5"/>
                <w:szCs w:val="5"/>
                <w:color w:val="auto"/>
              </w:rPr>
            </w:pPr>
          </w:p>
        </w:tc>
        <w:tc>
          <w:tcPr>
            <w:tcW w:w="100" w:type="dxa"/>
            <w:vAlign w:val="bottom"/>
            <w:tcBorders>
              <w:top w:val="single" w:sz="8" w:color="7A04DD"/>
            </w:tcBorders>
          </w:tcPr>
          <w:p>
            <w:pPr>
              <w:spacing w:after="0"/>
              <w:rPr>
                <w:sz w:val="5"/>
                <w:szCs w:val="5"/>
                <w:color w:val="auto"/>
              </w:rPr>
            </w:pPr>
          </w:p>
        </w:tc>
        <w:tc>
          <w:tcPr>
            <w:tcW w:w="60" w:type="dxa"/>
            <w:vAlign w:val="bottom"/>
            <w:tcBorders>
              <w:top w:val="single" w:sz="8" w:color="7A04DD"/>
            </w:tcBorders>
          </w:tcPr>
          <w:p>
            <w:pPr>
              <w:spacing w:after="0"/>
              <w:rPr>
                <w:sz w:val="5"/>
                <w:szCs w:val="5"/>
                <w:color w:val="auto"/>
              </w:rPr>
            </w:pPr>
          </w:p>
        </w:tc>
        <w:tc>
          <w:tcPr>
            <w:tcW w:w="80" w:type="dxa"/>
            <w:vAlign w:val="bottom"/>
            <w:tcBorders>
              <w:top w:val="single" w:sz="8" w:color="7A04DD"/>
            </w:tcBorders>
          </w:tcPr>
          <w:p>
            <w:pPr>
              <w:spacing w:after="0"/>
              <w:rPr>
                <w:sz w:val="5"/>
                <w:szCs w:val="5"/>
                <w:color w:val="auto"/>
              </w:rPr>
            </w:pPr>
          </w:p>
        </w:tc>
        <w:tc>
          <w:tcPr>
            <w:tcW w:w="84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540" w:type="dxa"/>
            <w:vAlign w:val="bottom"/>
            <w:tcBorders>
              <w:top w:val="single" w:sz="8" w:color="7A04DD"/>
            </w:tcBorders>
          </w:tcPr>
          <w:p>
            <w:pPr>
              <w:spacing w:after="0"/>
              <w:rPr>
                <w:sz w:val="5"/>
                <w:szCs w:val="5"/>
                <w:color w:val="auto"/>
              </w:rPr>
            </w:pPr>
          </w:p>
        </w:tc>
        <w:tc>
          <w:tcPr>
            <w:tcW w:w="40" w:type="dxa"/>
            <w:vAlign w:val="bottom"/>
            <w:tcBorders>
              <w:top w:val="single" w:sz="8" w:color="7A04DD"/>
            </w:tcBorders>
          </w:tcPr>
          <w:p>
            <w:pPr>
              <w:spacing w:after="0"/>
              <w:rPr>
                <w:sz w:val="5"/>
                <w:szCs w:val="5"/>
                <w:color w:val="auto"/>
              </w:rPr>
            </w:pPr>
          </w:p>
        </w:tc>
        <w:tc>
          <w:tcPr>
            <w:tcW w:w="100" w:type="dxa"/>
            <w:vAlign w:val="bottom"/>
            <w:tcBorders>
              <w:top w:val="single" w:sz="8" w:color="7A04DD"/>
            </w:tcBorders>
          </w:tcPr>
          <w:p>
            <w:pPr>
              <w:spacing w:after="0"/>
              <w:rPr>
                <w:sz w:val="5"/>
                <w:szCs w:val="5"/>
                <w:color w:val="auto"/>
              </w:rPr>
            </w:pPr>
          </w:p>
        </w:tc>
        <w:tc>
          <w:tcPr>
            <w:tcW w:w="20" w:type="dxa"/>
            <w:vAlign w:val="bottom"/>
            <w:tcBorders>
              <w:top w:val="single" w:sz="8" w:color="7A04DD"/>
            </w:tcBorders>
          </w:tcPr>
          <w:p>
            <w:pPr>
              <w:spacing w:after="0"/>
              <w:rPr>
                <w:sz w:val="5"/>
                <w:szCs w:val="5"/>
                <w:color w:val="auto"/>
              </w:rPr>
            </w:pPr>
          </w:p>
        </w:tc>
        <w:tc>
          <w:tcPr>
            <w:tcW w:w="200" w:type="dxa"/>
            <w:vAlign w:val="bottom"/>
            <w:tcBorders>
              <w:top w:val="single" w:sz="8" w:color="7A04DD"/>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shd w:val="clear" w:color="auto" w:fill="EBFBFF"/>
          </w:tcPr>
          <w:p>
            <w:pPr>
              <w:jc w:val="right"/>
              <w:spacing w:after="0" w:line="189" w:lineRule="exact"/>
              <w:rPr>
                <w:sz w:val="20"/>
                <w:szCs w:val="20"/>
                <w:color w:val="auto"/>
              </w:rPr>
            </w:pPr>
            <w:r>
              <w:rPr>
                <w:rFonts w:ascii="Calibri" w:cs="Calibri" w:eastAsia="Calibri" w:hAnsi="Calibri"/>
                <w:sz w:val="18"/>
                <w:szCs w:val="18"/>
                <w:color w:val="7A04DD"/>
              </w:rPr>
              <w:t>23.</w:t>
            </w:r>
            <w:r>
              <w:rPr>
                <w:rFonts w:ascii="Calibri" w:cs="Calibri" w:eastAsia="Calibri" w:hAnsi="Calibri"/>
                <w:sz w:val="18"/>
                <w:szCs w:val="18"/>
                <w:u w:val="single" w:color="auto"/>
                <w:color w:val="7A04DD"/>
              </w:rPr>
              <w:t>2</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sz w:val="20"/>
                <w:szCs w:val="20"/>
                <w:color w:val="auto"/>
              </w:rPr>
            </w:pPr>
            <w:r>
              <w:rPr>
                <w:rFonts w:ascii="Calibri" w:cs="Calibri" w:eastAsia="Calibri" w:hAnsi="Calibri"/>
                <w:sz w:val="18"/>
                <w:szCs w:val="18"/>
                <w:color w:val="7A04DD"/>
              </w:rPr>
              <w:t>Consent of Independent Registered Public Accountng Firm</w:t>
            </w:r>
          </w:p>
        </w:tc>
        <w:tc>
          <w:tcPr>
            <w:tcW w:w="1200" w:type="dxa"/>
            <w:vAlign w:val="bottom"/>
            <w:shd w:val="clear" w:color="auto" w:fill="EBFBFF"/>
          </w:tcPr>
          <w:p>
            <w:pPr>
              <w:spacing w:after="0"/>
              <w:rPr>
                <w:sz w:val="16"/>
                <w:szCs w:val="16"/>
                <w:color w:val="auto"/>
              </w:rPr>
            </w:pPr>
          </w:p>
        </w:tc>
        <w:tc>
          <w:tcPr>
            <w:tcW w:w="1600" w:type="dxa"/>
            <w:vAlign w:val="bottom"/>
            <w:shd w:val="clear" w:color="auto" w:fill="EBFBFF"/>
          </w:tcPr>
          <w:p>
            <w:pPr>
              <w:spacing w:after="0"/>
              <w:rPr>
                <w:sz w:val="16"/>
                <w:szCs w:val="16"/>
                <w:color w:val="auto"/>
              </w:rPr>
            </w:pPr>
          </w:p>
        </w:tc>
        <w:tc>
          <w:tcPr>
            <w:tcW w:w="1140" w:type="dxa"/>
            <w:vAlign w:val="bottom"/>
            <w:shd w:val="clear" w:color="auto" w:fill="EBFBFF"/>
          </w:tcPr>
          <w:p>
            <w:pPr>
              <w:spacing w:after="0"/>
              <w:rPr>
                <w:sz w:val="16"/>
                <w:szCs w:val="16"/>
                <w:color w:val="auto"/>
              </w:rPr>
            </w:pPr>
          </w:p>
        </w:tc>
        <w:tc>
          <w:tcPr>
            <w:tcW w:w="900" w:type="dxa"/>
            <w:vAlign w:val="bottom"/>
            <w:shd w:val="clear" w:color="auto" w:fill="EBFBFF"/>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540" w:type="dxa"/>
            <w:vAlign w:val="bottom"/>
            <w:tcBorders>
              <w:top w:val="single" w:sz="8" w:color="7A04DD"/>
            </w:tcBorders>
            <w:shd w:val="clear" w:color="auto" w:fill="EBFBFF"/>
          </w:tcPr>
          <w:p>
            <w:pPr>
              <w:spacing w:after="0"/>
              <w:rPr>
                <w:sz w:val="5"/>
                <w:szCs w:val="5"/>
                <w:color w:val="auto"/>
              </w:rPr>
            </w:pPr>
          </w:p>
        </w:tc>
        <w:tc>
          <w:tcPr>
            <w:tcW w:w="4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20" w:type="dxa"/>
            <w:vAlign w:val="bottom"/>
            <w:tcBorders>
              <w:top w:val="single" w:sz="8" w:color="7A04DD"/>
            </w:tcBorders>
            <w:shd w:val="clear" w:color="auto" w:fill="EBFBFF"/>
          </w:tcPr>
          <w:p>
            <w:pPr>
              <w:spacing w:after="0"/>
              <w:rPr>
                <w:sz w:val="5"/>
                <w:szCs w:val="5"/>
                <w:color w:val="auto"/>
              </w:rPr>
            </w:pPr>
          </w:p>
        </w:tc>
        <w:tc>
          <w:tcPr>
            <w:tcW w:w="2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tcPr>
          <w:p>
            <w:pPr>
              <w:jc w:val="right"/>
              <w:spacing w:after="0" w:line="189" w:lineRule="exact"/>
              <w:rPr>
                <w:rFonts w:ascii="Calibri" w:cs="Calibri" w:eastAsia="Calibri" w:hAnsi="Calibri"/>
                <w:sz w:val="18"/>
                <w:szCs w:val="18"/>
                <w:color w:val="7A04DD"/>
              </w:rPr>
            </w:pPr>
            <w:hyperlink r:id="rId540">
              <w:r>
                <w:rPr>
                  <w:rFonts w:ascii="Calibri" w:cs="Calibri" w:eastAsia="Calibri" w:hAnsi="Calibri"/>
                  <w:sz w:val="18"/>
                  <w:szCs w:val="18"/>
                  <w:color w:val="7A04DD"/>
                </w:rPr>
                <w:t>23.</w:t>
              </w:r>
              <w:r>
                <w:rPr>
                  <w:rFonts w:ascii="Calibri" w:cs="Calibri" w:eastAsia="Calibri" w:hAnsi="Calibri"/>
                  <w:sz w:val="18"/>
                  <w:szCs w:val="18"/>
                  <w:u w:val="single" w:color="auto"/>
                  <w:color w:val="7A04DD"/>
                </w:rPr>
                <w:t>3</w:t>
              </w:r>
            </w:hyperlink>
          </w:p>
        </w:tc>
        <w:tc>
          <w:tcPr>
            <w:tcW w:w="680" w:type="dxa"/>
            <w:vAlign w:val="bottom"/>
          </w:tcPr>
          <w:p>
            <w:pPr>
              <w:spacing w:after="0"/>
              <w:rPr>
                <w:sz w:val="16"/>
                <w:szCs w:val="16"/>
                <w:color w:val="auto"/>
              </w:rPr>
            </w:pPr>
          </w:p>
        </w:tc>
        <w:tc>
          <w:tcPr>
            <w:tcW w:w="4780" w:type="dxa"/>
            <w:vAlign w:val="bottom"/>
            <w:gridSpan w:val="22"/>
          </w:tcPr>
          <w:p>
            <w:pPr>
              <w:spacing w:after="0" w:line="189" w:lineRule="exact"/>
              <w:rPr>
                <w:rFonts w:ascii="Calibri" w:cs="Calibri" w:eastAsia="Calibri" w:hAnsi="Calibri"/>
                <w:sz w:val="18"/>
                <w:szCs w:val="18"/>
                <w:color w:val="7A04DD"/>
              </w:rPr>
            </w:pPr>
            <w:hyperlink r:id="rId540">
              <w:r>
                <w:rPr>
                  <w:rFonts w:ascii="Calibri" w:cs="Calibri" w:eastAsia="Calibri" w:hAnsi="Calibri"/>
                  <w:sz w:val="18"/>
                  <w:szCs w:val="18"/>
                  <w:color w:val="7A04DD"/>
                </w:rPr>
                <w:t>Consent of Sidley Austn LLP</w:t>
              </w:r>
            </w:hyperlink>
          </w:p>
        </w:tc>
        <w:tc>
          <w:tcPr>
            <w:tcW w:w="1200" w:type="dxa"/>
            <w:vAlign w:val="bottom"/>
          </w:tcPr>
          <w:p>
            <w:pPr>
              <w:jc w:val="center"/>
              <w:ind w:right="15"/>
              <w:spacing w:after="0" w:line="189" w:lineRule="exact"/>
              <w:rPr>
                <w:sz w:val="20"/>
                <w:szCs w:val="20"/>
                <w:color w:val="auto"/>
              </w:rPr>
            </w:pPr>
            <w:r>
              <w:rPr>
                <w:rFonts w:ascii="Calibri" w:cs="Calibri" w:eastAsia="Calibri" w:hAnsi="Calibri"/>
                <w:sz w:val="18"/>
                <w:szCs w:val="18"/>
                <w:color w:val="51555C"/>
                <w:w w:val="91"/>
              </w:rPr>
              <w:t>8-K</w:t>
            </w:r>
          </w:p>
        </w:tc>
        <w:tc>
          <w:tcPr>
            <w:tcW w:w="1600" w:type="dxa"/>
            <w:vAlign w:val="bottom"/>
          </w:tcPr>
          <w:p>
            <w:pPr>
              <w:jc w:val="right"/>
              <w:ind w:right="275"/>
              <w:spacing w:after="0" w:line="189" w:lineRule="exact"/>
              <w:rPr>
                <w:sz w:val="20"/>
                <w:szCs w:val="20"/>
                <w:color w:val="auto"/>
              </w:rPr>
            </w:pPr>
            <w:r>
              <w:rPr>
                <w:rFonts w:ascii="Calibri" w:cs="Calibri" w:eastAsia="Calibri" w:hAnsi="Calibri"/>
                <w:sz w:val="18"/>
                <w:szCs w:val="18"/>
                <w:color w:val="51555C"/>
              </w:rPr>
              <w:t>4/1/2022</w:t>
            </w:r>
          </w:p>
        </w:tc>
        <w:tc>
          <w:tcPr>
            <w:tcW w:w="1140" w:type="dxa"/>
            <w:vAlign w:val="bottom"/>
          </w:tcPr>
          <w:p>
            <w:pPr>
              <w:jc w:val="right"/>
              <w:ind w:right="35"/>
              <w:spacing w:after="0" w:line="189" w:lineRule="exact"/>
              <w:rPr>
                <w:sz w:val="20"/>
                <w:szCs w:val="20"/>
                <w:color w:val="auto"/>
              </w:rPr>
            </w:pPr>
            <w:r>
              <w:rPr>
                <w:rFonts w:ascii="Calibri" w:cs="Calibri" w:eastAsia="Calibri" w:hAnsi="Calibri"/>
                <w:sz w:val="18"/>
                <w:szCs w:val="18"/>
                <w:color w:val="51555C"/>
              </w:rPr>
              <w:t>23.1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680" w:type="dxa"/>
            <w:vAlign w:val="bottom"/>
            <w:tcBorders>
              <w:top w:val="single" w:sz="8" w:color="7A04DD"/>
            </w:tcBorders>
          </w:tcPr>
          <w:p>
            <w:pPr>
              <w:spacing w:after="0"/>
              <w:rPr>
                <w:sz w:val="5"/>
                <w:szCs w:val="5"/>
                <w:color w:val="auto"/>
              </w:rPr>
            </w:pPr>
          </w:p>
        </w:tc>
        <w:tc>
          <w:tcPr>
            <w:tcW w:w="100" w:type="dxa"/>
            <w:vAlign w:val="bottom"/>
            <w:tcBorders>
              <w:top w:val="single" w:sz="8" w:color="7A04DD"/>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shd w:val="clear" w:color="auto" w:fill="EBFBFF"/>
          </w:tcPr>
          <w:p>
            <w:pPr>
              <w:jc w:val="right"/>
              <w:spacing w:after="0" w:line="189" w:lineRule="exact"/>
              <w:rPr>
                <w:sz w:val="20"/>
                <w:szCs w:val="20"/>
                <w:color w:val="auto"/>
              </w:rPr>
            </w:pPr>
            <w:r>
              <w:rPr>
                <w:rFonts w:ascii="Calibri" w:cs="Calibri" w:eastAsia="Calibri" w:hAnsi="Calibri"/>
                <w:sz w:val="18"/>
                <w:szCs w:val="18"/>
                <w:color w:val="7A04DD"/>
              </w:rPr>
              <w:t>31.</w:t>
            </w:r>
            <w:r>
              <w:rPr>
                <w:rFonts w:ascii="Calibri" w:cs="Calibri" w:eastAsia="Calibri" w:hAnsi="Calibri"/>
                <w:sz w:val="18"/>
                <w:szCs w:val="18"/>
                <w:u w:val="single" w:color="auto"/>
                <w:color w:val="7A04DD"/>
              </w:rPr>
              <w:t>1</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sz w:val="20"/>
                <w:szCs w:val="20"/>
                <w:color w:val="auto"/>
              </w:rPr>
            </w:pPr>
            <w:r>
              <w:rPr>
                <w:rFonts w:ascii="Calibri" w:cs="Calibri" w:eastAsia="Calibri" w:hAnsi="Calibri"/>
                <w:sz w:val="18"/>
                <w:szCs w:val="18"/>
                <w:color w:val="7A04DD"/>
              </w:rPr>
              <w:t>Certfcaton by the Chief Executve Ofcer pursuant to</w:t>
            </w:r>
          </w:p>
        </w:tc>
        <w:tc>
          <w:tcPr>
            <w:tcW w:w="1200" w:type="dxa"/>
            <w:vAlign w:val="bottom"/>
            <w:shd w:val="clear" w:color="auto" w:fill="EBFBFF"/>
          </w:tcPr>
          <w:p>
            <w:pPr>
              <w:spacing w:after="0"/>
              <w:rPr>
                <w:sz w:val="16"/>
                <w:szCs w:val="16"/>
                <w:color w:val="auto"/>
              </w:rPr>
            </w:pPr>
          </w:p>
        </w:tc>
        <w:tc>
          <w:tcPr>
            <w:tcW w:w="1600" w:type="dxa"/>
            <w:vAlign w:val="bottom"/>
            <w:shd w:val="clear" w:color="auto" w:fill="EBFBFF"/>
          </w:tcPr>
          <w:p>
            <w:pPr>
              <w:spacing w:after="0"/>
              <w:rPr>
                <w:sz w:val="16"/>
                <w:szCs w:val="16"/>
                <w:color w:val="auto"/>
              </w:rPr>
            </w:pPr>
          </w:p>
        </w:tc>
        <w:tc>
          <w:tcPr>
            <w:tcW w:w="1140" w:type="dxa"/>
            <w:vAlign w:val="bottom"/>
            <w:shd w:val="clear" w:color="auto" w:fill="EBFBFF"/>
          </w:tcPr>
          <w:p>
            <w:pPr>
              <w:spacing w:after="0"/>
              <w:rPr>
                <w:sz w:val="16"/>
                <w:szCs w:val="16"/>
                <w:color w:val="auto"/>
              </w:rPr>
            </w:pPr>
          </w:p>
        </w:tc>
        <w:tc>
          <w:tcPr>
            <w:tcW w:w="900" w:type="dxa"/>
            <w:vAlign w:val="bottom"/>
            <w:shd w:val="clear" w:color="auto" w:fill="EBFBFF"/>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3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3860" w:type="dxa"/>
            <w:vAlign w:val="bottom"/>
            <w:tcBorders>
              <w:top w:val="single" w:sz="8" w:color="7A04DD"/>
            </w:tcBorders>
            <w:gridSpan w:val="11"/>
            <w:shd w:val="clear" w:color="auto" w:fill="EBFBFF"/>
          </w:tcPr>
          <w:p>
            <w:pPr>
              <w:spacing w:after="0" w:line="196" w:lineRule="exact"/>
              <w:rPr>
                <w:sz w:val="20"/>
                <w:szCs w:val="20"/>
                <w:color w:val="auto"/>
              </w:rPr>
            </w:pPr>
            <w:r>
              <w:rPr>
                <w:rFonts w:ascii="Calibri" w:cs="Calibri" w:eastAsia="Calibri" w:hAnsi="Calibri"/>
                <w:sz w:val="18"/>
                <w:szCs w:val="18"/>
                <w:color w:val="7A04DD"/>
              </w:rPr>
              <w:t>Secton 302 of the Sarbanes-Oxley Act of 2002</w:t>
            </w:r>
          </w:p>
        </w:tc>
        <w:tc>
          <w:tcPr>
            <w:tcW w:w="920" w:type="dxa"/>
            <w:vAlign w:val="bottom"/>
            <w:tcBorders>
              <w:top w:val="single" w:sz="8" w:color="EBFBFF"/>
            </w:tcBorders>
            <w:gridSpan w:val="11"/>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680" w:type="dxa"/>
            <w:vAlign w:val="bottom"/>
            <w:tcBorders>
              <w:top w:val="single" w:sz="8" w:color="7A04DD"/>
            </w:tcBorders>
            <w:shd w:val="clear" w:color="auto" w:fill="EBFBFF"/>
          </w:tcPr>
          <w:p>
            <w:pPr>
              <w:spacing w:after="0"/>
              <w:rPr>
                <w:sz w:val="5"/>
                <w:szCs w:val="5"/>
                <w:color w:val="auto"/>
              </w:rPr>
            </w:pPr>
          </w:p>
        </w:tc>
        <w:tc>
          <w:tcPr>
            <w:tcW w:w="100" w:type="dxa"/>
            <w:vAlign w:val="bottom"/>
            <w:tcBorders>
              <w:top w:val="single" w:sz="8" w:color="7A04DD"/>
            </w:tcBorders>
            <w:shd w:val="clear" w:color="auto" w:fill="EBFBFF"/>
          </w:tcPr>
          <w:p>
            <w:pPr>
              <w:spacing w:after="0"/>
              <w:rPr>
                <w:sz w:val="5"/>
                <w:szCs w:val="5"/>
                <w:color w:val="auto"/>
              </w:rPr>
            </w:pPr>
          </w:p>
        </w:tc>
        <w:tc>
          <w:tcPr>
            <w:tcW w:w="60" w:type="dxa"/>
            <w:vAlign w:val="bottom"/>
            <w:tcBorders>
              <w:top w:val="single" w:sz="8" w:color="7A04DD"/>
            </w:tcBorders>
            <w:shd w:val="clear" w:color="auto" w:fill="EBFBFF"/>
          </w:tcPr>
          <w:p>
            <w:pPr>
              <w:spacing w:after="0"/>
              <w:rPr>
                <w:sz w:val="5"/>
                <w:szCs w:val="5"/>
                <w:color w:val="auto"/>
              </w:rPr>
            </w:pPr>
          </w:p>
        </w:tc>
        <w:tc>
          <w:tcPr>
            <w:tcW w:w="80" w:type="dxa"/>
            <w:vAlign w:val="bottom"/>
            <w:tcBorders>
              <w:top w:val="single" w:sz="8" w:color="7A04DD"/>
            </w:tcBorders>
            <w:shd w:val="clear" w:color="auto" w:fill="EBFBFF"/>
          </w:tcPr>
          <w:p>
            <w:pPr>
              <w:spacing w:after="0"/>
              <w:rPr>
                <w:sz w:val="5"/>
                <w:szCs w:val="5"/>
                <w:color w:val="auto"/>
              </w:rPr>
            </w:pPr>
          </w:p>
        </w:tc>
        <w:tc>
          <w:tcPr>
            <w:tcW w:w="840" w:type="dxa"/>
            <w:vAlign w:val="bottom"/>
            <w:tcBorders>
              <w:top w:val="single" w:sz="8" w:color="7A04DD"/>
            </w:tcBorders>
            <w:shd w:val="clear" w:color="auto" w:fill="EBFBFF"/>
          </w:tcPr>
          <w:p>
            <w:pPr>
              <w:spacing w:after="0"/>
              <w:rPr>
                <w:sz w:val="5"/>
                <w:szCs w:val="5"/>
                <w:color w:val="auto"/>
              </w:rPr>
            </w:pPr>
          </w:p>
        </w:tc>
        <w:tc>
          <w:tcPr>
            <w:tcW w:w="300" w:type="dxa"/>
            <w:vAlign w:val="bottom"/>
            <w:tcBorders>
              <w:top w:val="single" w:sz="8" w:color="7A04DD"/>
            </w:tcBorders>
            <w:shd w:val="clear" w:color="auto" w:fill="EBFBFF"/>
          </w:tcPr>
          <w:p>
            <w:pPr>
              <w:spacing w:after="0"/>
              <w:rPr>
                <w:sz w:val="5"/>
                <w:szCs w:val="5"/>
                <w:color w:val="auto"/>
              </w:rPr>
            </w:pPr>
          </w:p>
        </w:tc>
        <w:tc>
          <w:tcPr>
            <w:tcW w:w="5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tcPr>
          <w:p>
            <w:pPr>
              <w:jc w:val="right"/>
              <w:spacing w:after="0" w:line="189" w:lineRule="exact"/>
              <w:rPr>
                <w:sz w:val="20"/>
                <w:szCs w:val="20"/>
                <w:color w:val="auto"/>
              </w:rPr>
            </w:pPr>
            <w:r>
              <w:rPr>
                <w:rFonts w:ascii="Calibri" w:cs="Calibri" w:eastAsia="Calibri" w:hAnsi="Calibri"/>
                <w:sz w:val="18"/>
                <w:szCs w:val="18"/>
                <w:color w:val="7A04DD"/>
              </w:rPr>
              <w:t>31.</w:t>
            </w:r>
            <w:r>
              <w:rPr>
                <w:rFonts w:ascii="Calibri" w:cs="Calibri" w:eastAsia="Calibri" w:hAnsi="Calibri"/>
                <w:sz w:val="18"/>
                <w:szCs w:val="18"/>
                <w:u w:val="single" w:color="auto"/>
                <w:color w:val="7A04DD"/>
              </w:rPr>
              <w:t>2</w:t>
            </w:r>
          </w:p>
        </w:tc>
        <w:tc>
          <w:tcPr>
            <w:tcW w:w="680" w:type="dxa"/>
            <w:vAlign w:val="bottom"/>
          </w:tcPr>
          <w:p>
            <w:pPr>
              <w:spacing w:after="0"/>
              <w:rPr>
                <w:sz w:val="16"/>
                <w:szCs w:val="16"/>
                <w:color w:val="auto"/>
              </w:rPr>
            </w:pPr>
          </w:p>
        </w:tc>
        <w:tc>
          <w:tcPr>
            <w:tcW w:w="4780" w:type="dxa"/>
            <w:vAlign w:val="bottom"/>
            <w:gridSpan w:val="22"/>
          </w:tcPr>
          <w:p>
            <w:pPr>
              <w:spacing w:after="0" w:line="189" w:lineRule="exact"/>
              <w:rPr>
                <w:sz w:val="20"/>
                <w:szCs w:val="20"/>
                <w:color w:val="auto"/>
              </w:rPr>
            </w:pPr>
            <w:r>
              <w:rPr>
                <w:rFonts w:ascii="Calibri" w:cs="Calibri" w:eastAsia="Calibri" w:hAnsi="Calibri"/>
                <w:sz w:val="18"/>
                <w:szCs w:val="18"/>
                <w:color w:val="7A04DD"/>
              </w:rPr>
              <w:t>Certfcaton by the Chief Financial Ofcer pursuant to</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3820" w:type="dxa"/>
            <w:vAlign w:val="bottom"/>
            <w:tcBorders>
              <w:top w:val="single" w:sz="8" w:color="7A04DD"/>
            </w:tcBorders>
            <w:gridSpan w:val="10"/>
          </w:tcPr>
          <w:p>
            <w:pPr>
              <w:spacing w:after="0" w:line="196" w:lineRule="exact"/>
              <w:rPr>
                <w:sz w:val="20"/>
                <w:szCs w:val="20"/>
                <w:color w:val="auto"/>
              </w:rPr>
            </w:pPr>
            <w:r>
              <w:rPr>
                <w:rFonts w:ascii="Calibri" w:cs="Calibri" w:eastAsia="Calibri" w:hAnsi="Calibri"/>
                <w:sz w:val="18"/>
                <w:szCs w:val="18"/>
                <w:color w:val="7A04DD"/>
              </w:rPr>
              <w:t>Secton 302 of the Sarbanes-Oxley Act of 2002</w:t>
            </w:r>
          </w:p>
        </w:tc>
        <w:tc>
          <w:tcPr>
            <w:tcW w:w="960" w:type="dxa"/>
            <w:vAlign w:val="bottom"/>
            <w:gridSpan w:val="12"/>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680" w:type="dxa"/>
            <w:vAlign w:val="bottom"/>
            <w:tcBorders>
              <w:top w:val="single" w:sz="8" w:color="7A04DD"/>
            </w:tcBorders>
          </w:tcPr>
          <w:p>
            <w:pPr>
              <w:spacing w:after="0"/>
              <w:rPr>
                <w:sz w:val="5"/>
                <w:szCs w:val="5"/>
                <w:color w:val="auto"/>
              </w:rPr>
            </w:pPr>
          </w:p>
        </w:tc>
        <w:tc>
          <w:tcPr>
            <w:tcW w:w="100" w:type="dxa"/>
            <w:vAlign w:val="bottom"/>
            <w:tcBorders>
              <w:top w:val="single" w:sz="8" w:color="7A04DD"/>
            </w:tcBorders>
          </w:tcPr>
          <w:p>
            <w:pPr>
              <w:spacing w:after="0"/>
              <w:rPr>
                <w:sz w:val="5"/>
                <w:szCs w:val="5"/>
                <w:color w:val="auto"/>
              </w:rPr>
            </w:pPr>
          </w:p>
        </w:tc>
        <w:tc>
          <w:tcPr>
            <w:tcW w:w="60" w:type="dxa"/>
            <w:vAlign w:val="bottom"/>
            <w:tcBorders>
              <w:top w:val="single" w:sz="8" w:color="7A04DD"/>
            </w:tcBorders>
          </w:tcPr>
          <w:p>
            <w:pPr>
              <w:spacing w:after="0"/>
              <w:rPr>
                <w:sz w:val="5"/>
                <w:szCs w:val="5"/>
                <w:color w:val="auto"/>
              </w:rPr>
            </w:pPr>
          </w:p>
        </w:tc>
        <w:tc>
          <w:tcPr>
            <w:tcW w:w="80" w:type="dxa"/>
            <w:vAlign w:val="bottom"/>
            <w:tcBorders>
              <w:top w:val="single" w:sz="8" w:color="7A04DD"/>
            </w:tcBorders>
          </w:tcPr>
          <w:p>
            <w:pPr>
              <w:spacing w:after="0"/>
              <w:rPr>
                <w:sz w:val="5"/>
                <w:szCs w:val="5"/>
                <w:color w:val="auto"/>
              </w:rPr>
            </w:pPr>
          </w:p>
        </w:tc>
        <w:tc>
          <w:tcPr>
            <w:tcW w:w="840" w:type="dxa"/>
            <w:vAlign w:val="bottom"/>
            <w:tcBorders>
              <w:top w:val="single" w:sz="8" w:color="7A04DD"/>
            </w:tcBorders>
          </w:tcPr>
          <w:p>
            <w:pPr>
              <w:spacing w:after="0"/>
              <w:rPr>
                <w:sz w:val="5"/>
                <w:szCs w:val="5"/>
                <w:color w:val="auto"/>
              </w:rPr>
            </w:pPr>
          </w:p>
        </w:tc>
        <w:tc>
          <w:tcPr>
            <w:tcW w:w="300" w:type="dxa"/>
            <w:vAlign w:val="bottom"/>
            <w:tcBorders>
              <w:top w:val="single" w:sz="8" w:color="7A04DD"/>
            </w:tcBorders>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shd w:val="clear" w:color="auto" w:fill="EBFBFF"/>
          </w:tcPr>
          <w:p>
            <w:pPr>
              <w:jc w:val="right"/>
              <w:spacing w:after="0" w:line="189" w:lineRule="exact"/>
              <w:rPr>
                <w:sz w:val="20"/>
                <w:szCs w:val="20"/>
                <w:color w:val="auto"/>
              </w:rPr>
            </w:pPr>
            <w:r>
              <w:rPr>
                <w:rFonts w:ascii="Calibri" w:cs="Calibri" w:eastAsia="Calibri" w:hAnsi="Calibri"/>
                <w:sz w:val="18"/>
                <w:szCs w:val="18"/>
                <w:color w:val="7A04DD"/>
              </w:rPr>
              <w:t>32.</w:t>
            </w:r>
            <w:r>
              <w:rPr>
                <w:rFonts w:ascii="Calibri" w:cs="Calibri" w:eastAsia="Calibri" w:hAnsi="Calibri"/>
                <w:sz w:val="18"/>
                <w:szCs w:val="18"/>
                <w:u w:val="single" w:color="auto"/>
                <w:color w:val="7A04DD"/>
              </w:rPr>
              <w:t>1</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sz w:val="20"/>
                <w:szCs w:val="20"/>
                <w:color w:val="auto"/>
              </w:rPr>
            </w:pPr>
            <w:r>
              <w:rPr>
                <w:rFonts w:ascii="Calibri" w:cs="Calibri" w:eastAsia="Calibri" w:hAnsi="Calibri"/>
                <w:sz w:val="18"/>
                <w:szCs w:val="18"/>
                <w:color w:val="7A04DD"/>
              </w:rPr>
              <w:t>Certfcaton by the Chief Executve Ofcer pursuant to 18 U.S.C.</w:t>
            </w:r>
          </w:p>
        </w:tc>
        <w:tc>
          <w:tcPr>
            <w:tcW w:w="1200" w:type="dxa"/>
            <w:vAlign w:val="bottom"/>
            <w:shd w:val="clear" w:color="auto" w:fill="EBFBFF"/>
          </w:tcPr>
          <w:p>
            <w:pPr>
              <w:spacing w:after="0"/>
              <w:rPr>
                <w:sz w:val="16"/>
                <w:szCs w:val="16"/>
                <w:color w:val="auto"/>
              </w:rPr>
            </w:pPr>
          </w:p>
        </w:tc>
        <w:tc>
          <w:tcPr>
            <w:tcW w:w="1600" w:type="dxa"/>
            <w:vAlign w:val="bottom"/>
            <w:shd w:val="clear" w:color="auto" w:fill="EBFBFF"/>
          </w:tcPr>
          <w:p>
            <w:pPr>
              <w:spacing w:after="0"/>
              <w:rPr>
                <w:sz w:val="16"/>
                <w:szCs w:val="16"/>
                <w:color w:val="auto"/>
              </w:rPr>
            </w:pPr>
          </w:p>
        </w:tc>
        <w:tc>
          <w:tcPr>
            <w:tcW w:w="1140" w:type="dxa"/>
            <w:vAlign w:val="bottom"/>
            <w:shd w:val="clear" w:color="auto" w:fill="EBFBFF"/>
          </w:tcPr>
          <w:p>
            <w:pPr>
              <w:spacing w:after="0"/>
              <w:rPr>
                <w:sz w:val="16"/>
                <w:szCs w:val="16"/>
                <w:color w:val="auto"/>
              </w:rPr>
            </w:pPr>
          </w:p>
        </w:tc>
        <w:tc>
          <w:tcPr>
            <w:tcW w:w="900" w:type="dxa"/>
            <w:vAlign w:val="bottom"/>
            <w:shd w:val="clear" w:color="auto" w:fill="EBFBFF"/>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30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540" w:type="dxa"/>
            <w:vAlign w:val="bottom"/>
            <w:tcBorders>
              <w:top w:val="single" w:sz="8" w:color="7A04DD"/>
            </w:tcBorders>
            <w:gridSpan w:val="20"/>
            <w:shd w:val="clear" w:color="auto" w:fill="EBFBFF"/>
          </w:tcPr>
          <w:p>
            <w:pPr>
              <w:spacing w:after="0" w:line="196" w:lineRule="exact"/>
              <w:rPr>
                <w:sz w:val="20"/>
                <w:szCs w:val="20"/>
                <w:color w:val="auto"/>
              </w:rPr>
            </w:pPr>
            <w:r>
              <w:rPr>
                <w:rFonts w:ascii="Calibri" w:cs="Calibri" w:eastAsia="Calibri" w:hAnsi="Calibri"/>
                <w:sz w:val="18"/>
                <w:szCs w:val="18"/>
                <w:color w:val="7A04DD"/>
                <w:w w:val="97"/>
              </w:rPr>
              <w:t>1350 as adopted pursuant to Secton 906 of the Sarbanes-Oxley</w:t>
            </w:r>
          </w:p>
        </w:tc>
        <w:tc>
          <w:tcPr>
            <w:tcW w:w="240" w:type="dxa"/>
            <w:vAlign w:val="bottom"/>
            <w:tcBorders>
              <w:top w:val="single" w:sz="8" w:color="EBFBFF"/>
            </w:tcBorders>
            <w:gridSpan w:val="2"/>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30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520" w:type="dxa"/>
            <w:vAlign w:val="bottom"/>
            <w:tcBorders>
              <w:top w:val="single" w:sz="8" w:color="7A04DD"/>
            </w:tcBorders>
            <w:gridSpan w:val="19"/>
            <w:shd w:val="clear" w:color="auto" w:fill="EBFBFF"/>
          </w:tcPr>
          <w:p>
            <w:pPr>
              <w:spacing w:after="0" w:line="196" w:lineRule="exact"/>
              <w:rPr>
                <w:sz w:val="20"/>
                <w:szCs w:val="20"/>
                <w:color w:val="auto"/>
              </w:rPr>
            </w:pPr>
            <w:r>
              <w:rPr>
                <w:rFonts w:ascii="Calibri" w:cs="Calibri" w:eastAsia="Calibri" w:hAnsi="Calibri"/>
                <w:sz w:val="18"/>
                <w:szCs w:val="18"/>
                <w:color w:val="7A04DD"/>
              </w:rPr>
              <w:t>Act of 2002</w:t>
            </w:r>
          </w:p>
        </w:tc>
        <w:tc>
          <w:tcPr>
            <w:tcW w:w="260" w:type="dxa"/>
            <w:vAlign w:val="bottom"/>
            <w:tcBorders>
              <w:top w:val="single" w:sz="8" w:color="EBFBFF"/>
            </w:tcBorders>
            <w:gridSpan w:val="3"/>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4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left w:val="single" w:sz="8" w:color="EBFBFF"/>
            </w:tcBorders>
            <w:shd w:val="clear" w:color="auto" w:fill="EBFBFF"/>
          </w:tcPr>
          <w:p>
            <w:pPr>
              <w:spacing w:after="0"/>
              <w:rPr>
                <w:sz w:val="5"/>
                <w:szCs w:val="5"/>
                <w:color w:val="auto"/>
              </w:rPr>
            </w:pPr>
          </w:p>
        </w:tc>
        <w:tc>
          <w:tcPr>
            <w:tcW w:w="42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7A04DD"/>
            </w:tcBorders>
            <w:shd w:val="clear" w:color="auto" w:fill="EBFBFF"/>
          </w:tcPr>
          <w:p>
            <w:pPr>
              <w:spacing w:after="0"/>
              <w:rPr>
                <w:sz w:val="5"/>
                <w:szCs w:val="5"/>
                <w:color w:val="auto"/>
              </w:rPr>
            </w:pPr>
          </w:p>
        </w:tc>
        <w:tc>
          <w:tcPr>
            <w:tcW w:w="400" w:type="dxa"/>
            <w:vAlign w:val="bottom"/>
            <w:tcBorders>
              <w:top w:val="single" w:sz="8" w:color="EBFBFF"/>
            </w:tcBorders>
            <w:shd w:val="clear" w:color="auto" w:fill="EBFBFF"/>
          </w:tcPr>
          <w:p>
            <w:pPr>
              <w:spacing w:after="0"/>
              <w:rPr>
                <w:sz w:val="5"/>
                <w:szCs w:val="5"/>
                <w:color w:val="auto"/>
              </w:rPr>
            </w:pPr>
          </w:p>
        </w:tc>
        <w:tc>
          <w:tcPr>
            <w:tcW w:w="68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80" w:type="dxa"/>
            <w:vAlign w:val="bottom"/>
            <w:tcBorders>
              <w:top w:val="single" w:sz="8" w:color="EBFBFF"/>
            </w:tcBorders>
            <w:shd w:val="clear" w:color="auto" w:fill="EBFBFF"/>
          </w:tcPr>
          <w:p>
            <w:pPr>
              <w:spacing w:after="0"/>
              <w:rPr>
                <w:sz w:val="5"/>
                <w:szCs w:val="5"/>
                <w:color w:val="auto"/>
              </w:rPr>
            </w:pPr>
          </w:p>
        </w:tc>
        <w:tc>
          <w:tcPr>
            <w:tcW w:w="840" w:type="dxa"/>
            <w:vAlign w:val="bottom"/>
            <w:tcBorders>
              <w:top w:val="single" w:sz="8" w:color="EBFBFF"/>
            </w:tcBorders>
            <w:shd w:val="clear" w:color="auto" w:fill="EBFBFF"/>
          </w:tcPr>
          <w:p>
            <w:pPr>
              <w:spacing w:after="0"/>
              <w:rPr>
                <w:sz w:val="5"/>
                <w:szCs w:val="5"/>
                <w:color w:val="auto"/>
              </w:rPr>
            </w:pPr>
          </w:p>
        </w:tc>
        <w:tc>
          <w:tcPr>
            <w:tcW w:w="300" w:type="dxa"/>
            <w:vAlign w:val="bottom"/>
            <w:tcBorders>
              <w:top w:val="single" w:sz="8" w:color="EBFBFF"/>
            </w:tcBorders>
            <w:shd w:val="clear" w:color="auto" w:fill="EBFBFF"/>
          </w:tcPr>
          <w:p>
            <w:pPr>
              <w:spacing w:after="0"/>
              <w:rPr>
                <w:sz w:val="5"/>
                <w:szCs w:val="5"/>
                <w:color w:val="auto"/>
              </w:rPr>
            </w:pPr>
          </w:p>
        </w:tc>
        <w:tc>
          <w:tcPr>
            <w:tcW w:w="54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6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20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40" w:type="dxa"/>
            <w:vAlign w:val="bottom"/>
            <w:tcBorders>
              <w:top w:val="single" w:sz="8" w:color="EBFBFF"/>
            </w:tcBorders>
            <w:shd w:val="clear" w:color="auto" w:fill="EBFBFF"/>
          </w:tcPr>
          <w:p>
            <w:pPr>
              <w:spacing w:after="0"/>
              <w:rPr>
                <w:sz w:val="5"/>
                <w:szCs w:val="5"/>
                <w:color w:val="auto"/>
              </w:rPr>
            </w:pPr>
          </w:p>
        </w:tc>
        <w:tc>
          <w:tcPr>
            <w:tcW w:w="20" w:type="dxa"/>
            <w:vAlign w:val="bottom"/>
            <w:tcBorders>
              <w:top w:val="single" w:sz="8" w:color="EBFBFF"/>
            </w:tcBorders>
            <w:shd w:val="clear" w:color="auto" w:fill="EBFBFF"/>
          </w:tcPr>
          <w:p>
            <w:pPr>
              <w:spacing w:after="0"/>
              <w:rPr>
                <w:sz w:val="5"/>
                <w:szCs w:val="5"/>
                <w:color w:val="auto"/>
              </w:rPr>
            </w:pPr>
          </w:p>
        </w:tc>
        <w:tc>
          <w:tcPr>
            <w:tcW w:w="100" w:type="dxa"/>
            <w:vAlign w:val="bottom"/>
            <w:tcBorders>
              <w:top w:val="single" w:sz="8" w:color="EBFBFF"/>
            </w:tcBorders>
            <w:shd w:val="clear" w:color="auto" w:fill="EBFBFF"/>
          </w:tcPr>
          <w:p>
            <w:pPr>
              <w:spacing w:after="0"/>
              <w:rPr>
                <w:sz w:val="5"/>
                <w:szCs w:val="5"/>
                <w:color w:val="auto"/>
              </w:rPr>
            </w:pPr>
          </w:p>
        </w:tc>
        <w:tc>
          <w:tcPr>
            <w:tcW w:w="140" w:type="dxa"/>
            <w:vAlign w:val="bottom"/>
            <w:tcBorders>
              <w:top w:val="single" w:sz="8" w:color="EBFBFF"/>
            </w:tcBorders>
            <w:shd w:val="clear" w:color="auto" w:fill="EBFBFF"/>
          </w:tcPr>
          <w:p>
            <w:pPr>
              <w:spacing w:after="0"/>
              <w:rPr>
                <w:sz w:val="5"/>
                <w:szCs w:val="5"/>
                <w:color w:val="auto"/>
              </w:rPr>
            </w:pPr>
          </w:p>
        </w:tc>
        <w:tc>
          <w:tcPr>
            <w:tcW w:w="1200" w:type="dxa"/>
            <w:vAlign w:val="bottom"/>
            <w:tcBorders>
              <w:top w:val="single" w:sz="8" w:color="EBFBFF"/>
            </w:tcBorders>
            <w:shd w:val="clear" w:color="auto" w:fill="EBFBFF"/>
          </w:tcPr>
          <w:p>
            <w:pPr>
              <w:spacing w:after="0"/>
              <w:rPr>
                <w:sz w:val="5"/>
                <w:szCs w:val="5"/>
                <w:color w:val="auto"/>
              </w:rPr>
            </w:pPr>
          </w:p>
        </w:tc>
        <w:tc>
          <w:tcPr>
            <w:tcW w:w="1600" w:type="dxa"/>
            <w:vAlign w:val="bottom"/>
            <w:tcBorders>
              <w:top w:val="single" w:sz="8" w:color="EBFBFF"/>
            </w:tcBorders>
            <w:shd w:val="clear" w:color="auto" w:fill="EBFBFF"/>
          </w:tcPr>
          <w:p>
            <w:pPr>
              <w:spacing w:after="0"/>
              <w:rPr>
                <w:sz w:val="5"/>
                <w:szCs w:val="5"/>
                <w:color w:val="auto"/>
              </w:rPr>
            </w:pPr>
          </w:p>
        </w:tc>
        <w:tc>
          <w:tcPr>
            <w:tcW w:w="1140" w:type="dxa"/>
            <w:vAlign w:val="bottom"/>
            <w:tcBorders>
              <w:top w:val="single" w:sz="8" w:color="EBFBFF"/>
            </w:tcBorders>
            <w:shd w:val="clear" w:color="auto" w:fill="EBFBFF"/>
          </w:tcPr>
          <w:p>
            <w:pPr>
              <w:spacing w:after="0"/>
              <w:rPr>
                <w:sz w:val="5"/>
                <w:szCs w:val="5"/>
                <w:color w:val="auto"/>
              </w:rPr>
            </w:pPr>
          </w:p>
        </w:tc>
        <w:tc>
          <w:tcPr>
            <w:tcW w:w="900" w:type="dxa"/>
            <w:vAlign w:val="bottom"/>
            <w:tcBorders>
              <w:top w:val="single" w:sz="8" w:color="EBFBFF"/>
            </w:tcBorders>
            <w:shd w:val="clear" w:color="auto" w:fill="EBFBFF"/>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tcPr>
          <w:p>
            <w:pPr>
              <w:jc w:val="right"/>
              <w:spacing w:after="0" w:line="189" w:lineRule="exact"/>
              <w:rPr>
                <w:sz w:val="20"/>
                <w:szCs w:val="20"/>
                <w:color w:val="auto"/>
              </w:rPr>
            </w:pPr>
            <w:r>
              <w:rPr>
                <w:rFonts w:ascii="Calibri" w:cs="Calibri" w:eastAsia="Calibri" w:hAnsi="Calibri"/>
                <w:sz w:val="18"/>
                <w:szCs w:val="18"/>
                <w:color w:val="7A04DD"/>
              </w:rPr>
              <w:t>32.</w:t>
            </w:r>
            <w:r>
              <w:rPr>
                <w:rFonts w:ascii="Calibri" w:cs="Calibri" w:eastAsia="Calibri" w:hAnsi="Calibri"/>
                <w:sz w:val="18"/>
                <w:szCs w:val="18"/>
                <w:u w:val="single" w:color="auto"/>
                <w:color w:val="7A04DD"/>
              </w:rPr>
              <w:t>2</w:t>
            </w:r>
          </w:p>
        </w:tc>
        <w:tc>
          <w:tcPr>
            <w:tcW w:w="680" w:type="dxa"/>
            <w:vAlign w:val="bottom"/>
          </w:tcPr>
          <w:p>
            <w:pPr>
              <w:spacing w:after="0"/>
              <w:rPr>
                <w:sz w:val="16"/>
                <w:szCs w:val="16"/>
                <w:color w:val="auto"/>
              </w:rPr>
            </w:pPr>
          </w:p>
        </w:tc>
        <w:tc>
          <w:tcPr>
            <w:tcW w:w="4780" w:type="dxa"/>
            <w:vAlign w:val="bottom"/>
            <w:gridSpan w:val="22"/>
          </w:tcPr>
          <w:p>
            <w:pPr>
              <w:spacing w:after="0" w:line="189" w:lineRule="exact"/>
              <w:rPr>
                <w:sz w:val="20"/>
                <w:szCs w:val="20"/>
                <w:color w:val="auto"/>
              </w:rPr>
            </w:pPr>
            <w:r>
              <w:rPr>
                <w:rFonts w:ascii="Calibri" w:cs="Calibri" w:eastAsia="Calibri" w:hAnsi="Calibri"/>
                <w:sz w:val="18"/>
                <w:szCs w:val="18"/>
                <w:color w:val="7A04DD"/>
              </w:rPr>
              <w:t>Certfcaton by the Chief Financial Ofcer pursuant to 18 U.S.C.</w:t>
            </w:r>
          </w:p>
        </w:tc>
        <w:tc>
          <w:tcPr>
            <w:tcW w:w="1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7A04DD"/>
          </w:tcPr>
          <w:p>
            <w:pPr>
              <w:spacing w:after="0" w:line="20" w:lineRule="exact"/>
              <w:rPr>
                <w:sz w:val="1"/>
                <w:szCs w:val="1"/>
                <w:color w:val="auto"/>
              </w:rPr>
            </w:pPr>
          </w:p>
        </w:tc>
        <w:tc>
          <w:tcPr>
            <w:tcW w:w="3840" w:type="dxa"/>
            <w:vAlign w:val="bottom"/>
            <w:gridSpan w:val="15"/>
            <w:shd w:val="clear" w:color="auto" w:fill="7A04DD"/>
          </w:tcPr>
          <w:p>
            <w:pPr>
              <w:spacing w:after="0" w:line="20" w:lineRule="exact"/>
              <w:rPr>
                <w:sz w:val="1"/>
                <w:szCs w:val="1"/>
                <w:color w:val="auto"/>
              </w:rPr>
            </w:pPr>
          </w:p>
        </w:tc>
        <w:tc>
          <w:tcPr>
            <w:tcW w:w="220" w:type="dxa"/>
            <w:vAlign w:val="bottom"/>
            <w:gridSpan w:val="2"/>
            <w:shd w:val="clear" w:color="auto" w:fill="7A04DD"/>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22"/>
          </w:tcPr>
          <w:p>
            <w:pPr>
              <w:spacing w:after="0" w:line="196" w:lineRule="exact"/>
              <w:rPr>
                <w:sz w:val="20"/>
                <w:szCs w:val="20"/>
                <w:color w:val="auto"/>
              </w:rPr>
            </w:pPr>
            <w:r>
              <w:rPr>
                <w:rFonts w:ascii="Calibri" w:cs="Calibri" w:eastAsia="Calibri" w:hAnsi="Calibri"/>
                <w:sz w:val="18"/>
                <w:szCs w:val="18"/>
                <w:color w:val="7A04DD"/>
              </w:rPr>
              <w:t>1350 as adopted pursuant to Secton 906 of the Sarbanes-Oxley</w:t>
            </w: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20" w:type="dxa"/>
            <w:vAlign w:val="bottom"/>
            <w:tcBorders>
              <w:top w:val="single" w:sz="8" w:color="7A04DD"/>
            </w:tcBorders>
            <w:gridSpan w:val="19"/>
          </w:tcPr>
          <w:p>
            <w:pPr>
              <w:spacing w:after="0" w:line="196" w:lineRule="exact"/>
              <w:rPr>
                <w:sz w:val="20"/>
                <w:szCs w:val="20"/>
                <w:color w:val="auto"/>
              </w:rPr>
            </w:pPr>
            <w:r>
              <w:rPr>
                <w:rFonts w:ascii="Calibri" w:cs="Calibri" w:eastAsia="Calibri" w:hAnsi="Calibri"/>
                <w:sz w:val="18"/>
                <w:szCs w:val="18"/>
                <w:color w:val="7A04DD"/>
              </w:rPr>
              <w:t>Act of 2002</w:t>
            </w:r>
          </w:p>
        </w:tc>
        <w:tc>
          <w:tcPr>
            <w:tcW w:w="26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Borders>
              <w:top w:val="single" w:sz="8" w:color="7A04DD"/>
            </w:tcBorders>
          </w:tcPr>
          <w:p>
            <w:pPr>
              <w:spacing w:after="0"/>
              <w:rPr>
                <w:sz w:val="5"/>
                <w:szCs w:val="5"/>
                <w:color w:val="auto"/>
              </w:rPr>
            </w:pPr>
          </w:p>
        </w:tc>
        <w:tc>
          <w:tcPr>
            <w:tcW w:w="400" w:type="dxa"/>
            <w:vAlign w:val="bottom"/>
            <w:tcBorders>
              <w:top w:val="single" w:sz="8" w:color="7A04DD"/>
            </w:tcBorders>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940" w:type="dxa"/>
            <w:vAlign w:val="bottom"/>
            <w:gridSpan w:val="3"/>
            <w:shd w:val="clear" w:color="auto" w:fill="EBFBFF"/>
          </w:tcPr>
          <w:p>
            <w:pPr>
              <w:jc w:val="right"/>
              <w:spacing w:after="0" w:line="189" w:lineRule="exact"/>
              <w:rPr>
                <w:sz w:val="20"/>
                <w:szCs w:val="20"/>
                <w:color w:val="auto"/>
              </w:rPr>
            </w:pPr>
            <w:r>
              <w:rPr>
                <w:rFonts w:ascii="Calibri" w:cs="Calibri" w:eastAsia="Calibri" w:hAnsi="Calibri"/>
                <w:sz w:val="18"/>
                <w:szCs w:val="18"/>
                <w:color w:val="7A04DD"/>
              </w:rPr>
              <w:t>97.1</w:t>
            </w:r>
          </w:p>
        </w:tc>
        <w:tc>
          <w:tcPr>
            <w:tcW w:w="680" w:type="dxa"/>
            <w:vAlign w:val="bottom"/>
            <w:tcBorders>
              <w:left w:val="single" w:sz="8" w:color="EBFBFF"/>
            </w:tcBorders>
            <w:shd w:val="clear" w:color="auto" w:fill="EBFBFF"/>
          </w:tcPr>
          <w:p>
            <w:pPr>
              <w:spacing w:after="0"/>
              <w:rPr>
                <w:sz w:val="16"/>
                <w:szCs w:val="16"/>
                <w:color w:val="auto"/>
              </w:rPr>
            </w:pPr>
          </w:p>
        </w:tc>
        <w:tc>
          <w:tcPr>
            <w:tcW w:w="4780" w:type="dxa"/>
            <w:vAlign w:val="bottom"/>
            <w:gridSpan w:val="22"/>
            <w:shd w:val="clear" w:color="auto" w:fill="EBFBFF"/>
          </w:tcPr>
          <w:p>
            <w:pPr>
              <w:spacing w:after="0" w:line="189" w:lineRule="exact"/>
              <w:rPr>
                <w:sz w:val="20"/>
                <w:szCs w:val="20"/>
                <w:color w:val="auto"/>
              </w:rPr>
            </w:pPr>
            <w:r>
              <w:rPr>
                <w:rFonts w:ascii="Calibri" w:cs="Calibri" w:eastAsia="Calibri" w:hAnsi="Calibri"/>
                <w:sz w:val="18"/>
                <w:szCs w:val="18"/>
                <w:color w:val="7A04DD"/>
              </w:rPr>
              <w:t>Blackbaud, Inc. Executve Incentve Compensaton Clawback</w:t>
            </w:r>
          </w:p>
        </w:tc>
        <w:tc>
          <w:tcPr>
            <w:tcW w:w="1200" w:type="dxa"/>
            <w:vAlign w:val="bottom"/>
            <w:shd w:val="clear" w:color="auto" w:fill="EBFBFF"/>
          </w:tcPr>
          <w:p>
            <w:pPr>
              <w:spacing w:after="0"/>
              <w:rPr>
                <w:sz w:val="16"/>
                <w:szCs w:val="16"/>
                <w:color w:val="auto"/>
              </w:rPr>
            </w:pPr>
          </w:p>
        </w:tc>
        <w:tc>
          <w:tcPr>
            <w:tcW w:w="1600" w:type="dxa"/>
            <w:vAlign w:val="bottom"/>
            <w:shd w:val="clear" w:color="auto" w:fill="EBFBFF"/>
          </w:tcPr>
          <w:p>
            <w:pPr>
              <w:spacing w:after="0"/>
              <w:rPr>
                <w:sz w:val="16"/>
                <w:szCs w:val="16"/>
                <w:color w:val="auto"/>
              </w:rPr>
            </w:pPr>
          </w:p>
        </w:tc>
        <w:tc>
          <w:tcPr>
            <w:tcW w:w="1140" w:type="dxa"/>
            <w:vAlign w:val="bottom"/>
            <w:shd w:val="clear" w:color="auto" w:fill="EBFBFF"/>
          </w:tcPr>
          <w:p>
            <w:pPr>
              <w:spacing w:after="0"/>
              <w:rPr>
                <w:sz w:val="16"/>
                <w:szCs w:val="16"/>
                <w:color w:val="auto"/>
              </w:rPr>
            </w:pPr>
          </w:p>
        </w:tc>
        <w:tc>
          <w:tcPr>
            <w:tcW w:w="900" w:type="dxa"/>
            <w:vAlign w:val="bottom"/>
            <w:shd w:val="clear" w:color="auto" w:fill="EBFBFF"/>
          </w:tcPr>
          <w:p>
            <w:pPr>
              <w:jc w:val="center"/>
              <w:spacing w:after="0" w:line="189" w:lineRule="exact"/>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6"/>
                <w:szCs w:val="16"/>
                <w:color w:val="auto"/>
              </w:rPr>
            </w:pPr>
          </w:p>
        </w:tc>
      </w:tr>
      <w:tr>
        <w:trPr>
          <w:trHeight w:val="196"/>
        </w:trPr>
        <w:tc>
          <w:tcPr>
            <w:tcW w:w="540" w:type="dxa"/>
            <w:vAlign w:val="bottom"/>
            <w:tcBorders>
              <w:top w:val="single" w:sz="8" w:color="EBFBFF"/>
              <w:bottom w:val="single" w:sz="8" w:color="EBFBFF"/>
            </w:tcBorders>
            <w:shd w:val="clear" w:color="auto" w:fill="EBFBFF"/>
          </w:tcPr>
          <w:p>
            <w:pPr>
              <w:spacing w:after="0"/>
              <w:rPr>
                <w:sz w:val="17"/>
                <w:szCs w:val="17"/>
                <w:color w:val="auto"/>
              </w:rPr>
            </w:pPr>
          </w:p>
        </w:tc>
        <w:tc>
          <w:tcPr>
            <w:tcW w:w="100" w:type="dxa"/>
            <w:vAlign w:val="bottom"/>
            <w:tcBorders>
              <w:top w:val="single" w:sz="8" w:color="EBFBFF"/>
              <w:bottom w:val="single" w:sz="8" w:color="EBFBFF"/>
            </w:tcBorders>
            <w:shd w:val="clear" w:color="auto" w:fill="EBFBFF"/>
          </w:tcPr>
          <w:p>
            <w:pPr>
              <w:spacing w:after="0"/>
              <w:rPr>
                <w:sz w:val="17"/>
                <w:szCs w:val="17"/>
                <w:color w:val="auto"/>
              </w:rPr>
            </w:pPr>
          </w:p>
        </w:tc>
        <w:tc>
          <w:tcPr>
            <w:tcW w:w="300" w:type="dxa"/>
            <w:vAlign w:val="bottom"/>
            <w:tcBorders>
              <w:top w:val="single" w:sz="8" w:color="7A04DD"/>
              <w:bottom w:val="single" w:sz="8" w:color="EBFBFF"/>
            </w:tcBorders>
            <w:shd w:val="clear" w:color="auto" w:fill="EBFBFF"/>
          </w:tcPr>
          <w:p>
            <w:pPr>
              <w:spacing w:after="0"/>
              <w:rPr>
                <w:sz w:val="17"/>
                <w:szCs w:val="17"/>
                <w:color w:val="auto"/>
              </w:rPr>
            </w:pPr>
          </w:p>
        </w:tc>
        <w:tc>
          <w:tcPr>
            <w:tcW w:w="680" w:type="dxa"/>
            <w:vAlign w:val="bottom"/>
            <w:tcBorders>
              <w:top w:val="single" w:sz="8" w:color="EBFBFF"/>
              <w:left w:val="single" w:sz="8" w:color="EBFBFF"/>
              <w:bottom w:val="single" w:sz="8" w:color="EBFBFF"/>
            </w:tcBorders>
            <w:shd w:val="clear" w:color="auto" w:fill="EBFBFF"/>
          </w:tcPr>
          <w:p>
            <w:pPr>
              <w:spacing w:after="0"/>
              <w:rPr>
                <w:sz w:val="17"/>
                <w:szCs w:val="17"/>
                <w:color w:val="auto"/>
              </w:rPr>
            </w:pPr>
          </w:p>
        </w:tc>
        <w:tc>
          <w:tcPr>
            <w:tcW w:w="420" w:type="dxa"/>
            <w:vAlign w:val="bottom"/>
            <w:tcBorders>
              <w:top w:val="single" w:sz="8" w:color="7A04DD"/>
              <w:bottom w:val="single" w:sz="8" w:color="7A04DD"/>
            </w:tcBorders>
            <w:shd w:val="clear" w:color="auto" w:fill="EBFBFF"/>
          </w:tcPr>
          <w:p>
            <w:pPr>
              <w:spacing w:after="0" w:line="196" w:lineRule="exact"/>
              <w:rPr>
                <w:sz w:val="20"/>
                <w:szCs w:val="20"/>
                <w:color w:val="auto"/>
              </w:rPr>
            </w:pPr>
            <w:r>
              <w:rPr>
                <w:rFonts w:ascii="Calibri" w:cs="Calibri" w:eastAsia="Calibri" w:hAnsi="Calibri"/>
                <w:sz w:val="18"/>
                <w:szCs w:val="18"/>
                <w:color w:val="7A04DD"/>
                <w:w w:val="93"/>
              </w:rPr>
              <w:t>Policy</w:t>
            </w:r>
          </w:p>
        </w:tc>
        <w:tc>
          <w:tcPr>
            <w:tcW w:w="3840" w:type="dxa"/>
            <w:vAlign w:val="bottom"/>
            <w:tcBorders>
              <w:top w:val="single" w:sz="8" w:color="7A04DD"/>
              <w:bottom w:val="single" w:sz="8" w:color="EBFBFF"/>
            </w:tcBorders>
            <w:gridSpan w:val="15"/>
            <w:shd w:val="clear" w:color="auto" w:fill="EBFBFF"/>
          </w:tcPr>
          <w:p>
            <w:pPr>
              <w:spacing w:after="0"/>
              <w:rPr>
                <w:sz w:val="17"/>
                <w:szCs w:val="17"/>
                <w:color w:val="auto"/>
              </w:rPr>
            </w:pPr>
          </w:p>
        </w:tc>
        <w:tc>
          <w:tcPr>
            <w:tcW w:w="520" w:type="dxa"/>
            <w:vAlign w:val="bottom"/>
            <w:tcBorders>
              <w:top w:val="single" w:sz="8" w:color="EBFBFF"/>
              <w:bottom w:val="single" w:sz="8" w:color="EBFBFF"/>
            </w:tcBorders>
            <w:gridSpan w:val="6"/>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600" w:type="dxa"/>
            <w:vAlign w:val="bottom"/>
            <w:tcBorders>
              <w:top w:val="single" w:sz="8" w:color="EBFBFF"/>
              <w:bottom w:val="single" w:sz="8" w:color="EBFBFF"/>
            </w:tcBorders>
            <w:shd w:val="clear" w:color="auto" w:fill="EBFBFF"/>
          </w:tcPr>
          <w:p>
            <w:pPr>
              <w:spacing w:after="0"/>
              <w:rPr>
                <w:sz w:val="17"/>
                <w:szCs w:val="17"/>
                <w:color w:val="auto"/>
              </w:rPr>
            </w:pPr>
          </w:p>
        </w:tc>
        <w:tc>
          <w:tcPr>
            <w:tcW w:w="1140" w:type="dxa"/>
            <w:vAlign w:val="bottom"/>
            <w:tcBorders>
              <w:top w:val="single" w:sz="8" w:color="EBFBFF"/>
              <w:bottom w:val="single" w:sz="8" w:color="EBFBFF"/>
            </w:tcBorders>
            <w:shd w:val="clear" w:color="auto" w:fill="EBFBFF"/>
          </w:tcPr>
          <w:p>
            <w:pPr>
              <w:spacing w:after="0"/>
              <w:rPr>
                <w:sz w:val="17"/>
                <w:szCs w:val="17"/>
                <w:color w:val="auto"/>
              </w:rPr>
            </w:pPr>
          </w:p>
        </w:tc>
        <w:tc>
          <w:tcPr>
            <w:tcW w:w="900"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80"/>
        </w:trPr>
        <w:tc>
          <w:tcPr>
            <w:tcW w:w="940" w:type="dxa"/>
            <w:vAlign w:val="bottom"/>
            <w:gridSpan w:val="3"/>
            <w:shd w:val="clear" w:color="auto" w:fill="EBFBFF"/>
          </w:tcPr>
          <w:p>
            <w:pPr>
              <w:jc w:val="right"/>
              <w:spacing w:after="0"/>
              <w:rPr>
                <w:sz w:val="20"/>
                <w:szCs w:val="20"/>
                <w:color w:val="auto"/>
              </w:rPr>
            </w:pPr>
            <w:r>
              <w:rPr>
                <w:rFonts w:ascii="Calibri" w:cs="Calibri" w:eastAsia="Calibri" w:hAnsi="Calibri"/>
                <w:sz w:val="18"/>
                <w:szCs w:val="18"/>
                <w:color w:val="51555C"/>
              </w:rPr>
              <w:t>101.INS</w:t>
            </w:r>
          </w:p>
        </w:tc>
        <w:tc>
          <w:tcPr>
            <w:tcW w:w="680" w:type="dxa"/>
            <w:vAlign w:val="bottom"/>
            <w:tcBorders>
              <w:left w:val="single" w:sz="8" w:color="EBFBFF"/>
            </w:tcBorders>
            <w:shd w:val="clear" w:color="auto" w:fill="EBFBFF"/>
          </w:tcPr>
          <w:p>
            <w:pPr>
              <w:spacing w:after="0"/>
              <w:rPr>
                <w:sz w:val="24"/>
                <w:szCs w:val="24"/>
                <w:color w:val="auto"/>
              </w:rPr>
            </w:pPr>
          </w:p>
        </w:tc>
        <w:tc>
          <w:tcPr>
            <w:tcW w:w="4780" w:type="dxa"/>
            <w:vAlign w:val="bottom"/>
            <w:gridSpan w:val="22"/>
            <w:shd w:val="clear" w:color="auto" w:fill="EBFBFF"/>
          </w:tcPr>
          <w:p>
            <w:pPr>
              <w:spacing w:after="0"/>
              <w:rPr>
                <w:sz w:val="20"/>
                <w:szCs w:val="20"/>
                <w:color w:val="auto"/>
              </w:rPr>
            </w:pPr>
            <w:r>
              <w:rPr>
                <w:rFonts w:ascii="Calibri" w:cs="Calibri" w:eastAsia="Calibri" w:hAnsi="Calibri"/>
                <w:sz w:val="18"/>
                <w:szCs w:val="18"/>
                <w:color w:val="51555C"/>
              </w:rPr>
              <w:t>Inline XBRL Instance Document - the Instance Document does</w:t>
            </w:r>
          </w:p>
        </w:tc>
        <w:tc>
          <w:tcPr>
            <w:tcW w:w="1200" w:type="dxa"/>
            <w:vAlign w:val="bottom"/>
            <w:shd w:val="clear" w:color="auto" w:fill="EBFBFF"/>
          </w:tcPr>
          <w:p>
            <w:pPr>
              <w:spacing w:after="0"/>
              <w:rPr>
                <w:sz w:val="24"/>
                <w:szCs w:val="24"/>
                <w:color w:val="auto"/>
              </w:rPr>
            </w:pPr>
          </w:p>
        </w:tc>
        <w:tc>
          <w:tcPr>
            <w:tcW w:w="1600" w:type="dxa"/>
            <w:vAlign w:val="bottom"/>
            <w:shd w:val="clear" w:color="auto" w:fill="EBFBFF"/>
          </w:tcPr>
          <w:p>
            <w:pPr>
              <w:spacing w:after="0"/>
              <w:rPr>
                <w:sz w:val="24"/>
                <w:szCs w:val="24"/>
                <w:color w:val="auto"/>
              </w:rPr>
            </w:pPr>
          </w:p>
        </w:tc>
        <w:tc>
          <w:tcPr>
            <w:tcW w:w="1140" w:type="dxa"/>
            <w:vAlign w:val="bottom"/>
            <w:shd w:val="clear" w:color="auto" w:fill="EBFBFF"/>
          </w:tcPr>
          <w:p>
            <w:pPr>
              <w:spacing w:after="0"/>
              <w:rPr>
                <w:sz w:val="24"/>
                <w:szCs w:val="24"/>
                <w:color w:val="auto"/>
              </w:rPr>
            </w:pPr>
          </w:p>
        </w:tc>
        <w:tc>
          <w:tcPr>
            <w:tcW w:w="900" w:type="dxa"/>
            <w:vAlign w:val="bottom"/>
            <w:shd w:val="clear" w:color="auto" w:fill="EBFBFF"/>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24"/>
                <w:szCs w:val="24"/>
                <w:color w:val="auto"/>
              </w:rPr>
            </w:pPr>
          </w:p>
        </w:tc>
      </w:tr>
      <w:tr>
        <w:trPr>
          <w:trHeight w:val="216"/>
        </w:trPr>
        <w:tc>
          <w:tcPr>
            <w:tcW w:w="540" w:type="dxa"/>
            <w:vAlign w:val="bottom"/>
            <w:shd w:val="clear" w:color="auto" w:fill="EBFBFF"/>
          </w:tcPr>
          <w:p>
            <w:pPr>
              <w:spacing w:after="0"/>
              <w:rPr>
                <w:sz w:val="18"/>
                <w:szCs w:val="18"/>
                <w:color w:val="auto"/>
              </w:rPr>
            </w:pPr>
          </w:p>
        </w:tc>
        <w:tc>
          <w:tcPr>
            <w:tcW w:w="100" w:type="dxa"/>
            <w:vAlign w:val="bottom"/>
            <w:shd w:val="clear" w:color="auto" w:fill="EBFBFF"/>
          </w:tcPr>
          <w:p>
            <w:pPr>
              <w:spacing w:after="0"/>
              <w:rPr>
                <w:sz w:val="18"/>
                <w:szCs w:val="18"/>
                <w:color w:val="auto"/>
              </w:rPr>
            </w:pPr>
          </w:p>
        </w:tc>
        <w:tc>
          <w:tcPr>
            <w:tcW w:w="300" w:type="dxa"/>
            <w:vAlign w:val="bottom"/>
            <w:shd w:val="clear" w:color="auto" w:fill="EBFBFF"/>
          </w:tcPr>
          <w:p>
            <w:pPr>
              <w:spacing w:after="0"/>
              <w:rPr>
                <w:sz w:val="18"/>
                <w:szCs w:val="18"/>
                <w:color w:val="auto"/>
              </w:rPr>
            </w:pPr>
          </w:p>
        </w:tc>
        <w:tc>
          <w:tcPr>
            <w:tcW w:w="680" w:type="dxa"/>
            <w:vAlign w:val="bottom"/>
            <w:tcBorders>
              <w:left w:val="single" w:sz="8" w:color="EBFBFF"/>
            </w:tcBorders>
            <w:shd w:val="clear" w:color="auto" w:fill="EBFBFF"/>
          </w:tcPr>
          <w:p>
            <w:pPr>
              <w:spacing w:after="0"/>
              <w:rPr>
                <w:sz w:val="18"/>
                <w:szCs w:val="18"/>
                <w:color w:val="auto"/>
              </w:rPr>
            </w:pPr>
          </w:p>
        </w:tc>
        <w:tc>
          <w:tcPr>
            <w:tcW w:w="4780" w:type="dxa"/>
            <w:vAlign w:val="bottom"/>
            <w:gridSpan w:val="22"/>
            <w:shd w:val="clear" w:color="auto" w:fill="EBFBFF"/>
          </w:tcPr>
          <w:p>
            <w:pPr>
              <w:spacing w:after="0" w:line="216" w:lineRule="exact"/>
              <w:rPr>
                <w:sz w:val="20"/>
                <w:szCs w:val="20"/>
                <w:color w:val="auto"/>
              </w:rPr>
            </w:pPr>
            <w:r>
              <w:rPr>
                <w:rFonts w:ascii="Calibri" w:cs="Calibri" w:eastAsia="Calibri" w:hAnsi="Calibri"/>
                <w:sz w:val="18"/>
                <w:szCs w:val="18"/>
                <w:color w:val="51555C"/>
              </w:rPr>
              <w:t>not appear in the interactve data fle because its XBRL tags are</w:t>
            </w:r>
          </w:p>
        </w:tc>
        <w:tc>
          <w:tcPr>
            <w:tcW w:w="1200" w:type="dxa"/>
            <w:vAlign w:val="bottom"/>
            <w:shd w:val="clear" w:color="auto" w:fill="EBFBFF"/>
          </w:tcPr>
          <w:p>
            <w:pPr>
              <w:spacing w:after="0"/>
              <w:rPr>
                <w:sz w:val="18"/>
                <w:szCs w:val="18"/>
                <w:color w:val="auto"/>
              </w:rPr>
            </w:pPr>
          </w:p>
        </w:tc>
        <w:tc>
          <w:tcPr>
            <w:tcW w:w="1600" w:type="dxa"/>
            <w:vAlign w:val="bottom"/>
            <w:shd w:val="clear" w:color="auto" w:fill="EBFBFF"/>
          </w:tcPr>
          <w:p>
            <w:pPr>
              <w:spacing w:after="0"/>
              <w:rPr>
                <w:sz w:val="18"/>
                <w:szCs w:val="18"/>
                <w:color w:val="auto"/>
              </w:rPr>
            </w:pPr>
          </w:p>
        </w:tc>
        <w:tc>
          <w:tcPr>
            <w:tcW w:w="1140" w:type="dxa"/>
            <w:vAlign w:val="bottom"/>
            <w:shd w:val="clear" w:color="auto" w:fill="EBFBFF"/>
          </w:tcPr>
          <w:p>
            <w:pPr>
              <w:spacing w:after="0"/>
              <w:rPr>
                <w:sz w:val="18"/>
                <w:szCs w:val="18"/>
                <w:color w:val="auto"/>
              </w:rPr>
            </w:pPr>
          </w:p>
        </w:tc>
        <w:tc>
          <w:tcPr>
            <w:tcW w:w="90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47"/>
        </w:trPr>
        <w:tc>
          <w:tcPr>
            <w:tcW w:w="5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680" w:type="dxa"/>
            <w:vAlign w:val="bottom"/>
            <w:tcBorders>
              <w:left w:val="single" w:sz="8" w:color="EBFBFF"/>
              <w:bottom w:val="single" w:sz="8" w:color="EBFBFF"/>
            </w:tcBorders>
            <w:shd w:val="clear" w:color="auto" w:fill="EBFBFF"/>
          </w:tcPr>
          <w:p>
            <w:pPr>
              <w:spacing w:after="0"/>
              <w:rPr>
                <w:sz w:val="21"/>
                <w:szCs w:val="21"/>
                <w:color w:val="auto"/>
              </w:rPr>
            </w:pPr>
          </w:p>
        </w:tc>
        <w:tc>
          <w:tcPr>
            <w:tcW w:w="4780" w:type="dxa"/>
            <w:vAlign w:val="bottom"/>
            <w:tcBorders>
              <w:bottom w:val="single" w:sz="8" w:color="EBFBFF"/>
            </w:tcBorders>
            <w:gridSpan w:val="22"/>
            <w:shd w:val="clear" w:color="auto" w:fill="EBFBFF"/>
          </w:tcPr>
          <w:p>
            <w:pPr>
              <w:spacing w:after="0" w:line="216" w:lineRule="exact"/>
              <w:rPr>
                <w:sz w:val="20"/>
                <w:szCs w:val="20"/>
                <w:color w:val="auto"/>
              </w:rPr>
            </w:pPr>
            <w:r>
              <w:rPr>
                <w:rFonts w:ascii="Calibri" w:cs="Calibri" w:eastAsia="Calibri" w:hAnsi="Calibri"/>
                <w:sz w:val="18"/>
                <w:szCs w:val="18"/>
                <w:color w:val="51555C"/>
              </w:rPr>
              <w:t>embedded within the Inline XBRL Document.</w:t>
            </w:r>
          </w:p>
        </w:tc>
        <w:tc>
          <w:tcPr>
            <w:tcW w:w="1200" w:type="dxa"/>
            <w:vAlign w:val="bottom"/>
            <w:tcBorders>
              <w:bottom w:val="single" w:sz="8" w:color="EBFBFF"/>
            </w:tcBorders>
            <w:shd w:val="clear" w:color="auto" w:fill="EBFBFF"/>
          </w:tcPr>
          <w:p>
            <w:pPr>
              <w:spacing w:after="0"/>
              <w:rPr>
                <w:sz w:val="21"/>
                <w:szCs w:val="21"/>
                <w:color w:val="auto"/>
              </w:rPr>
            </w:pPr>
          </w:p>
        </w:tc>
        <w:tc>
          <w:tcPr>
            <w:tcW w:w="160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20"/>
        </w:trPr>
        <w:tc>
          <w:tcPr>
            <w:tcW w:w="940" w:type="dxa"/>
            <w:vAlign w:val="bottom"/>
            <w:gridSpan w:val="3"/>
          </w:tcPr>
          <w:p>
            <w:pPr>
              <w:jc w:val="right"/>
              <w:spacing w:after="0"/>
              <w:rPr>
                <w:sz w:val="20"/>
                <w:szCs w:val="20"/>
                <w:color w:val="auto"/>
              </w:rPr>
            </w:pPr>
            <w:r>
              <w:rPr>
                <w:rFonts w:ascii="Calibri" w:cs="Calibri" w:eastAsia="Calibri" w:hAnsi="Calibri"/>
                <w:sz w:val="18"/>
                <w:szCs w:val="18"/>
                <w:color w:val="51555C"/>
              </w:rPr>
              <w:t>101.SCH</w:t>
            </w:r>
          </w:p>
        </w:tc>
        <w:tc>
          <w:tcPr>
            <w:tcW w:w="680" w:type="dxa"/>
            <w:vAlign w:val="bottom"/>
          </w:tcPr>
          <w:p>
            <w:pPr>
              <w:spacing w:after="0"/>
              <w:rPr>
                <w:sz w:val="19"/>
                <w:szCs w:val="19"/>
                <w:color w:val="auto"/>
              </w:rPr>
            </w:pPr>
          </w:p>
        </w:tc>
        <w:tc>
          <w:tcPr>
            <w:tcW w:w="4780" w:type="dxa"/>
            <w:vAlign w:val="bottom"/>
            <w:gridSpan w:val="22"/>
          </w:tcPr>
          <w:p>
            <w:pPr>
              <w:spacing w:after="0"/>
              <w:rPr>
                <w:sz w:val="20"/>
                <w:szCs w:val="20"/>
                <w:color w:val="auto"/>
              </w:rPr>
            </w:pPr>
            <w:r>
              <w:rPr>
                <w:rFonts w:ascii="Calibri" w:cs="Calibri" w:eastAsia="Calibri" w:hAnsi="Calibri"/>
                <w:sz w:val="18"/>
                <w:szCs w:val="18"/>
                <w:color w:val="51555C"/>
              </w:rPr>
              <w:t>Inline XBRL Taxonomy Extension Schema Document</w:t>
            </w:r>
          </w:p>
        </w:tc>
        <w:tc>
          <w:tcPr>
            <w:tcW w:w="1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9"/>
                <w:szCs w:val="19"/>
                <w:color w:val="auto"/>
              </w:rPr>
            </w:pPr>
          </w:p>
        </w:tc>
      </w:tr>
      <w:tr>
        <w:trPr>
          <w:trHeight w:val="50"/>
        </w:trPr>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40" w:type="dxa"/>
            <w:vAlign w:val="bottom"/>
            <w:tcBorders>
              <w:bottom w:val="single" w:sz="8" w:color="EBFBFF"/>
            </w:tcBorders>
            <w:gridSpan w:val="3"/>
            <w:shd w:val="clear" w:color="auto" w:fill="EBFBFF"/>
          </w:tcPr>
          <w:p>
            <w:pPr>
              <w:jc w:val="right"/>
              <w:spacing w:after="0"/>
              <w:rPr>
                <w:sz w:val="20"/>
                <w:szCs w:val="20"/>
                <w:color w:val="auto"/>
              </w:rPr>
            </w:pPr>
            <w:r>
              <w:rPr>
                <w:rFonts w:ascii="Calibri" w:cs="Calibri" w:eastAsia="Calibri" w:hAnsi="Calibri"/>
                <w:sz w:val="18"/>
                <w:szCs w:val="18"/>
                <w:color w:val="51555C"/>
              </w:rPr>
              <w:t>101.CAL</w:t>
            </w:r>
          </w:p>
        </w:tc>
        <w:tc>
          <w:tcPr>
            <w:tcW w:w="680" w:type="dxa"/>
            <w:vAlign w:val="bottom"/>
            <w:tcBorders>
              <w:left w:val="single" w:sz="8" w:color="EBFBFF"/>
              <w:bottom w:val="single" w:sz="8" w:color="EBFBFF"/>
            </w:tcBorders>
            <w:shd w:val="clear" w:color="auto" w:fill="EBFBFF"/>
          </w:tcPr>
          <w:p>
            <w:pPr>
              <w:spacing w:after="0"/>
              <w:rPr>
                <w:sz w:val="21"/>
                <w:szCs w:val="21"/>
                <w:color w:val="auto"/>
              </w:rPr>
            </w:pPr>
          </w:p>
        </w:tc>
        <w:tc>
          <w:tcPr>
            <w:tcW w:w="4780" w:type="dxa"/>
            <w:vAlign w:val="bottom"/>
            <w:tcBorders>
              <w:bottom w:val="single" w:sz="8" w:color="EBFBFF"/>
            </w:tcBorders>
            <w:gridSpan w:val="22"/>
            <w:shd w:val="clear" w:color="auto" w:fill="EBFBFF"/>
          </w:tcPr>
          <w:p>
            <w:pPr>
              <w:spacing w:after="0"/>
              <w:rPr>
                <w:sz w:val="20"/>
                <w:szCs w:val="20"/>
                <w:color w:val="auto"/>
              </w:rPr>
            </w:pPr>
            <w:r>
              <w:rPr>
                <w:rFonts w:ascii="Calibri" w:cs="Calibri" w:eastAsia="Calibri" w:hAnsi="Calibri"/>
                <w:sz w:val="18"/>
                <w:szCs w:val="18"/>
                <w:color w:val="51555C"/>
              </w:rPr>
              <w:t>Inline XBRL Taxonomy Extension Calculaton Linkbase Document</w:t>
            </w:r>
          </w:p>
        </w:tc>
        <w:tc>
          <w:tcPr>
            <w:tcW w:w="1200" w:type="dxa"/>
            <w:vAlign w:val="bottom"/>
            <w:tcBorders>
              <w:bottom w:val="single" w:sz="8" w:color="EBFBFF"/>
            </w:tcBorders>
            <w:shd w:val="clear" w:color="auto" w:fill="EBFBFF"/>
          </w:tcPr>
          <w:p>
            <w:pPr>
              <w:spacing w:after="0"/>
              <w:rPr>
                <w:sz w:val="21"/>
                <w:szCs w:val="21"/>
                <w:color w:val="auto"/>
              </w:rPr>
            </w:pPr>
          </w:p>
        </w:tc>
        <w:tc>
          <w:tcPr>
            <w:tcW w:w="160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21"/>
                <w:szCs w:val="21"/>
                <w:color w:val="auto"/>
              </w:rPr>
            </w:pPr>
          </w:p>
        </w:tc>
      </w:tr>
      <w:tr>
        <w:trPr>
          <w:trHeight w:val="220"/>
        </w:trPr>
        <w:tc>
          <w:tcPr>
            <w:tcW w:w="940" w:type="dxa"/>
            <w:vAlign w:val="bottom"/>
            <w:gridSpan w:val="3"/>
          </w:tcPr>
          <w:p>
            <w:pPr>
              <w:jc w:val="right"/>
              <w:spacing w:after="0"/>
              <w:rPr>
                <w:sz w:val="20"/>
                <w:szCs w:val="20"/>
                <w:color w:val="auto"/>
              </w:rPr>
            </w:pPr>
            <w:r>
              <w:rPr>
                <w:rFonts w:ascii="Calibri" w:cs="Calibri" w:eastAsia="Calibri" w:hAnsi="Calibri"/>
                <w:sz w:val="18"/>
                <w:szCs w:val="18"/>
                <w:color w:val="51555C"/>
              </w:rPr>
              <w:t>101.DEF</w:t>
            </w:r>
          </w:p>
        </w:tc>
        <w:tc>
          <w:tcPr>
            <w:tcW w:w="680" w:type="dxa"/>
            <w:vAlign w:val="bottom"/>
          </w:tcPr>
          <w:p>
            <w:pPr>
              <w:spacing w:after="0"/>
              <w:rPr>
                <w:sz w:val="19"/>
                <w:szCs w:val="19"/>
                <w:color w:val="auto"/>
              </w:rPr>
            </w:pPr>
          </w:p>
        </w:tc>
        <w:tc>
          <w:tcPr>
            <w:tcW w:w="4780" w:type="dxa"/>
            <w:vAlign w:val="bottom"/>
            <w:gridSpan w:val="22"/>
          </w:tcPr>
          <w:p>
            <w:pPr>
              <w:spacing w:after="0"/>
              <w:rPr>
                <w:sz w:val="20"/>
                <w:szCs w:val="20"/>
                <w:color w:val="auto"/>
              </w:rPr>
            </w:pPr>
            <w:r>
              <w:rPr>
                <w:rFonts w:ascii="Calibri" w:cs="Calibri" w:eastAsia="Calibri" w:hAnsi="Calibri"/>
                <w:sz w:val="18"/>
                <w:szCs w:val="18"/>
                <w:color w:val="51555C"/>
              </w:rPr>
              <w:t>Inline XBRL Taxonomy Extension Defniton Linkbase Document</w:t>
            </w:r>
          </w:p>
        </w:tc>
        <w:tc>
          <w:tcPr>
            <w:tcW w:w="1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9"/>
                <w:szCs w:val="19"/>
                <w:color w:val="auto"/>
              </w:rPr>
            </w:pPr>
          </w:p>
        </w:tc>
      </w:tr>
      <w:tr>
        <w:trPr>
          <w:trHeight w:val="50"/>
        </w:trPr>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40" w:type="dxa"/>
            <w:vAlign w:val="bottom"/>
            <w:tcBorders>
              <w:bottom w:val="single" w:sz="8" w:color="EBFBFF"/>
            </w:tcBorders>
            <w:gridSpan w:val="3"/>
            <w:shd w:val="clear" w:color="auto" w:fill="EBFBFF"/>
          </w:tcPr>
          <w:p>
            <w:pPr>
              <w:jc w:val="right"/>
              <w:spacing w:after="0"/>
              <w:rPr>
                <w:sz w:val="20"/>
                <w:szCs w:val="20"/>
                <w:color w:val="auto"/>
              </w:rPr>
            </w:pPr>
            <w:r>
              <w:rPr>
                <w:rFonts w:ascii="Calibri" w:cs="Calibri" w:eastAsia="Calibri" w:hAnsi="Calibri"/>
                <w:sz w:val="18"/>
                <w:szCs w:val="18"/>
                <w:color w:val="51555C"/>
              </w:rPr>
              <w:t>101.LAB</w:t>
            </w:r>
          </w:p>
        </w:tc>
        <w:tc>
          <w:tcPr>
            <w:tcW w:w="680" w:type="dxa"/>
            <w:vAlign w:val="bottom"/>
            <w:tcBorders>
              <w:left w:val="single" w:sz="8" w:color="EBFBFF"/>
              <w:bottom w:val="single" w:sz="8" w:color="EBFBFF"/>
            </w:tcBorders>
            <w:shd w:val="clear" w:color="auto" w:fill="EBFBFF"/>
          </w:tcPr>
          <w:p>
            <w:pPr>
              <w:spacing w:after="0"/>
              <w:rPr>
                <w:sz w:val="21"/>
                <w:szCs w:val="21"/>
                <w:color w:val="auto"/>
              </w:rPr>
            </w:pPr>
          </w:p>
        </w:tc>
        <w:tc>
          <w:tcPr>
            <w:tcW w:w="4780" w:type="dxa"/>
            <w:vAlign w:val="bottom"/>
            <w:tcBorders>
              <w:bottom w:val="single" w:sz="8" w:color="EBFBFF"/>
            </w:tcBorders>
            <w:gridSpan w:val="22"/>
            <w:shd w:val="clear" w:color="auto" w:fill="EBFBFF"/>
          </w:tcPr>
          <w:p>
            <w:pPr>
              <w:spacing w:after="0"/>
              <w:rPr>
                <w:sz w:val="20"/>
                <w:szCs w:val="20"/>
                <w:color w:val="auto"/>
              </w:rPr>
            </w:pPr>
            <w:r>
              <w:rPr>
                <w:rFonts w:ascii="Calibri" w:cs="Calibri" w:eastAsia="Calibri" w:hAnsi="Calibri"/>
                <w:sz w:val="18"/>
                <w:szCs w:val="18"/>
                <w:color w:val="51555C"/>
              </w:rPr>
              <w:t>Inline XBRL Taxonomy Extension Label Linkbase Document</w:t>
            </w:r>
          </w:p>
        </w:tc>
        <w:tc>
          <w:tcPr>
            <w:tcW w:w="1200" w:type="dxa"/>
            <w:vAlign w:val="bottom"/>
            <w:tcBorders>
              <w:bottom w:val="single" w:sz="8" w:color="EBFBFF"/>
            </w:tcBorders>
            <w:shd w:val="clear" w:color="auto" w:fill="EBFBFF"/>
          </w:tcPr>
          <w:p>
            <w:pPr>
              <w:spacing w:after="0"/>
              <w:rPr>
                <w:sz w:val="21"/>
                <w:szCs w:val="21"/>
                <w:color w:val="auto"/>
              </w:rPr>
            </w:pPr>
          </w:p>
        </w:tc>
        <w:tc>
          <w:tcPr>
            <w:tcW w:w="160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21"/>
                <w:szCs w:val="21"/>
                <w:color w:val="auto"/>
              </w:rPr>
            </w:pPr>
          </w:p>
        </w:tc>
      </w:tr>
      <w:tr>
        <w:trPr>
          <w:trHeight w:val="220"/>
        </w:trPr>
        <w:tc>
          <w:tcPr>
            <w:tcW w:w="940" w:type="dxa"/>
            <w:vAlign w:val="bottom"/>
            <w:gridSpan w:val="3"/>
          </w:tcPr>
          <w:p>
            <w:pPr>
              <w:jc w:val="right"/>
              <w:spacing w:after="0"/>
              <w:rPr>
                <w:sz w:val="20"/>
                <w:szCs w:val="20"/>
                <w:color w:val="auto"/>
              </w:rPr>
            </w:pPr>
            <w:r>
              <w:rPr>
                <w:rFonts w:ascii="Calibri" w:cs="Calibri" w:eastAsia="Calibri" w:hAnsi="Calibri"/>
                <w:sz w:val="18"/>
                <w:szCs w:val="18"/>
                <w:color w:val="51555C"/>
              </w:rPr>
              <w:t>101.PRE</w:t>
            </w:r>
          </w:p>
        </w:tc>
        <w:tc>
          <w:tcPr>
            <w:tcW w:w="680" w:type="dxa"/>
            <w:vAlign w:val="bottom"/>
          </w:tcPr>
          <w:p>
            <w:pPr>
              <w:spacing w:after="0"/>
              <w:rPr>
                <w:sz w:val="19"/>
                <w:szCs w:val="19"/>
                <w:color w:val="auto"/>
              </w:rPr>
            </w:pPr>
          </w:p>
        </w:tc>
        <w:tc>
          <w:tcPr>
            <w:tcW w:w="4780" w:type="dxa"/>
            <w:vAlign w:val="bottom"/>
            <w:gridSpan w:val="22"/>
          </w:tcPr>
          <w:p>
            <w:pPr>
              <w:spacing w:after="0"/>
              <w:rPr>
                <w:sz w:val="20"/>
                <w:szCs w:val="20"/>
                <w:color w:val="auto"/>
              </w:rPr>
            </w:pPr>
            <w:r>
              <w:rPr>
                <w:rFonts w:ascii="Calibri" w:cs="Calibri" w:eastAsia="Calibri" w:hAnsi="Calibri"/>
                <w:sz w:val="18"/>
                <w:szCs w:val="18"/>
                <w:color w:val="51555C"/>
              </w:rPr>
              <w:t>Inline XBRL Taxonomy Extension Presentaton Linkbase</w:t>
            </w:r>
          </w:p>
        </w:tc>
        <w:tc>
          <w:tcPr>
            <w:tcW w:w="1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80" w:type="dxa"/>
            <w:vAlign w:val="bottom"/>
            <w:gridSpan w:val="22"/>
          </w:tcPr>
          <w:p>
            <w:pPr>
              <w:spacing w:after="0" w:line="216" w:lineRule="exact"/>
              <w:rPr>
                <w:sz w:val="20"/>
                <w:szCs w:val="20"/>
                <w:color w:val="auto"/>
              </w:rPr>
            </w:pPr>
            <w:r>
              <w:rPr>
                <w:rFonts w:ascii="Calibri" w:cs="Calibri" w:eastAsia="Calibri" w:hAnsi="Calibri"/>
                <w:sz w:val="18"/>
                <w:szCs w:val="18"/>
                <w:color w:val="51555C"/>
              </w:rPr>
              <w:t>Document</w:t>
            </w: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0"/>
        </w:trPr>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0"/>
        </w:trPr>
        <w:tc>
          <w:tcPr>
            <w:tcW w:w="940" w:type="dxa"/>
            <w:vAlign w:val="bottom"/>
            <w:gridSpan w:val="3"/>
            <w:shd w:val="clear" w:color="auto" w:fill="EBFBFF"/>
          </w:tcPr>
          <w:p>
            <w:pPr>
              <w:jc w:val="right"/>
              <w:spacing w:after="0"/>
              <w:rPr>
                <w:sz w:val="20"/>
                <w:szCs w:val="20"/>
                <w:color w:val="auto"/>
              </w:rPr>
            </w:pPr>
            <w:r>
              <w:rPr>
                <w:rFonts w:ascii="Calibri" w:cs="Calibri" w:eastAsia="Calibri" w:hAnsi="Calibri"/>
                <w:sz w:val="18"/>
                <w:szCs w:val="18"/>
                <w:color w:val="51555C"/>
              </w:rPr>
              <w:t>104</w:t>
            </w:r>
          </w:p>
        </w:tc>
        <w:tc>
          <w:tcPr>
            <w:tcW w:w="680" w:type="dxa"/>
            <w:vAlign w:val="bottom"/>
            <w:tcBorders>
              <w:left w:val="single" w:sz="8" w:color="EBFBFF"/>
            </w:tcBorders>
            <w:shd w:val="clear" w:color="auto" w:fill="EBFBFF"/>
          </w:tcPr>
          <w:p>
            <w:pPr>
              <w:spacing w:after="0"/>
              <w:rPr>
                <w:sz w:val="19"/>
                <w:szCs w:val="19"/>
                <w:color w:val="auto"/>
              </w:rPr>
            </w:pPr>
          </w:p>
        </w:tc>
        <w:tc>
          <w:tcPr>
            <w:tcW w:w="4780" w:type="dxa"/>
            <w:vAlign w:val="bottom"/>
            <w:gridSpan w:val="22"/>
            <w:shd w:val="clear" w:color="auto" w:fill="EBFBFF"/>
          </w:tcPr>
          <w:p>
            <w:pPr>
              <w:spacing w:after="0"/>
              <w:rPr>
                <w:sz w:val="20"/>
                <w:szCs w:val="20"/>
                <w:color w:val="auto"/>
              </w:rPr>
            </w:pPr>
            <w:r>
              <w:rPr>
                <w:rFonts w:ascii="Calibri" w:cs="Calibri" w:eastAsia="Calibri" w:hAnsi="Calibri"/>
                <w:sz w:val="18"/>
                <w:szCs w:val="18"/>
                <w:color w:val="51555C"/>
              </w:rPr>
              <w:t>Cover Page Interactve Data File (formated as Inline XBRL and</w:t>
            </w:r>
          </w:p>
        </w:tc>
        <w:tc>
          <w:tcPr>
            <w:tcW w:w="1200" w:type="dxa"/>
            <w:vAlign w:val="bottom"/>
            <w:shd w:val="clear" w:color="auto" w:fill="EBFBFF"/>
          </w:tcPr>
          <w:p>
            <w:pPr>
              <w:spacing w:after="0"/>
              <w:rPr>
                <w:sz w:val="19"/>
                <w:szCs w:val="19"/>
                <w:color w:val="auto"/>
              </w:rPr>
            </w:pPr>
          </w:p>
        </w:tc>
        <w:tc>
          <w:tcPr>
            <w:tcW w:w="1600" w:type="dxa"/>
            <w:vAlign w:val="bottom"/>
            <w:shd w:val="clear" w:color="auto" w:fill="EBFBFF"/>
          </w:tcPr>
          <w:p>
            <w:pPr>
              <w:spacing w:after="0"/>
              <w:rPr>
                <w:sz w:val="19"/>
                <w:szCs w:val="19"/>
                <w:color w:val="auto"/>
              </w:rPr>
            </w:pPr>
          </w:p>
        </w:tc>
        <w:tc>
          <w:tcPr>
            <w:tcW w:w="1140" w:type="dxa"/>
            <w:vAlign w:val="bottom"/>
            <w:shd w:val="clear" w:color="auto" w:fill="EBFBFF"/>
          </w:tcPr>
          <w:p>
            <w:pPr>
              <w:spacing w:after="0"/>
              <w:rPr>
                <w:sz w:val="19"/>
                <w:szCs w:val="19"/>
                <w:color w:val="auto"/>
              </w:rPr>
            </w:pPr>
          </w:p>
        </w:tc>
        <w:tc>
          <w:tcPr>
            <w:tcW w:w="900" w:type="dxa"/>
            <w:vAlign w:val="bottom"/>
            <w:shd w:val="clear" w:color="auto" w:fill="EBFBFF"/>
          </w:tcPr>
          <w:p>
            <w:pPr>
              <w:jc w:val="center"/>
              <w:spacing w:after="0"/>
              <w:rPr>
                <w:sz w:val="20"/>
                <w:szCs w:val="20"/>
                <w:color w:val="auto"/>
              </w:rPr>
            </w:pPr>
            <w:r>
              <w:rPr>
                <w:rFonts w:ascii="Calibri" w:cs="Calibri" w:eastAsia="Calibri" w:hAnsi="Calibri"/>
                <w:sz w:val="18"/>
                <w:szCs w:val="18"/>
                <w:color w:val="51555C"/>
              </w:rPr>
              <w:t>X</w:t>
            </w:r>
          </w:p>
        </w:tc>
        <w:tc>
          <w:tcPr>
            <w:tcW w:w="20" w:type="dxa"/>
            <w:vAlign w:val="bottom"/>
          </w:tcPr>
          <w:p>
            <w:pPr>
              <w:spacing w:after="0"/>
              <w:rPr>
                <w:sz w:val="19"/>
                <w:szCs w:val="19"/>
                <w:color w:val="auto"/>
              </w:rPr>
            </w:pPr>
          </w:p>
        </w:tc>
      </w:tr>
      <w:tr>
        <w:trPr>
          <w:trHeight w:val="246"/>
        </w:trPr>
        <w:tc>
          <w:tcPr>
            <w:tcW w:w="5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300" w:type="dxa"/>
            <w:vAlign w:val="bottom"/>
            <w:tcBorders>
              <w:bottom w:val="single" w:sz="8" w:color="EBFBFF"/>
            </w:tcBorders>
            <w:shd w:val="clear" w:color="auto" w:fill="EBFBFF"/>
          </w:tcPr>
          <w:p>
            <w:pPr>
              <w:spacing w:after="0"/>
              <w:rPr>
                <w:sz w:val="21"/>
                <w:szCs w:val="21"/>
                <w:color w:val="auto"/>
              </w:rPr>
            </w:pPr>
          </w:p>
        </w:tc>
        <w:tc>
          <w:tcPr>
            <w:tcW w:w="680" w:type="dxa"/>
            <w:vAlign w:val="bottom"/>
            <w:tcBorders>
              <w:left w:val="single" w:sz="8" w:color="EBFBFF"/>
              <w:bottom w:val="single" w:sz="8" w:color="EBFBFF"/>
            </w:tcBorders>
            <w:shd w:val="clear" w:color="auto" w:fill="EBFBFF"/>
          </w:tcPr>
          <w:p>
            <w:pPr>
              <w:spacing w:after="0"/>
              <w:rPr>
                <w:sz w:val="21"/>
                <w:szCs w:val="21"/>
                <w:color w:val="auto"/>
              </w:rPr>
            </w:pPr>
          </w:p>
        </w:tc>
        <w:tc>
          <w:tcPr>
            <w:tcW w:w="4780" w:type="dxa"/>
            <w:vAlign w:val="bottom"/>
            <w:tcBorders>
              <w:bottom w:val="single" w:sz="8" w:color="EBFBFF"/>
            </w:tcBorders>
            <w:gridSpan w:val="22"/>
            <w:shd w:val="clear" w:color="auto" w:fill="EBFBFF"/>
          </w:tcPr>
          <w:p>
            <w:pPr>
              <w:spacing w:after="0" w:line="216" w:lineRule="exact"/>
              <w:rPr>
                <w:sz w:val="20"/>
                <w:szCs w:val="20"/>
                <w:color w:val="auto"/>
              </w:rPr>
            </w:pPr>
            <w:r>
              <w:rPr>
                <w:rFonts w:ascii="Calibri" w:cs="Calibri" w:eastAsia="Calibri" w:hAnsi="Calibri"/>
                <w:sz w:val="18"/>
                <w:szCs w:val="18"/>
                <w:color w:val="51555C"/>
              </w:rPr>
              <w:t>contained in Exhibit 101).</w:t>
            </w:r>
          </w:p>
        </w:tc>
        <w:tc>
          <w:tcPr>
            <w:tcW w:w="1200" w:type="dxa"/>
            <w:vAlign w:val="bottom"/>
            <w:tcBorders>
              <w:bottom w:val="single" w:sz="8" w:color="EBFBFF"/>
            </w:tcBorders>
            <w:shd w:val="clear" w:color="auto" w:fill="EBFBFF"/>
          </w:tcPr>
          <w:p>
            <w:pPr>
              <w:spacing w:after="0"/>
              <w:rPr>
                <w:sz w:val="21"/>
                <w:szCs w:val="21"/>
                <w:color w:val="auto"/>
              </w:rPr>
            </w:pPr>
          </w:p>
        </w:tc>
        <w:tc>
          <w:tcPr>
            <w:tcW w:w="160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4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680" w:type="dxa"/>
            <w:vAlign w:val="bottom"/>
            <w:tcBorders>
              <w:left w:val="single" w:sz="8" w:color="0CD973"/>
            </w:tcBorders>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68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60" w:type="dxa"/>
            <w:vAlign w:val="bottom"/>
            <w:shd w:val="clear" w:color="auto" w:fill="0CD973"/>
          </w:tcPr>
          <w:p>
            <w:pPr>
              <w:spacing w:after="0" w:line="20" w:lineRule="exact"/>
              <w:rPr>
                <w:sz w:val="1"/>
                <w:szCs w:val="1"/>
                <w:color w:val="auto"/>
              </w:rPr>
            </w:pPr>
          </w:p>
        </w:tc>
        <w:tc>
          <w:tcPr>
            <w:tcW w:w="80" w:type="dxa"/>
            <w:vAlign w:val="bottom"/>
            <w:shd w:val="clear" w:color="auto" w:fill="0CD973"/>
          </w:tcPr>
          <w:p>
            <w:pPr>
              <w:spacing w:after="0" w:line="20" w:lineRule="exact"/>
              <w:rPr>
                <w:sz w:val="1"/>
                <w:szCs w:val="1"/>
                <w:color w:val="auto"/>
              </w:rPr>
            </w:pPr>
          </w:p>
        </w:tc>
        <w:tc>
          <w:tcPr>
            <w:tcW w:w="84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4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6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4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160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-6042660</wp:posOffset>
            </wp:positionV>
            <wp:extent cx="30861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00" w:lineRule="exact"/>
        <w:rPr>
          <w:sz w:val="20"/>
          <w:szCs w:val="20"/>
          <w:color w:val="auto"/>
        </w:rPr>
      </w:pPr>
    </w:p>
    <w:p>
      <w:pPr>
        <w:ind w:left="680" w:hanging="654"/>
        <w:spacing w:after="0"/>
        <w:tabs>
          <w:tab w:leader="none" w:pos="680" w:val="left"/>
        </w:tabs>
        <w:numPr>
          <w:ilvl w:val="0"/>
          <w:numId w:val="62"/>
        </w:numPr>
        <w:rPr>
          <w:rFonts w:ascii="Calibri" w:cs="Calibri" w:eastAsia="Calibri" w:hAnsi="Calibri"/>
          <w:sz w:val="14"/>
          <w:szCs w:val="14"/>
          <w:color w:val="51555C"/>
        </w:rPr>
      </w:pPr>
      <w:r>
        <w:rPr>
          <w:rFonts w:ascii="Calibri" w:cs="Calibri" w:eastAsia="Calibri" w:hAnsi="Calibri"/>
          <w:sz w:val="14"/>
          <w:szCs w:val="14"/>
          <w:color w:val="51555C"/>
        </w:rPr>
        <w:t>Indicates management contract or compensatory plan, contract or arrangement.</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118</w:t>
      </w:r>
      <w:r>
        <w:rPr>
          <w:sz w:val="20"/>
          <w:szCs w:val="20"/>
          <w:color w:val="auto"/>
        </w:rPr>
        <w:tab/>
      </w:r>
      <w:r>
        <w:rPr>
          <w:sz w:val="1"/>
          <w:szCs w:val="1"/>
          <w:color w:val="auto"/>
        </w:rPr>
        <w:drawing>
          <wp:inline distT="0" distB="0" distL="0" distR="0">
            <wp:extent cx="728345" cy="188595"/>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alibri" w:cs="Calibri" w:eastAsia="Calibri" w:hAnsi="Calibri"/>
          <w:sz w:val="29"/>
          <w:szCs w:val="29"/>
          <w:b w:val="1"/>
          <w:bCs w:val="1"/>
          <w:color w:val="004054"/>
        </w:rPr>
        <w:t>ITEM 16. FORM 10-K SUMMARY</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color w:val="51555C"/>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220345</wp:posOffset>
            </wp:positionV>
            <wp:extent cx="728980" cy="1885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Pr>
          <w:p>
            <w:pPr>
              <w:ind w:left="8540"/>
              <w:spacing w:after="0"/>
              <w:rPr>
                <w:sz w:val="20"/>
                <w:szCs w:val="20"/>
                <w:color w:val="auto"/>
              </w:rPr>
            </w:pPr>
            <w:r>
              <w:rPr>
                <w:rFonts w:ascii="Calibri" w:cs="Calibri" w:eastAsia="Calibri" w:hAnsi="Calibri"/>
                <w:sz w:val="14"/>
                <w:szCs w:val="14"/>
                <w:color w:val="51555C"/>
              </w:rPr>
              <w:t>2023 Form 10-K</w:t>
            </w:r>
          </w:p>
        </w:tc>
        <w:tc>
          <w:tcPr>
            <w:tcW w:w="1000" w:type="dxa"/>
            <w:vAlign w:val="bottom"/>
          </w:tcPr>
          <w:p>
            <w:pPr>
              <w:jc w:val="right"/>
              <w:spacing w:after="0"/>
              <w:rPr>
                <w:sz w:val="20"/>
                <w:szCs w:val="20"/>
                <w:color w:val="auto"/>
              </w:rPr>
            </w:pPr>
            <w:r>
              <w:rPr>
                <w:rFonts w:ascii="Calibri" w:cs="Calibri" w:eastAsia="Calibri" w:hAnsi="Calibri"/>
                <w:sz w:val="14"/>
                <w:szCs w:val="14"/>
                <w:color w:val="51555C"/>
              </w:rPr>
              <w:t>119</w:t>
            </w:r>
          </w:p>
        </w:tc>
      </w:tr>
      <w:tr>
        <w:trPr>
          <w:trHeight w:val="351"/>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u w:val="single" w:color="auto"/>
          <w:color w:val="7A04DD"/>
        </w:rPr>
        <w:t>Table of Contents</w:t>
      </w:r>
    </w:p>
    <w:p>
      <w:pPr>
        <w:spacing w:after="0" w:line="16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sz w:val="1"/>
          <w:szCs w:val="1"/>
          <w:color w:val="auto"/>
        </w:rPr>
        <w:drawing>
          <wp:inline distT="0" distB="0" distL="0" distR="0">
            <wp:extent cx="248285" cy="248920"/>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7">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Calibri" w:cs="Calibri" w:eastAsia="Calibri" w:hAnsi="Calibri"/>
          <w:sz w:val="43"/>
          <w:szCs w:val="43"/>
          <w:b w:val="1"/>
          <w:bCs w:val="1"/>
          <w:color w:val="50535A"/>
        </w:rPr>
        <w:t xml:space="preserve"> SIGNATURES</w:t>
      </w:r>
    </w:p>
    <w:p>
      <w:pPr>
        <w:spacing w:after="0" w:line="30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Pursuant to the requirements of Secton 13 or 15(d) of the Securites Exchange Act of 1934, the Registrant has duly caused this Form 10-K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Calibri" w:cs="Calibri" w:eastAsia="Calibri" w:hAnsi="Calibri"/>
                <w:sz w:val="18"/>
                <w:szCs w:val="18"/>
                <w:b w:val="1"/>
                <w:bCs w:val="1"/>
                <w:color w:val="51555C"/>
              </w:rPr>
              <w:t>Blackbaud, Inc.</w:t>
            </w:r>
          </w:p>
        </w:tc>
        <w:tc>
          <w:tcPr>
            <w:tcW w:w="0" w:type="dxa"/>
            <w:vAlign w:val="bottom"/>
          </w:tcPr>
          <w:p>
            <w:pPr>
              <w:spacing w:after="0"/>
              <w:rPr>
                <w:sz w:val="1"/>
                <w:szCs w:val="1"/>
                <w:color w:val="auto"/>
              </w:rPr>
            </w:pPr>
          </w:p>
        </w:tc>
      </w:tr>
      <w:tr>
        <w:trPr>
          <w:trHeight w:val="540"/>
        </w:trPr>
        <w:tc>
          <w:tcPr>
            <w:tcW w:w="680" w:type="dxa"/>
            <w:vAlign w:val="bottom"/>
          </w:tcPr>
          <w:p>
            <w:pPr>
              <w:spacing w:after="0"/>
              <w:rPr>
                <w:sz w:val="20"/>
                <w:szCs w:val="20"/>
                <w:color w:val="auto"/>
              </w:rPr>
            </w:pPr>
            <w:r>
              <w:rPr>
                <w:rFonts w:ascii="Calibri" w:cs="Calibri" w:eastAsia="Calibri" w:hAnsi="Calibri"/>
                <w:sz w:val="18"/>
                <w:szCs w:val="18"/>
                <w:color w:val="51555C"/>
              </w:rPr>
              <w:t>Signed:</w:t>
            </w:r>
          </w:p>
        </w:tc>
        <w:tc>
          <w:tcPr>
            <w:tcW w:w="5540" w:type="dxa"/>
            <w:vAlign w:val="bottom"/>
          </w:tcPr>
          <w:p>
            <w:pPr>
              <w:ind w:left="160"/>
              <w:spacing w:after="0"/>
              <w:rPr>
                <w:sz w:val="20"/>
                <w:szCs w:val="20"/>
                <w:color w:val="auto"/>
              </w:rPr>
            </w:pPr>
            <w:r>
              <w:rPr>
                <w:rFonts w:ascii="Calibri" w:cs="Calibri" w:eastAsia="Calibri" w:hAnsi="Calibri"/>
                <w:sz w:val="18"/>
                <w:szCs w:val="18"/>
                <w:color w:val="51555C"/>
              </w:rPr>
              <w:t>February 21, 2024</w:t>
            </w:r>
          </w:p>
        </w:tc>
        <w:tc>
          <w:tcPr>
            <w:tcW w:w="5000" w:type="dxa"/>
            <w:vAlign w:val="bottom"/>
            <w:vMerge w:val="restart"/>
          </w:tcPr>
          <w:p>
            <w:pPr>
              <w:spacing w:after="0"/>
              <w:rPr>
                <w:sz w:val="20"/>
                <w:szCs w:val="20"/>
                <w:color w:val="auto"/>
              </w:rPr>
            </w:pPr>
            <w:r>
              <w:rPr>
                <w:rFonts w:ascii="Calibri" w:cs="Calibri" w:eastAsia="Calibri" w:hAnsi="Calibri"/>
                <w:sz w:val="18"/>
                <w:szCs w:val="18"/>
                <w:color w:val="51555C"/>
              </w:rPr>
              <w:t>/S/  MICHAEL P. GIANONI</w:t>
            </w:r>
          </w:p>
        </w:tc>
        <w:tc>
          <w:tcPr>
            <w:tcW w:w="0" w:type="dxa"/>
            <w:vAlign w:val="bottom"/>
          </w:tcPr>
          <w:p>
            <w:pPr>
              <w:spacing w:after="0"/>
              <w:rPr>
                <w:sz w:val="1"/>
                <w:szCs w:val="1"/>
                <w:color w:val="auto"/>
              </w:rPr>
            </w:pPr>
          </w:p>
        </w:tc>
      </w:tr>
      <w:tr>
        <w:trPr>
          <w:trHeight w:val="54"/>
        </w:trPr>
        <w:tc>
          <w:tcPr>
            <w:tcW w:w="680" w:type="dxa"/>
            <w:vAlign w:val="bottom"/>
          </w:tcPr>
          <w:p>
            <w:pPr>
              <w:spacing w:after="0"/>
              <w:rPr>
                <w:sz w:val="4"/>
                <w:szCs w:val="4"/>
                <w:color w:val="auto"/>
              </w:rPr>
            </w:pPr>
          </w:p>
        </w:tc>
        <w:tc>
          <w:tcPr>
            <w:tcW w:w="5540" w:type="dxa"/>
            <w:vAlign w:val="bottom"/>
          </w:tcPr>
          <w:p>
            <w:pPr>
              <w:spacing w:after="0"/>
              <w:rPr>
                <w:sz w:val="4"/>
                <w:szCs w:val="4"/>
                <w:color w:val="auto"/>
              </w:rPr>
            </w:pPr>
          </w:p>
        </w:tc>
        <w:tc>
          <w:tcPr>
            <w:tcW w:w="5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680" w:type="dxa"/>
            <w:vAlign w:val="bottom"/>
          </w:tcPr>
          <w:p>
            <w:pPr>
              <w:spacing w:after="0"/>
              <w:rPr>
                <w:sz w:val="4"/>
                <w:szCs w:val="4"/>
                <w:color w:val="auto"/>
              </w:rPr>
            </w:pPr>
          </w:p>
        </w:tc>
        <w:tc>
          <w:tcPr>
            <w:tcW w:w="5540" w:type="dxa"/>
            <w:vAlign w:val="bottom"/>
          </w:tcPr>
          <w:p>
            <w:pPr>
              <w:spacing w:after="0"/>
              <w:rPr>
                <w:sz w:val="4"/>
                <w:szCs w:val="4"/>
                <w:color w:val="auto"/>
              </w:rPr>
            </w:pPr>
          </w:p>
        </w:tc>
        <w:tc>
          <w:tcPr>
            <w:tcW w:w="5000" w:type="dxa"/>
            <w:vAlign w:val="bottom"/>
            <w:tcBorders>
              <w:bottom w:val="single" w:sz="8" w:color="51555C"/>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6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000" w:type="dxa"/>
            <w:vAlign w:val="bottom"/>
          </w:tcPr>
          <w:p>
            <w:pPr>
              <w:ind w:left="340"/>
              <w:spacing w:after="0" w:line="213" w:lineRule="exact"/>
              <w:rPr>
                <w:sz w:val="20"/>
                <w:szCs w:val="20"/>
                <w:color w:val="auto"/>
              </w:rPr>
            </w:pPr>
            <w:r>
              <w:rPr>
                <w:rFonts w:ascii="Calibri" w:cs="Calibri" w:eastAsia="Calibri" w:hAnsi="Calibri"/>
                <w:sz w:val="18"/>
                <w:szCs w:val="18"/>
                <w:color w:val="51555C"/>
                <w:w w:val="99"/>
              </w:rPr>
              <w:t>Chief Executve Ofcer, President and Vice Chairman of the Board</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5000" w:type="dxa"/>
            <w:vAlign w:val="bottom"/>
          </w:tcPr>
          <w:p>
            <w:pPr>
              <w:ind w:left="340"/>
              <w:spacing w:after="0"/>
              <w:rPr>
                <w:sz w:val="20"/>
                <w:szCs w:val="20"/>
                <w:color w:val="auto"/>
              </w:rPr>
            </w:pPr>
            <w:r>
              <w:rPr>
                <w:rFonts w:ascii="Calibri" w:cs="Calibri" w:eastAsia="Calibri" w:hAnsi="Calibri"/>
                <w:sz w:val="18"/>
                <w:szCs w:val="18"/>
                <w:color w:val="51555C"/>
              </w:rPr>
              <w:t>(Principal Executve Ofcer)</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Pursuant to the requirements of the Securites Exchange Act of 1934, this Form 10-K has been signed below by the following persons on behalf of the Registrant and on the dates indicated.</w:t>
      </w:r>
    </w:p>
    <w:p>
      <w:pPr>
        <w:sectPr>
          <w:pgSz w:w="11900" w:h="16838" w:orient="portrait"/>
          <w:cols w:equalWidth="0" w:num="1">
            <w:col w:w="11240"/>
          </w:cols>
          <w:pgMar w:left="320" w:top="111" w:right="339" w:bottom="1440" w:gutter="0" w:footer="0" w:header="0"/>
        </w:sectPr>
      </w:pPr>
    </w:p>
    <w:p>
      <w:pPr>
        <w:spacing w:after="0" w:line="388"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60" w:type="dxa"/>
            <w:vAlign w:val="bottom"/>
          </w:tcPr>
          <w:p>
            <w:pPr>
              <w:ind w:left="140"/>
              <w:spacing w:after="0"/>
              <w:rPr>
                <w:sz w:val="20"/>
                <w:szCs w:val="20"/>
                <w:color w:val="auto"/>
              </w:rPr>
            </w:pPr>
            <w:r>
              <w:rPr>
                <w:rFonts w:ascii="Calibri" w:cs="Calibri" w:eastAsia="Calibri" w:hAnsi="Calibri"/>
                <w:sz w:val="18"/>
                <w:szCs w:val="18"/>
                <w:color w:val="51555C"/>
              </w:rPr>
              <w:t>MICHAEL P. GIANONI</w:t>
            </w:r>
          </w:p>
        </w:tc>
      </w:tr>
      <w:tr>
        <w:trPr>
          <w:trHeight w:val="50"/>
        </w:trPr>
        <w:tc>
          <w:tcPr>
            <w:tcW w:w="360" w:type="dxa"/>
            <w:vAlign w:val="bottom"/>
            <w:tcBorders>
              <w:bottom w:val="single" w:sz="8" w:color="51555C"/>
            </w:tcBorders>
          </w:tcPr>
          <w:p>
            <w:pPr>
              <w:spacing w:after="0"/>
              <w:rPr>
                <w:sz w:val="4"/>
                <w:szCs w:val="4"/>
                <w:color w:val="auto"/>
              </w:rPr>
            </w:pPr>
          </w:p>
        </w:tc>
        <w:tc>
          <w:tcPr>
            <w:tcW w:w="296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60" w:type="dxa"/>
            <w:vAlign w:val="bottom"/>
          </w:tcPr>
          <w:p>
            <w:pPr>
              <w:ind w:left="340"/>
              <w:spacing w:after="0" w:line="213" w:lineRule="exact"/>
              <w:rPr>
                <w:sz w:val="20"/>
                <w:szCs w:val="20"/>
                <w:color w:val="auto"/>
              </w:rPr>
            </w:pPr>
            <w:r>
              <w:rPr>
                <w:rFonts w:ascii="Calibri" w:cs="Calibri" w:eastAsia="Calibri" w:hAnsi="Calibri"/>
                <w:sz w:val="18"/>
                <w:szCs w:val="18"/>
                <w:b w:val="1"/>
                <w:bCs w:val="1"/>
                <w:color w:val="51555C"/>
              </w:rPr>
              <w:t>Michael P. Gianoni</w:t>
            </w:r>
          </w:p>
        </w:tc>
      </w:tr>
      <w:tr>
        <w:trPr>
          <w:trHeight w:val="675"/>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60" w:type="dxa"/>
            <w:vAlign w:val="bottom"/>
          </w:tcPr>
          <w:p>
            <w:pPr>
              <w:ind w:left="140"/>
              <w:spacing w:after="0"/>
              <w:rPr>
                <w:sz w:val="20"/>
                <w:szCs w:val="20"/>
                <w:color w:val="auto"/>
              </w:rPr>
            </w:pPr>
            <w:r>
              <w:rPr>
                <w:rFonts w:ascii="Calibri" w:cs="Calibri" w:eastAsia="Calibri" w:hAnsi="Calibri"/>
                <w:sz w:val="18"/>
                <w:szCs w:val="18"/>
                <w:color w:val="51555C"/>
              </w:rPr>
              <w:t>ANTHONY W. BOOR</w:t>
            </w:r>
          </w:p>
        </w:tc>
      </w:tr>
      <w:tr>
        <w:trPr>
          <w:trHeight w:val="50"/>
        </w:trPr>
        <w:tc>
          <w:tcPr>
            <w:tcW w:w="360" w:type="dxa"/>
            <w:vAlign w:val="bottom"/>
            <w:tcBorders>
              <w:bottom w:val="single" w:sz="8" w:color="51555C"/>
            </w:tcBorders>
          </w:tcPr>
          <w:p>
            <w:pPr>
              <w:spacing w:after="0"/>
              <w:rPr>
                <w:sz w:val="4"/>
                <w:szCs w:val="4"/>
                <w:color w:val="auto"/>
              </w:rPr>
            </w:pPr>
          </w:p>
        </w:tc>
        <w:tc>
          <w:tcPr>
            <w:tcW w:w="296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60" w:type="dxa"/>
            <w:vAlign w:val="bottom"/>
          </w:tcPr>
          <w:p>
            <w:pPr>
              <w:ind w:left="340"/>
              <w:spacing w:after="0" w:line="213" w:lineRule="exact"/>
              <w:rPr>
                <w:sz w:val="20"/>
                <w:szCs w:val="20"/>
                <w:color w:val="auto"/>
              </w:rPr>
            </w:pPr>
            <w:r>
              <w:rPr>
                <w:rFonts w:ascii="Calibri" w:cs="Calibri" w:eastAsia="Calibri" w:hAnsi="Calibri"/>
                <w:sz w:val="18"/>
                <w:szCs w:val="18"/>
                <w:b w:val="1"/>
                <w:bCs w:val="1"/>
                <w:color w:val="51555C"/>
              </w:rPr>
              <w:t>Anthony W. Boor</w:t>
            </w:r>
          </w:p>
        </w:tc>
      </w:tr>
      <w:tr>
        <w:trPr>
          <w:trHeight w:val="621"/>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60" w:type="dxa"/>
            <w:vAlign w:val="bottom"/>
          </w:tcPr>
          <w:p>
            <w:pPr>
              <w:ind w:left="140"/>
              <w:spacing w:after="0"/>
              <w:rPr>
                <w:sz w:val="20"/>
                <w:szCs w:val="20"/>
                <w:color w:val="auto"/>
              </w:rPr>
            </w:pPr>
            <w:r>
              <w:rPr>
                <w:rFonts w:ascii="Calibri" w:cs="Calibri" w:eastAsia="Calibri" w:hAnsi="Calibri"/>
                <w:sz w:val="18"/>
                <w:szCs w:val="18"/>
                <w:color w:val="51555C"/>
              </w:rPr>
              <w:t>ANDREW M. LEITCH</w:t>
            </w:r>
          </w:p>
        </w:tc>
      </w:tr>
      <w:tr>
        <w:trPr>
          <w:trHeight w:val="50"/>
        </w:trPr>
        <w:tc>
          <w:tcPr>
            <w:tcW w:w="360" w:type="dxa"/>
            <w:vAlign w:val="bottom"/>
            <w:tcBorders>
              <w:bottom w:val="single" w:sz="8" w:color="51555C"/>
            </w:tcBorders>
          </w:tcPr>
          <w:p>
            <w:pPr>
              <w:spacing w:after="0"/>
              <w:rPr>
                <w:sz w:val="4"/>
                <w:szCs w:val="4"/>
                <w:color w:val="auto"/>
              </w:rPr>
            </w:pPr>
          </w:p>
        </w:tc>
        <w:tc>
          <w:tcPr>
            <w:tcW w:w="296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60" w:type="dxa"/>
            <w:vAlign w:val="bottom"/>
          </w:tcPr>
          <w:p>
            <w:pPr>
              <w:ind w:left="340"/>
              <w:spacing w:after="0" w:line="213" w:lineRule="exact"/>
              <w:rPr>
                <w:sz w:val="20"/>
                <w:szCs w:val="20"/>
                <w:color w:val="auto"/>
              </w:rPr>
            </w:pPr>
            <w:r>
              <w:rPr>
                <w:rFonts w:ascii="Calibri" w:cs="Calibri" w:eastAsia="Calibri" w:hAnsi="Calibri"/>
                <w:sz w:val="18"/>
                <w:szCs w:val="18"/>
                <w:b w:val="1"/>
                <w:bCs w:val="1"/>
                <w:color w:val="51555C"/>
              </w:rPr>
              <w:t>Andrew M. Leitch</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60" w:type="dxa"/>
            <w:vAlign w:val="bottom"/>
          </w:tcPr>
          <w:p>
            <w:pPr>
              <w:ind w:left="140"/>
              <w:spacing w:after="0"/>
              <w:rPr>
                <w:sz w:val="20"/>
                <w:szCs w:val="20"/>
                <w:color w:val="auto"/>
              </w:rPr>
            </w:pPr>
            <w:r>
              <w:rPr>
                <w:rFonts w:ascii="Calibri" w:cs="Calibri" w:eastAsia="Calibri" w:hAnsi="Calibri"/>
                <w:sz w:val="18"/>
                <w:szCs w:val="18"/>
                <w:color w:val="51555C"/>
              </w:rPr>
              <w:t>DENEEN DEFIORE</w:t>
            </w:r>
          </w:p>
        </w:tc>
      </w:tr>
      <w:tr>
        <w:trPr>
          <w:trHeight w:val="50"/>
        </w:trPr>
        <w:tc>
          <w:tcPr>
            <w:tcW w:w="360" w:type="dxa"/>
            <w:vAlign w:val="bottom"/>
            <w:tcBorders>
              <w:bottom w:val="single" w:sz="8" w:color="51555C"/>
            </w:tcBorders>
          </w:tcPr>
          <w:p>
            <w:pPr>
              <w:spacing w:after="0"/>
              <w:rPr>
                <w:sz w:val="4"/>
                <w:szCs w:val="4"/>
                <w:color w:val="auto"/>
              </w:rPr>
            </w:pPr>
          </w:p>
        </w:tc>
        <w:tc>
          <w:tcPr>
            <w:tcW w:w="296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60" w:type="dxa"/>
            <w:vAlign w:val="bottom"/>
          </w:tcPr>
          <w:p>
            <w:pPr>
              <w:ind w:left="340"/>
              <w:spacing w:after="0" w:line="213" w:lineRule="exact"/>
              <w:rPr>
                <w:sz w:val="20"/>
                <w:szCs w:val="20"/>
                <w:color w:val="auto"/>
              </w:rPr>
            </w:pPr>
            <w:r>
              <w:rPr>
                <w:rFonts w:ascii="Calibri" w:cs="Calibri" w:eastAsia="Calibri" w:hAnsi="Calibri"/>
                <w:sz w:val="18"/>
                <w:szCs w:val="18"/>
                <w:b w:val="1"/>
                <w:bCs w:val="1"/>
                <w:color w:val="51555C"/>
              </w:rPr>
              <w:t>Deneen DeFiore</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60" w:type="dxa"/>
            <w:vAlign w:val="bottom"/>
          </w:tcPr>
          <w:p>
            <w:pPr>
              <w:ind w:left="140"/>
              <w:spacing w:after="0"/>
              <w:rPr>
                <w:sz w:val="20"/>
                <w:szCs w:val="20"/>
                <w:color w:val="auto"/>
              </w:rPr>
            </w:pPr>
            <w:r>
              <w:rPr>
                <w:rFonts w:ascii="Calibri" w:cs="Calibri" w:eastAsia="Calibri" w:hAnsi="Calibri"/>
                <w:sz w:val="18"/>
                <w:szCs w:val="18"/>
                <w:color w:val="51555C"/>
              </w:rPr>
              <w:t>GEORGE H. ELLIS</w:t>
            </w:r>
          </w:p>
        </w:tc>
      </w:tr>
      <w:tr>
        <w:trPr>
          <w:trHeight w:val="50"/>
        </w:trPr>
        <w:tc>
          <w:tcPr>
            <w:tcW w:w="360" w:type="dxa"/>
            <w:vAlign w:val="bottom"/>
            <w:tcBorders>
              <w:bottom w:val="single" w:sz="8" w:color="51555C"/>
            </w:tcBorders>
          </w:tcPr>
          <w:p>
            <w:pPr>
              <w:spacing w:after="0"/>
              <w:rPr>
                <w:sz w:val="4"/>
                <w:szCs w:val="4"/>
                <w:color w:val="auto"/>
              </w:rPr>
            </w:pPr>
          </w:p>
        </w:tc>
        <w:tc>
          <w:tcPr>
            <w:tcW w:w="296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60" w:type="dxa"/>
            <w:vAlign w:val="bottom"/>
          </w:tcPr>
          <w:p>
            <w:pPr>
              <w:ind w:left="340"/>
              <w:spacing w:after="0" w:line="213" w:lineRule="exact"/>
              <w:rPr>
                <w:sz w:val="20"/>
                <w:szCs w:val="20"/>
                <w:color w:val="auto"/>
              </w:rPr>
            </w:pPr>
            <w:r>
              <w:rPr>
                <w:rFonts w:ascii="Calibri" w:cs="Calibri" w:eastAsia="Calibri" w:hAnsi="Calibri"/>
                <w:sz w:val="18"/>
                <w:szCs w:val="18"/>
                <w:b w:val="1"/>
                <w:bCs w:val="1"/>
                <w:color w:val="51555C"/>
              </w:rPr>
              <w:t>George H. Ellis</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60" w:type="dxa"/>
            <w:vAlign w:val="bottom"/>
          </w:tcPr>
          <w:p>
            <w:pPr>
              <w:ind w:left="140"/>
              <w:spacing w:after="0"/>
              <w:rPr>
                <w:sz w:val="20"/>
                <w:szCs w:val="20"/>
                <w:color w:val="auto"/>
              </w:rPr>
            </w:pPr>
            <w:r>
              <w:rPr>
                <w:rFonts w:ascii="Calibri" w:cs="Calibri" w:eastAsia="Calibri" w:hAnsi="Calibri"/>
                <w:sz w:val="18"/>
                <w:szCs w:val="18"/>
                <w:color w:val="51555C"/>
              </w:rPr>
              <w:t>YOGESH K. GUPTA</w:t>
            </w:r>
          </w:p>
        </w:tc>
      </w:tr>
      <w:tr>
        <w:trPr>
          <w:trHeight w:val="50"/>
        </w:trPr>
        <w:tc>
          <w:tcPr>
            <w:tcW w:w="360" w:type="dxa"/>
            <w:vAlign w:val="bottom"/>
            <w:tcBorders>
              <w:bottom w:val="single" w:sz="8" w:color="51555C"/>
            </w:tcBorders>
          </w:tcPr>
          <w:p>
            <w:pPr>
              <w:spacing w:after="0"/>
              <w:rPr>
                <w:sz w:val="4"/>
                <w:szCs w:val="4"/>
                <w:color w:val="auto"/>
              </w:rPr>
            </w:pPr>
          </w:p>
        </w:tc>
        <w:tc>
          <w:tcPr>
            <w:tcW w:w="296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60" w:type="dxa"/>
            <w:vAlign w:val="bottom"/>
          </w:tcPr>
          <w:p>
            <w:pPr>
              <w:ind w:left="340"/>
              <w:spacing w:after="0" w:line="213" w:lineRule="exact"/>
              <w:rPr>
                <w:sz w:val="20"/>
                <w:szCs w:val="20"/>
                <w:color w:val="auto"/>
              </w:rPr>
            </w:pPr>
            <w:r>
              <w:rPr>
                <w:rFonts w:ascii="Calibri" w:cs="Calibri" w:eastAsia="Calibri" w:hAnsi="Calibri"/>
                <w:sz w:val="18"/>
                <w:szCs w:val="18"/>
                <w:b w:val="1"/>
                <w:bCs w:val="1"/>
                <w:color w:val="51555C"/>
              </w:rPr>
              <w:t>Yogesh K. Gupta</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60" w:type="dxa"/>
            <w:vAlign w:val="bottom"/>
          </w:tcPr>
          <w:p>
            <w:pPr>
              <w:ind w:left="140"/>
              <w:spacing w:after="0"/>
              <w:rPr>
                <w:sz w:val="20"/>
                <w:szCs w:val="20"/>
                <w:color w:val="auto"/>
              </w:rPr>
            </w:pPr>
            <w:r>
              <w:rPr>
                <w:rFonts w:ascii="Calibri" w:cs="Calibri" w:eastAsia="Calibri" w:hAnsi="Calibri"/>
                <w:sz w:val="18"/>
                <w:szCs w:val="18"/>
                <w:color w:val="51555C"/>
              </w:rPr>
              <w:t>RUPAL S. HOLLENBECK</w:t>
            </w:r>
          </w:p>
        </w:tc>
      </w:tr>
      <w:tr>
        <w:trPr>
          <w:trHeight w:val="50"/>
        </w:trPr>
        <w:tc>
          <w:tcPr>
            <w:tcW w:w="360" w:type="dxa"/>
            <w:vAlign w:val="bottom"/>
            <w:tcBorders>
              <w:bottom w:val="single" w:sz="8" w:color="51555C"/>
            </w:tcBorders>
          </w:tcPr>
          <w:p>
            <w:pPr>
              <w:spacing w:after="0"/>
              <w:rPr>
                <w:sz w:val="4"/>
                <w:szCs w:val="4"/>
                <w:color w:val="auto"/>
              </w:rPr>
            </w:pPr>
          </w:p>
        </w:tc>
        <w:tc>
          <w:tcPr>
            <w:tcW w:w="296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60" w:type="dxa"/>
            <w:vAlign w:val="bottom"/>
          </w:tcPr>
          <w:p>
            <w:pPr>
              <w:ind w:left="340"/>
              <w:spacing w:after="0" w:line="213" w:lineRule="exact"/>
              <w:rPr>
                <w:sz w:val="20"/>
                <w:szCs w:val="20"/>
                <w:color w:val="auto"/>
              </w:rPr>
            </w:pPr>
            <w:r>
              <w:rPr>
                <w:rFonts w:ascii="Calibri" w:cs="Calibri" w:eastAsia="Calibri" w:hAnsi="Calibri"/>
                <w:sz w:val="18"/>
                <w:szCs w:val="18"/>
                <w:b w:val="1"/>
                <w:bCs w:val="1"/>
                <w:color w:val="51555C"/>
              </w:rPr>
              <w:t>Rupal S. Hollenbeck</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60" w:type="dxa"/>
            <w:vAlign w:val="bottom"/>
          </w:tcPr>
          <w:p>
            <w:pPr>
              <w:ind w:left="140"/>
              <w:spacing w:after="0"/>
              <w:rPr>
                <w:sz w:val="20"/>
                <w:szCs w:val="20"/>
                <w:color w:val="auto"/>
              </w:rPr>
            </w:pPr>
            <w:r>
              <w:rPr>
                <w:rFonts w:ascii="Calibri" w:cs="Calibri" w:eastAsia="Calibri" w:hAnsi="Calibri"/>
                <w:sz w:val="18"/>
                <w:szCs w:val="18"/>
                <w:color w:val="51555C"/>
              </w:rPr>
              <w:t>D. ROGER NANNEY</w:t>
            </w:r>
          </w:p>
        </w:tc>
      </w:tr>
      <w:tr>
        <w:trPr>
          <w:trHeight w:val="50"/>
        </w:trPr>
        <w:tc>
          <w:tcPr>
            <w:tcW w:w="360" w:type="dxa"/>
            <w:vAlign w:val="bottom"/>
            <w:tcBorders>
              <w:bottom w:val="single" w:sz="8" w:color="51555C"/>
            </w:tcBorders>
          </w:tcPr>
          <w:p>
            <w:pPr>
              <w:spacing w:after="0"/>
              <w:rPr>
                <w:sz w:val="4"/>
                <w:szCs w:val="4"/>
                <w:color w:val="auto"/>
              </w:rPr>
            </w:pPr>
          </w:p>
        </w:tc>
        <w:tc>
          <w:tcPr>
            <w:tcW w:w="296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60" w:type="dxa"/>
            <w:vAlign w:val="bottom"/>
          </w:tcPr>
          <w:p>
            <w:pPr>
              <w:ind w:left="340"/>
              <w:spacing w:after="0" w:line="213" w:lineRule="exact"/>
              <w:rPr>
                <w:sz w:val="20"/>
                <w:szCs w:val="20"/>
                <w:color w:val="auto"/>
              </w:rPr>
            </w:pPr>
            <w:r>
              <w:rPr>
                <w:rFonts w:ascii="Calibri" w:cs="Calibri" w:eastAsia="Calibri" w:hAnsi="Calibri"/>
                <w:sz w:val="18"/>
                <w:szCs w:val="18"/>
                <w:b w:val="1"/>
                <w:bCs w:val="1"/>
                <w:color w:val="51555C"/>
              </w:rPr>
              <w:t>D. Roger Nanney</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60" w:type="dxa"/>
            <w:vAlign w:val="bottom"/>
          </w:tcPr>
          <w:p>
            <w:pPr>
              <w:ind w:left="140"/>
              <w:spacing w:after="0"/>
              <w:rPr>
                <w:sz w:val="20"/>
                <w:szCs w:val="20"/>
                <w:color w:val="auto"/>
              </w:rPr>
            </w:pPr>
            <w:r>
              <w:rPr>
                <w:rFonts w:ascii="Calibri" w:cs="Calibri" w:eastAsia="Calibri" w:hAnsi="Calibri"/>
                <w:sz w:val="18"/>
                <w:szCs w:val="18"/>
                <w:color w:val="51555C"/>
              </w:rPr>
              <w:t>SARAH E. NASH</w:t>
            </w:r>
          </w:p>
        </w:tc>
      </w:tr>
      <w:tr>
        <w:trPr>
          <w:trHeight w:val="50"/>
        </w:trPr>
        <w:tc>
          <w:tcPr>
            <w:tcW w:w="360" w:type="dxa"/>
            <w:vAlign w:val="bottom"/>
            <w:tcBorders>
              <w:bottom w:val="single" w:sz="8" w:color="51555C"/>
            </w:tcBorders>
          </w:tcPr>
          <w:p>
            <w:pPr>
              <w:spacing w:after="0"/>
              <w:rPr>
                <w:sz w:val="4"/>
                <w:szCs w:val="4"/>
                <w:color w:val="auto"/>
              </w:rPr>
            </w:pPr>
          </w:p>
        </w:tc>
        <w:tc>
          <w:tcPr>
            <w:tcW w:w="296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60" w:type="dxa"/>
            <w:vAlign w:val="bottom"/>
          </w:tcPr>
          <w:p>
            <w:pPr>
              <w:ind w:left="340"/>
              <w:spacing w:after="0" w:line="213" w:lineRule="exact"/>
              <w:rPr>
                <w:sz w:val="20"/>
                <w:szCs w:val="20"/>
                <w:color w:val="auto"/>
              </w:rPr>
            </w:pPr>
            <w:r>
              <w:rPr>
                <w:rFonts w:ascii="Calibri" w:cs="Calibri" w:eastAsia="Calibri" w:hAnsi="Calibri"/>
                <w:sz w:val="18"/>
                <w:szCs w:val="18"/>
                <w:b w:val="1"/>
                <w:bCs w:val="1"/>
                <w:color w:val="51555C"/>
              </w:rPr>
              <w:t>Sarah E. Nash</w:t>
            </w:r>
          </w:p>
        </w:tc>
      </w:tr>
      <w:tr>
        <w:trPr>
          <w:trHeight w:val="486"/>
        </w:trPr>
        <w:tc>
          <w:tcPr>
            <w:tcW w:w="360" w:type="dxa"/>
            <w:vAlign w:val="bottom"/>
          </w:tcPr>
          <w:p>
            <w:pPr>
              <w:ind w:left="20"/>
              <w:spacing w:after="0"/>
              <w:rPr>
                <w:sz w:val="20"/>
                <w:szCs w:val="20"/>
                <w:color w:val="auto"/>
              </w:rPr>
            </w:pPr>
            <w:r>
              <w:rPr>
                <w:rFonts w:ascii="Calibri" w:cs="Calibri" w:eastAsia="Calibri" w:hAnsi="Calibri"/>
                <w:sz w:val="18"/>
                <w:szCs w:val="18"/>
                <w:color w:val="51555C"/>
              </w:rPr>
              <w:t>/S/</w:t>
            </w:r>
          </w:p>
        </w:tc>
        <w:tc>
          <w:tcPr>
            <w:tcW w:w="2960" w:type="dxa"/>
            <w:vAlign w:val="bottom"/>
          </w:tcPr>
          <w:p>
            <w:pPr>
              <w:ind w:left="140"/>
              <w:spacing w:after="0"/>
              <w:rPr>
                <w:sz w:val="20"/>
                <w:szCs w:val="20"/>
                <w:color w:val="auto"/>
              </w:rPr>
            </w:pPr>
            <w:r>
              <w:rPr>
                <w:rFonts w:ascii="Calibri" w:cs="Calibri" w:eastAsia="Calibri" w:hAnsi="Calibri"/>
                <w:sz w:val="18"/>
                <w:szCs w:val="18"/>
                <w:color w:val="51555C"/>
              </w:rPr>
              <w:t>KRISTIAN P. TALVITIE</w:t>
            </w:r>
          </w:p>
        </w:tc>
      </w:tr>
      <w:tr>
        <w:trPr>
          <w:trHeight w:val="51"/>
        </w:trPr>
        <w:tc>
          <w:tcPr>
            <w:tcW w:w="360" w:type="dxa"/>
            <w:vAlign w:val="bottom"/>
            <w:tcBorders>
              <w:bottom w:val="single" w:sz="8" w:color="51555C"/>
            </w:tcBorders>
          </w:tcPr>
          <w:p>
            <w:pPr>
              <w:spacing w:after="0"/>
              <w:rPr>
                <w:sz w:val="4"/>
                <w:szCs w:val="4"/>
                <w:color w:val="auto"/>
              </w:rPr>
            </w:pPr>
          </w:p>
        </w:tc>
        <w:tc>
          <w:tcPr>
            <w:tcW w:w="2960" w:type="dxa"/>
            <w:vAlign w:val="bottom"/>
            <w:tcBorders>
              <w:bottom w:val="single" w:sz="8" w:color="51555C"/>
            </w:tcBorders>
          </w:tcPr>
          <w:p>
            <w:pPr>
              <w:spacing w:after="0"/>
              <w:rPr>
                <w:sz w:val="4"/>
                <w:szCs w:val="4"/>
                <w:color w:val="auto"/>
              </w:rPr>
            </w:pPr>
          </w:p>
        </w:tc>
      </w:tr>
      <w:tr>
        <w:trPr>
          <w:trHeight w:val="213"/>
        </w:trPr>
        <w:tc>
          <w:tcPr>
            <w:tcW w:w="360" w:type="dxa"/>
            <w:vAlign w:val="bottom"/>
          </w:tcPr>
          <w:p>
            <w:pPr>
              <w:spacing w:after="0"/>
              <w:rPr>
                <w:sz w:val="18"/>
                <w:szCs w:val="18"/>
                <w:color w:val="auto"/>
              </w:rPr>
            </w:pPr>
          </w:p>
        </w:tc>
        <w:tc>
          <w:tcPr>
            <w:tcW w:w="2960" w:type="dxa"/>
            <w:vAlign w:val="bottom"/>
          </w:tcPr>
          <w:p>
            <w:pPr>
              <w:ind w:left="340"/>
              <w:spacing w:after="0" w:line="213" w:lineRule="exact"/>
              <w:rPr>
                <w:sz w:val="20"/>
                <w:szCs w:val="20"/>
                <w:color w:val="auto"/>
              </w:rPr>
            </w:pPr>
            <w:r>
              <w:rPr>
                <w:rFonts w:ascii="Calibri" w:cs="Calibri" w:eastAsia="Calibri" w:hAnsi="Calibri"/>
                <w:sz w:val="18"/>
                <w:szCs w:val="18"/>
                <w:b w:val="1"/>
                <w:bCs w:val="1"/>
                <w:color w:val="51555C"/>
              </w:rPr>
              <w:t>Kristan P. Talvite</w:t>
            </w:r>
          </w:p>
        </w:tc>
      </w:tr>
    </w:tbl>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980" w:type="dxa"/>
            <w:vAlign w:val="bottom"/>
            <w:vMerge w:val="restart"/>
          </w:tcPr>
          <w:p>
            <w:pPr>
              <w:spacing w:after="0"/>
              <w:rPr>
                <w:sz w:val="20"/>
                <w:szCs w:val="20"/>
                <w:color w:val="auto"/>
              </w:rPr>
            </w:pPr>
            <w:r>
              <w:rPr>
                <w:rFonts w:ascii="Calibri" w:cs="Calibri" w:eastAsia="Calibri" w:hAnsi="Calibri"/>
                <w:sz w:val="18"/>
                <w:szCs w:val="18"/>
                <w:color w:val="51555C"/>
              </w:rPr>
              <w:t>Chief Executve Ofcer, President and Vice</w:t>
            </w:r>
          </w:p>
        </w:tc>
        <w:tc>
          <w:tcPr>
            <w:tcW w:w="2120" w:type="dxa"/>
            <w:vAlign w:val="bottom"/>
          </w:tcPr>
          <w:p>
            <w:pPr>
              <w:ind w:left="420"/>
              <w:spacing w:after="0"/>
              <w:rPr>
                <w:sz w:val="20"/>
                <w:szCs w:val="20"/>
                <w:color w:val="auto"/>
              </w:rPr>
            </w:pPr>
            <w:r>
              <w:rPr>
                <w:rFonts w:ascii="Calibri" w:cs="Calibri" w:eastAsia="Calibri" w:hAnsi="Calibri"/>
                <w:sz w:val="18"/>
                <w:szCs w:val="18"/>
                <w:color w:val="51555C"/>
                <w:w w:val="95"/>
              </w:rPr>
              <w:t>Date: February 21, 2024</w:t>
            </w:r>
          </w:p>
        </w:tc>
        <w:tc>
          <w:tcPr>
            <w:tcW w:w="0" w:type="dxa"/>
            <w:vAlign w:val="bottom"/>
          </w:tcPr>
          <w:p>
            <w:pPr>
              <w:spacing w:after="0"/>
              <w:rPr>
                <w:sz w:val="1"/>
                <w:szCs w:val="1"/>
                <w:color w:val="auto"/>
              </w:rPr>
            </w:pPr>
          </w:p>
        </w:tc>
      </w:tr>
      <w:tr>
        <w:trPr>
          <w:trHeight w:val="54"/>
        </w:trPr>
        <w:tc>
          <w:tcPr>
            <w:tcW w:w="398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line="216" w:lineRule="exact"/>
              <w:rPr>
                <w:sz w:val="20"/>
                <w:szCs w:val="20"/>
                <w:color w:val="auto"/>
              </w:rPr>
            </w:pPr>
            <w:r>
              <w:rPr>
                <w:rFonts w:ascii="Calibri" w:cs="Calibri" w:eastAsia="Calibri" w:hAnsi="Calibri"/>
                <w:sz w:val="18"/>
                <w:szCs w:val="18"/>
                <w:color w:val="51555C"/>
              </w:rPr>
              <w:t>Chairman of the Board (Principal Executve</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line="216" w:lineRule="exact"/>
              <w:rPr>
                <w:sz w:val="20"/>
                <w:szCs w:val="20"/>
                <w:color w:val="auto"/>
              </w:rPr>
            </w:pPr>
            <w:r>
              <w:rPr>
                <w:rFonts w:ascii="Calibri" w:cs="Calibri" w:eastAsia="Calibri" w:hAnsi="Calibri"/>
                <w:sz w:val="18"/>
                <w:szCs w:val="18"/>
                <w:color w:val="51555C"/>
              </w:rPr>
              <w:t>Ofcer)</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3980" w:type="dxa"/>
            <w:vAlign w:val="bottom"/>
            <w:vMerge w:val="restart"/>
          </w:tcPr>
          <w:p>
            <w:pPr>
              <w:spacing w:after="0"/>
              <w:rPr>
                <w:sz w:val="20"/>
                <w:szCs w:val="20"/>
                <w:color w:val="auto"/>
              </w:rPr>
            </w:pPr>
            <w:r>
              <w:rPr>
                <w:rFonts w:ascii="Calibri" w:cs="Calibri" w:eastAsia="Calibri" w:hAnsi="Calibri"/>
                <w:sz w:val="18"/>
                <w:szCs w:val="18"/>
                <w:color w:val="51555C"/>
              </w:rPr>
              <w:t>Executve Vice President and Chief Financial</w:t>
            </w:r>
          </w:p>
        </w:tc>
        <w:tc>
          <w:tcPr>
            <w:tcW w:w="2120" w:type="dxa"/>
            <w:vAlign w:val="bottom"/>
          </w:tcPr>
          <w:p>
            <w:pPr>
              <w:ind w:left="420"/>
              <w:spacing w:after="0"/>
              <w:rPr>
                <w:sz w:val="20"/>
                <w:szCs w:val="20"/>
                <w:color w:val="auto"/>
              </w:rPr>
            </w:pPr>
            <w:r>
              <w:rPr>
                <w:rFonts w:ascii="Calibri" w:cs="Calibri" w:eastAsia="Calibri" w:hAnsi="Calibri"/>
                <w:sz w:val="18"/>
                <w:szCs w:val="18"/>
                <w:color w:val="51555C"/>
                <w:w w:val="95"/>
              </w:rPr>
              <w:t>Date: February 21, 2024</w:t>
            </w:r>
          </w:p>
        </w:tc>
        <w:tc>
          <w:tcPr>
            <w:tcW w:w="0" w:type="dxa"/>
            <w:vAlign w:val="bottom"/>
          </w:tcPr>
          <w:p>
            <w:pPr>
              <w:spacing w:after="0"/>
              <w:rPr>
                <w:sz w:val="1"/>
                <w:szCs w:val="1"/>
                <w:color w:val="auto"/>
              </w:rPr>
            </w:pPr>
          </w:p>
        </w:tc>
      </w:tr>
      <w:tr>
        <w:trPr>
          <w:trHeight w:val="54"/>
        </w:trPr>
        <w:tc>
          <w:tcPr>
            <w:tcW w:w="398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line="216" w:lineRule="exact"/>
              <w:rPr>
                <w:sz w:val="20"/>
                <w:szCs w:val="20"/>
                <w:color w:val="auto"/>
              </w:rPr>
            </w:pPr>
            <w:r>
              <w:rPr>
                <w:rFonts w:ascii="Calibri" w:cs="Calibri" w:eastAsia="Calibri" w:hAnsi="Calibri"/>
                <w:sz w:val="18"/>
                <w:szCs w:val="18"/>
                <w:color w:val="51555C"/>
              </w:rPr>
              <w:t>Ofcer (Principal Financial and Accountng Ofcer)</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3980" w:type="dxa"/>
            <w:vAlign w:val="bottom"/>
          </w:tcPr>
          <w:p>
            <w:pPr>
              <w:spacing w:after="0"/>
              <w:rPr>
                <w:sz w:val="20"/>
                <w:szCs w:val="20"/>
                <w:color w:val="auto"/>
              </w:rPr>
            </w:pPr>
            <w:r>
              <w:rPr>
                <w:rFonts w:ascii="Calibri" w:cs="Calibri" w:eastAsia="Calibri" w:hAnsi="Calibri"/>
                <w:sz w:val="18"/>
                <w:szCs w:val="18"/>
                <w:color w:val="51555C"/>
              </w:rPr>
              <w:t>Chairman of the Board of Directors</w:t>
            </w:r>
          </w:p>
        </w:tc>
        <w:tc>
          <w:tcPr>
            <w:tcW w:w="2120" w:type="dxa"/>
            <w:vAlign w:val="bottom"/>
          </w:tcPr>
          <w:p>
            <w:pPr>
              <w:ind w:left="420"/>
              <w:spacing w:after="0"/>
              <w:rPr>
                <w:sz w:val="20"/>
                <w:szCs w:val="20"/>
                <w:color w:val="auto"/>
              </w:rPr>
            </w:pPr>
            <w:r>
              <w:rPr>
                <w:rFonts w:ascii="Calibri" w:cs="Calibri" w:eastAsia="Calibri" w:hAnsi="Calibri"/>
                <w:sz w:val="18"/>
                <w:szCs w:val="18"/>
                <w:color w:val="51555C"/>
                <w:w w:val="95"/>
              </w:rPr>
              <w:t>Date: February 21, 2024</w:t>
            </w:r>
          </w:p>
        </w:tc>
        <w:tc>
          <w:tcPr>
            <w:tcW w:w="0" w:type="dxa"/>
            <w:vAlign w:val="bottom"/>
          </w:tcPr>
          <w:p>
            <w:pPr>
              <w:spacing w:after="0"/>
              <w:rPr>
                <w:sz w:val="1"/>
                <w:szCs w:val="1"/>
                <w:color w:val="auto"/>
              </w:rPr>
            </w:pPr>
          </w:p>
        </w:tc>
      </w:tr>
      <w:tr>
        <w:trPr>
          <w:trHeight w:val="770"/>
        </w:trPr>
        <w:tc>
          <w:tcPr>
            <w:tcW w:w="3980" w:type="dxa"/>
            <w:vAlign w:val="bottom"/>
          </w:tcPr>
          <w:p>
            <w:pPr>
              <w:spacing w:after="0"/>
              <w:rPr>
                <w:sz w:val="20"/>
                <w:szCs w:val="20"/>
                <w:color w:val="auto"/>
              </w:rPr>
            </w:pPr>
            <w:r>
              <w:rPr>
                <w:rFonts w:ascii="Calibri" w:cs="Calibri" w:eastAsia="Calibri" w:hAnsi="Calibri"/>
                <w:sz w:val="18"/>
                <w:szCs w:val="18"/>
                <w:color w:val="51555C"/>
              </w:rPr>
              <w:t>Director</w:t>
            </w:r>
          </w:p>
        </w:tc>
        <w:tc>
          <w:tcPr>
            <w:tcW w:w="2120" w:type="dxa"/>
            <w:vAlign w:val="bottom"/>
          </w:tcPr>
          <w:p>
            <w:pPr>
              <w:ind w:left="420"/>
              <w:spacing w:after="0"/>
              <w:rPr>
                <w:sz w:val="20"/>
                <w:szCs w:val="20"/>
                <w:color w:val="auto"/>
              </w:rPr>
            </w:pPr>
            <w:r>
              <w:rPr>
                <w:rFonts w:ascii="Calibri" w:cs="Calibri" w:eastAsia="Calibri" w:hAnsi="Calibri"/>
                <w:sz w:val="18"/>
                <w:szCs w:val="18"/>
                <w:color w:val="51555C"/>
                <w:w w:val="95"/>
              </w:rPr>
              <w:t>Date: February 21, 2024</w:t>
            </w:r>
          </w:p>
        </w:tc>
        <w:tc>
          <w:tcPr>
            <w:tcW w:w="0" w:type="dxa"/>
            <w:vAlign w:val="bottom"/>
          </w:tcPr>
          <w:p>
            <w:pPr>
              <w:spacing w:after="0"/>
              <w:rPr>
                <w:sz w:val="1"/>
                <w:szCs w:val="1"/>
                <w:color w:val="auto"/>
              </w:rPr>
            </w:pPr>
          </w:p>
        </w:tc>
      </w:tr>
      <w:tr>
        <w:trPr>
          <w:trHeight w:val="770"/>
        </w:trPr>
        <w:tc>
          <w:tcPr>
            <w:tcW w:w="3980" w:type="dxa"/>
            <w:vAlign w:val="bottom"/>
          </w:tcPr>
          <w:p>
            <w:pPr>
              <w:spacing w:after="0"/>
              <w:rPr>
                <w:sz w:val="20"/>
                <w:szCs w:val="20"/>
                <w:color w:val="auto"/>
              </w:rPr>
            </w:pPr>
            <w:r>
              <w:rPr>
                <w:rFonts w:ascii="Calibri" w:cs="Calibri" w:eastAsia="Calibri" w:hAnsi="Calibri"/>
                <w:sz w:val="18"/>
                <w:szCs w:val="18"/>
                <w:color w:val="51555C"/>
              </w:rPr>
              <w:t>Director</w:t>
            </w:r>
          </w:p>
        </w:tc>
        <w:tc>
          <w:tcPr>
            <w:tcW w:w="2120" w:type="dxa"/>
            <w:vAlign w:val="bottom"/>
          </w:tcPr>
          <w:p>
            <w:pPr>
              <w:ind w:left="420"/>
              <w:spacing w:after="0"/>
              <w:rPr>
                <w:sz w:val="20"/>
                <w:szCs w:val="20"/>
                <w:color w:val="auto"/>
              </w:rPr>
            </w:pPr>
            <w:r>
              <w:rPr>
                <w:rFonts w:ascii="Calibri" w:cs="Calibri" w:eastAsia="Calibri" w:hAnsi="Calibri"/>
                <w:sz w:val="18"/>
                <w:szCs w:val="18"/>
                <w:color w:val="51555C"/>
                <w:w w:val="95"/>
              </w:rPr>
              <w:t>Date: February 21, 2024</w:t>
            </w:r>
          </w:p>
        </w:tc>
        <w:tc>
          <w:tcPr>
            <w:tcW w:w="0" w:type="dxa"/>
            <w:vAlign w:val="bottom"/>
          </w:tcPr>
          <w:p>
            <w:pPr>
              <w:spacing w:after="0"/>
              <w:rPr>
                <w:sz w:val="1"/>
                <w:szCs w:val="1"/>
                <w:color w:val="auto"/>
              </w:rPr>
            </w:pPr>
          </w:p>
        </w:tc>
      </w:tr>
      <w:tr>
        <w:trPr>
          <w:trHeight w:val="769"/>
        </w:trPr>
        <w:tc>
          <w:tcPr>
            <w:tcW w:w="3980" w:type="dxa"/>
            <w:vAlign w:val="bottom"/>
          </w:tcPr>
          <w:p>
            <w:pPr>
              <w:spacing w:after="0"/>
              <w:rPr>
                <w:sz w:val="20"/>
                <w:szCs w:val="20"/>
                <w:color w:val="auto"/>
              </w:rPr>
            </w:pPr>
            <w:r>
              <w:rPr>
                <w:rFonts w:ascii="Calibri" w:cs="Calibri" w:eastAsia="Calibri" w:hAnsi="Calibri"/>
                <w:sz w:val="18"/>
                <w:szCs w:val="18"/>
                <w:color w:val="51555C"/>
              </w:rPr>
              <w:t>Director</w:t>
            </w:r>
          </w:p>
        </w:tc>
        <w:tc>
          <w:tcPr>
            <w:tcW w:w="2120" w:type="dxa"/>
            <w:vAlign w:val="bottom"/>
          </w:tcPr>
          <w:p>
            <w:pPr>
              <w:ind w:left="420"/>
              <w:spacing w:after="0"/>
              <w:rPr>
                <w:sz w:val="20"/>
                <w:szCs w:val="20"/>
                <w:color w:val="auto"/>
              </w:rPr>
            </w:pPr>
            <w:r>
              <w:rPr>
                <w:rFonts w:ascii="Calibri" w:cs="Calibri" w:eastAsia="Calibri" w:hAnsi="Calibri"/>
                <w:sz w:val="18"/>
                <w:szCs w:val="18"/>
                <w:color w:val="51555C"/>
                <w:w w:val="95"/>
              </w:rPr>
              <w:t>Date: February 21, 2024</w:t>
            </w:r>
          </w:p>
        </w:tc>
        <w:tc>
          <w:tcPr>
            <w:tcW w:w="0" w:type="dxa"/>
            <w:vAlign w:val="bottom"/>
          </w:tcPr>
          <w:p>
            <w:pPr>
              <w:spacing w:after="0"/>
              <w:rPr>
                <w:sz w:val="1"/>
                <w:szCs w:val="1"/>
                <w:color w:val="auto"/>
              </w:rPr>
            </w:pPr>
          </w:p>
        </w:tc>
      </w:tr>
      <w:tr>
        <w:trPr>
          <w:trHeight w:val="770"/>
        </w:trPr>
        <w:tc>
          <w:tcPr>
            <w:tcW w:w="3980" w:type="dxa"/>
            <w:vAlign w:val="bottom"/>
          </w:tcPr>
          <w:p>
            <w:pPr>
              <w:spacing w:after="0"/>
              <w:rPr>
                <w:sz w:val="20"/>
                <w:szCs w:val="20"/>
                <w:color w:val="auto"/>
              </w:rPr>
            </w:pPr>
            <w:r>
              <w:rPr>
                <w:rFonts w:ascii="Calibri" w:cs="Calibri" w:eastAsia="Calibri" w:hAnsi="Calibri"/>
                <w:sz w:val="18"/>
                <w:szCs w:val="18"/>
                <w:color w:val="51555C"/>
              </w:rPr>
              <w:t>Director</w:t>
            </w:r>
          </w:p>
        </w:tc>
        <w:tc>
          <w:tcPr>
            <w:tcW w:w="2120" w:type="dxa"/>
            <w:vAlign w:val="bottom"/>
          </w:tcPr>
          <w:p>
            <w:pPr>
              <w:ind w:left="420"/>
              <w:spacing w:after="0"/>
              <w:rPr>
                <w:sz w:val="20"/>
                <w:szCs w:val="20"/>
                <w:color w:val="auto"/>
              </w:rPr>
            </w:pPr>
            <w:r>
              <w:rPr>
                <w:rFonts w:ascii="Calibri" w:cs="Calibri" w:eastAsia="Calibri" w:hAnsi="Calibri"/>
                <w:sz w:val="18"/>
                <w:szCs w:val="18"/>
                <w:color w:val="51555C"/>
                <w:w w:val="95"/>
              </w:rPr>
              <w:t>Date: February 21, 2024</w:t>
            </w:r>
          </w:p>
        </w:tc>
        <w:tc>
          <w:tcPr>
            <w:tcW w:w="0" w:type="dxa"/>
            <w:vAlign w:val="bottom"/>
          </w:tcPr>
          <w:p>
            <w:pPr>
              <w:spacing w:after="0"/>
              <w:rPr>
                <w:sz w:val="1"/>
                <w:szCs w:val="1"/>
                <w:color w:val="auto"/>
              </w:rPr>
            </w:pPr>
          </w:p>
        </w:tc>
      </w:tr>
      <w:tr>
        <w:trPr>
          <w:trHeight w:val="769"/>
        </w:trPr>
        <w:tc>
          <w:tcPr>
            <w:tcW w:w="3980" w:type="dxa"/>
            <w:vAlign w:val="bottom"/>
          </w:tcPr>
          <w:p>
            <w:pPr>
              <w:spacing w:after="0"/>
              <w:rPr>
                <w:sz w:val="20"/>
                <w:szCs w:val="20"/>
                <w:color w:val="auto"/>
              </w:rPr>
            </w:pPr>
            <w:r>
              <w:rPr>
                <w:rFonts w:ascii="Calibri" w:cs="Calibri" w:eastAsia="Calibri" w:hAnsi="Calibri"/>
                <w:sz w:val="18"/>
                <w:szCs w:val="18"/>
                <w:color w:val="51555C"/>
              </w:rPr>
              <w:t>Director</w:t>
            </w:r>
          </w:p>
        </w:tc>
        <w:tc>
          <w:tcPr>
            <w:tcW w:w="2120" w:type="dxa"/>
            <w:vAlign w:val="bottom"/>
          </w:tcPr>
          <w:p>
            <w:pPr>
              <w:ind w:left="420"/>
              <w:spacing w:after="0"/>
              <w:rPr>
                <w:sz w:val="20"/>
                <w:szCs w:val="20"/>
                <w:color w:val="auto"/>
              </w:rPr>
            </w:pPr>
            <w:r>
              <w:rPr>
                <w:rFonts w:ascii="Calibri" w:cs="Calibri" w:eastAsia="Calibri" w:hAnsi="Calibri"/>
                <w:sz w:val="18"/>
                <w:szCs w:val="18"/>
                <w:color w:val="51555C"/>
                <w:w w:val="95"/>
              </w:rPr>
              <w:t>Date: February 21, 2024</w:t>
            </w:r>
          </w:p>
        </w:tc>
        <w:tc>
          <w:tcPr>
            <w:tcW w:w="0" w:type="dxa"/>
            <w:vAlign w:val="bottom"/>
          </w:tcPr>
          <w:p>
            <w:pPr>
              <w:spacing w:after="0"/>
              <w:rPr>
                <w:sz w:val="1"/>
                <w:szCs w:val="1"/>
                <w:color w:val="auto"/>
              </w:rPr>
            </w:pPr>
          </w:p>
        </w:tc>
      </w:tr>
      <w:tr>
        <w:trPr>
          <w:trHeight w:val="769"/>
        </w:trPr>
        <w:tc>
          <w:tcPr>
            <w:tcW w:w="3980" w:type="dxa"/>
            <w:vAlign w:val="bottom"/>
          </w:tcPr>
          <w:p>
            <w:pPr>
              <w:spacing w:after="0"/>
              <w:rPr>
                <w:sz w:val="20"/>
                <w:szCs w:val="20"/>
                <w:color w:val="auto"/>
              </w:rPr>
            </w:pPr>
            <w:r>
              <w:rPr>
                <w:rFonts w:ascii="Calibri" w:cs="Calibri" w:eastAsia="Calibri" w:hAnsi="Calibri"/>
                <w:sz w:val="18"/>
                <w:szCs w:val="18"/>
                <w:color w:val="51555C"/>
              </w:rPr>
              <w:t>Director</w:t>
            </w:r>
          </w:p>
        </w:tc>
        <w:tc>
          <w:tcPr>
            <w:tcW w:w="2120" w:type="dxa"/>
            <w:vAlign w:val="bottom"/>
          </w:tcPr>
          <w:p>
            <w:pPr>
              <w:ind w:left="420"/>
              <w:spacing w:after="0"/>
              <w:rPr>
                <w:sz w:val="20"/>
                <w:szCs w:val="20"/>
                <w:color w:val="auto"/>
              </w:rPr>
            </w:pPr>
            <w:r>
              <w:rPr>
                <w:rFonts w:ascii="Calibri" w:cs="Calibri" w:eastAsia="Calibri" w:hAnsi="Calibri"/>
                <w:sz w:val="18"/>
                <w:szCs w:val="18"/>
                <w:color w:val="51555C"/>
                <w:w w:val="95"/>
              </w:rPr>
              <w:t>Date: February 21, 2024</w:t>
            </w:r>
          </w:p>
        </w:tc>
        <w:tc>
          <w:tcPr>
            <w:tcW w:w="0" w:type="dxa"/>
            <w:vAlign w:val="bottom"/>
          </w:tcPr>
          <w:p>
            <w:pPr>
              <w:spacing w:after="0"/>
              <w:rPr>
                <w:sz w:val="1"/>
                <w:szCs w:val="1"/>
                <w:color w:val="auto"/>
              </w:rPr>
            </w:pPr>
          </w:p>
        </w:tc>
      </w:tr>
      <w:tr>
        <w:trPr>
          <w:trHeight w:val="769"/>
        </w:trPr>
        <w:tc>
          <w:tcPr>
            <w:tcW w:w="3980" w:type="dxa"/>
            <w:vAlign w:val="bottom"/>
          </w:tcPr>
          <w:p>
            <w:pPr>
              <w:spacing w:after="0"/>
              <w:rPr>
                <w:sz w:val="20"/>
                <w:szCs w:val="20"/>
                <w:color w:val="auto"/>
              </w:rPr>
            </w:pPr>
            <w:r>
              <w:rPr>
                <w:rFonts w:ascii="Calibri" w:cs="Calibri" w:eastAsia="Calibri" w:hAnsi="Calibri"/>
                <w:sz w:val="18"/>
                <w:szCs w:val="18"/>
                <w:color w:val="51555C"/>
              </w:rPr>
              <w:t>Director</w:t>
            </w:r>
          </w:p>
        </w:tc>
        <w:tc>
          <w:tcPr>
            <w:tcW w:w="2120" w:type="dxa"/>
            <w:vAlign w:val="bottom"/>
          </w:tcPr>
          <w:p>
            <w:pPr>
              <w:ind w:left="420"/>
              <w:spacing w:after="0"/>
              <w:rPr>
                <w:sz w:val="20"/>
                <w:szCs w:val="20"/>
                <w:color w:val="auto"/>
              </w:rPr>
            </w:pPr>
            <w:r>
              <w:rPr>
                <w:rFonts w:ascii="Calibri" w:cs="Calibri" w:eastAsia="Calibri" w:hAnsi="Calibri"/>
                <w:sz w:val="18"/>
                <w:szCs w:val="18"/>
                <w:color w:val="51555C"/>
                <w:w w:val="95"/>
              </w:rPr>
              <w:t>Date: February 21, 2024</w:t>
            </w:r>
          </w:p>
        </w:tc>
        <w:tc>
          <w:tcPr>
            <w:tcW w:w="0" w:type="dxa"/>
            <w:vAlign w:val="bottom"/>
          </w:tcPr>
          <w:p>
            <w:pPr>
              <w:spacing w:after="0"/>
              <w:rPr>
                <w:sz w:val="1"/>
                <w:szCs w:val="1"/>
                <w:color w:val="auto"/>
              </w:rPr>
            </w:pPr>
          </w:p>
        </w:tc>
      </w:tr>
    </w:tbl>
    <w:p>
      <w:pPr>
        <w:spacing w:after="0" w:line="483" w:lineRule="exact"/>
        <w:rPr>
          <w:sz w:val="20"/>
          <w:szCs w:val="20"/>
          <w:color w:val="auto"/>
        </w:rPr>
      </w:pPr>
    </w:p>
    <w:p>
      <w:pPr>
        <w:sectPr>
          <w:pgSz w:w="11900" w:h="16838" w:orient="portrait"/>
          <w:cols w:equalWidth="0" w:num="2">
            <w:col w:w="3860" w:space="560"/>
            <w:col w:w="6820"/>
          </w:cols>
          <w:pgMar w:left="320" w:top="111" w:right="339" w:bottom="1440" w:gutter="0" w:footer="0" w:header="0"/>
          <w:type w:val="continuous"/>
        </w:sectPr>
      </w:pPr>
    </w:p>
    <w:p>
      <w:pPr>
        <w:spacing w:after="0" w:line="231" w:lineRule="exact"/>
        <w:rPr>
          <w:sz w:val="20"/>
          <w:szCs w:val="20"/>
          <w:color w:val="auto"/>
        </w:rPr>
      </w:pPr>
    </w:p>
    <w:p>
      <w:pPr>
        <w:ind w:left="20"/>
        <w:spacing w:after="0"/>
        <w:tabs>
          <w:tab w:leader="none" w:pos="406" w:val="left"/>
        </w:tabs>
        <w:rPr>
          <w:sz w:val="20"/>
          <w:szCs w:val="20"/>
          <w:color w:val="auto"/>
        </w:rPr>
      </w:pPr>
      <w:r>
        <w:rPr>
          <w:rFonts w:ascii="Calibri" w:cs="Calibri" w:eastAsia="Calibri" w:hAnsi="Calibri"/>
          <w:sz w:val="14"/>
          <w:szCs w:val="14"/>
          <w:color w:val="51555C"/>
        </w:rPr>
        <w:t>120</w:t>
      </w:r>
      <w:r>
        <w:rPr>
          <w:sz w:val="20"/>
          <w:szCs w:val="20"/>
          <w:color w:val="auto"/>
        </w:rPr>
        <w:tab/>
      </w:r>
      <w:r>
        <w:rPr>
          <w:sz w:val="1"/>
          <w:szCs w:val="1"/>
          <w:color w:val="auto"/>
        </w:rPr>
        <w:drawing>
          <wp:inline distT="0" distB="0" distL="0" distR="0">
            <wp:extent cx="728345" cy="188595"/>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Calibri" w:cs="Calibri" w:eastAsia="Calibri" w:hAnsi="Calibri"/>
          <w:sz w:val="14"/>
          <w:szCs w:val="14"/>
          <w:color w:val="51555C"/>
        </w:rPr>
        <w:t xml:space="preserve">   2023 Form 10-K</w:t>
      </w:r>
    </w:p>
    <w:p>
      <w:pPr>
        <w:sectPr>
          <w:pgSz w:w="11900" w:h="16838" w:orient="portrait"/>
          <w:cols w:equalWidth="0" w:num="1">
            <w:col w:w="11240"/>
          </w:cols>
          <w:pgMar w:left="320" w:top="111" w:right="33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information concerning the capital stock of Blackbaud, Inc (the "Company"), which consists of (i) up to 180,000,000 shares of common stock, par value $0.001 per share (the “Common Stock”), (ii) up to 20,000,000 shares of preferred stock in one or more classes or series as may be determined by the Company’s board of directors (the “Board of Directors”) in its discretion, and (iii) preferred share purchase rights (the “Rights”). The Common Stock and the Rights are registered pursuant to Section 12 of the Securities Exchange Act of 1934, as amended, and are more fully described below.</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summaries and descriptions below do not purport to be complete statements of the relevant provisions of the Company’s Amended and Restated Certificate of Incorporation (the “Certificate of Incorporation”), Amended and Restated Bylaws (the “Bylaws”) and Rights Agreement (as defined below), each of which are incorporated by reference as an exhibit to the Annual Report on Form 10-K of which this Exhibit 4.1 is a part and are entirely qualified by these documents. We encourage you to read the Certificate of Incorporation, Bylaws, Rights Agreement and the applicable provisions of the Delaware General Corporation Law (the “DGCL”)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holders of Common Stock are entitled to one vote per share on all matters to be voted on by the stockholders, and there are no cumulative voting rights. Generally, all matters to be voted on by stockholders must be approved by a majority of the votes entitled to be cast by all shares of Common Stock present in person or represented by proxy, voting together as a single class, subject to any voting rights granted to holders of any preferred stock; provided, however, that in all director elections that are contested, the nominees for election as a director shall be elected by a plurality of the votes cast. For purposes of the foregoing, an election shall be “contested” if, as of the tenth day preceding the date of the filing of the Company’s definitive proxy statement for such meeting of stockholders, the number of nominees for director exceeds the number of directors to be elected. The Board of Directors is divided into three classes of directors, as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holders of Common Stock are entitled to receive ratable dividends, if any, payable in cash, in stock or otherwise, as and when declared from time to time by the Board of Directors out of funds legally available for the payment of dividends, subject to any preferential rights that may be applicable to any outstanding preferred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 and preferences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 liquidation, dissolution, or winding up of the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 All outstanding shares of Common Stock are fully paid and nonassessable.</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rights, preferences, and privileges of holders of Common Stock will be subject to, and may be adversely affected by, the rights of holders of any preferred stock that may be issued in the future, as described below. All shares of Common Stock that are acquired by the Company shall be available for reissuance by the Company, at the sole-discretion of the Board of Directors at any time.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transfer agent and registrar for the Common Stock is Broadridge Corporate Issuer Solutions, LLC, and its telephone number is (877) 830-4936.</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listed for trading on Nasdaq Global Select Market under the ticker symbol “BLKB.”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Provisions of the Certificate of Incorporation, Bylaws and the Rights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provisions of the DGCL, the Certificate of Incorporation, Bylaws and the Rights Agreement may have the effect of delaying, deferring or preventing a change in control of the Company or deterring tender offers for Common Stock, proxy contests or other takeover attempts, including discouraging attempts that might result in the payment of a premium over the market price for the shares of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law</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117" w:lineRule="exact"/>
        <w:rPr>
          <w:sz w:val="20"/>
          <w:szCs w:val="20"/>
          <w:color w:val="auto"/>
        </w:rPr>
      </w:pPr>
    </w:p>
    <w:p>
      <w:pPr>
        <w:ind w:left="660" w:hanging="328"/>
        <w:spacing w:after="0" w:line="28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board of directors approved the transaction in which the stockholder became an interested stockholder prior to the date the interested stockholder attained that status;</w:t>
      </w:r>
    </w:p>
    <w:p>
      <w:pPr>
        <w:spacing w:after="0" w:line="1"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 the stockholder became an interested stockholder, he or she or it owned at least 85% of the voting stock of the corporation outstanding at the time the transaction commenced, excluding shares owned by persons who are directors and also officers, as well as certain shares owned by employee benefits plans; or</w:t>
      </w:r>
    </w:p>
    <w:p>
      <w:pPr>
        <w:spacing w:after="0" w:line="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or subsequent to the date the business combination is approved by the board of directors, the business combination is authorized by the affirmative vote of at least 66 2/3% of the voting stock of the corporation at an annual or special meeting of stockholders.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Generally, an “interested stockholder” is a person who, together with affiliates and associates, owns, or is an affiliate or associate of the corporation, and within three years prior to the determination of interested stockholder status did own, 15% or more of a corporation’s voting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 provisions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Classified Board of Directors. </w:t>
      </w:r>
      <w:r>
        <w:rPr>
          <w:rFonts w:ascii="Arial" w:cs="Arial" w:eastAsia="Arial" w:hAnsi="Arial"/>
          <w:sz w:val="18"/>
          <w:szCs w:val="18"/>
          <w:color w:val="auto"/>
        </w:rPr>
        <w:t>The Board of Directors is divided into three classes of directors, as nearly equal in number as possible, with</w:t>
      </w:r>
      <w:r>
        <w:rPr>
          <w:rFonts w:ascii="Arial" w:cs="Arial" w:eastAsia="Arial" w:hAnsi="Arial"/>
          <w:sz w:val="18"/>
          <w:szCs w:val="18"/>
          <w:i w:val="1"/>
          <w:iCs w:val="1"/>
          <w:color w:val="auto"/>
        </w:rPr>
        <w:t xml:space="preserve"> </w:t>
      </w:r>
      <w:r>
        <w:rPr>
          <w:rFonts w:ascii="Arial" w:cs="Arial" w:eastAsia="Arial" w:hAnsi="Arial"/>
          <w:sz w:val="18"/>
          <w:szCs w:val="18"/>
          <w:color w:val="auto"/>
        </w:rPr>
        <w:t>each class serving a staggered term of three years. Any vacancy on the Board of Directors, regardless of the reason for the vacancy, may be filled by vote of the majority of the directors then in office, except in the case of a vacancy caused by action of the stockholders, which vacancy may only be filled by the stockholders. Directors may be removed from office at any time with or without cause, but only by the holders of a majority of the shares entitled to vote at an election of directors. The classification of directors will have the effect of making it more difficult for stockholders to change the composition of the Board of Directors and could also discourage a third-party from making a tender offer or otherwise attempting to obtain control of the Company, and may maintain the incumbency of the Board of Directors.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Advance notice requirement for stockholder proposals, including director nominations. </w:t>
      </w:r>
      <w:r>
        <w:rPr>
          <w:rFonts w:ascii="Arial" w:cs="Arial" w:eastAsia="Arial" w:hAnsi="Arial"/>
          <w:sz w:val="18"/>
          <w:szCs w:val="18"/>
          <w:color w:val="auto"/>
        </w:rPr>
        <w:t>The Bylaws contain an advance notice procedure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proposals to be brought before a meeting of stockholders, including any proposed nominations of persons for election to the Board of Directors. Stockholders at a meeting may only consider proposals or nominations specified in the notice of meeting, or brought before the meeting by or at the direction of the Board of Directors or by a stockholder who was a stockholder of record on the record date for the meeting, who is entitled to vote at the meeting, who has given to the Company’s Secretary timely written notice, in proper form, of the stockholder’s intention to bring that business before the meeting, and who has otherwise complied with the Bylaws. Although the Bylaws do not give the Board of Directors the power to approve or disapprove stockholder nominations of candidates for election to the Board of Directors or proposals regarding other business to be conducted at a special or annual meeting of the stockholders, the Bylaws may have the effect of precluding the conduct of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“Blank” Preferred Stock. </w:t>
      </w:r>
      <w:r>
        <w:rPr>
          <w:rFonts w:ascii="Arial" w:cs="Arial" w:eastAsia="Arial" w:hAnsi="Arial"/>
          <w:sz w:val="18"/>
          <w:szCs w:val="18"/>
          <w:color w:val="auto"/>
        </w:rPr>
        <w:t>The Board of Directors has the authority to issue up to an aggregate of 20,000,000 shares of preferred stock in one</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classes or series and to determine, with respect to any such class or series, the designations, powers, preferences and rights of such class or series, and the qualifications, limitations and restrictions thereof, including dividend rights, dividend rates, conversion rights, voting rights, terms of redemption (including sinking fund provisions), redemption prices, liquidation preferences, and the number of shares constituting any class</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or series or the designation of such class or series, without further vote or action by the stockholders. This preferred stock could have terms that may discourage a potential acquirer from making, without first negotiating with the Board of Directors, an acquisition attempt through which such acquirer may be able to change the composition of the Board of Directors, including a tender offer or other takeover attempt. No shares of preferred stock are currently outstanding.</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Emergency Special Meeting of the Board of Directors. </w:t>
      </w:r>
      <w:r>
        <w:rPr>
          <w:rFonts w:ascii="Arial" w:cs="Arial" w:eastAsia="Arial" w:hAnsi="Arial"/>
          <w:sz w:val="18"/>
          <w:szCs w:val="18"/>
          <w:color w:val="auto"/>
        </w:rPr>
        <w:t>The Board of Directors possesses the authority to call and hold emergency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 of the Board of Directors with less than forty-eight hours’ notice. This power to hold an emergency special meeting of the Board of Directors on short notice could discourage a potential acquirer from launching a bid to acquire majority ownership of the Company, a proxy solicitation in order to replace the current Board of Directors, or otherwise attempting to obtain control of the Company, as such attempts could quickly be thwarted or denied by 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Rights Agreement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more fully described below, on October 7, 2022, the Company declared a dividend of one preferred share purchase right for each of the Company’s issued and outstanding shares of Common Stock. The description and terms of these Rights are set forth in the Stockholder Rights Agreement, dated as of October 7, 2022, as amended on October 2, 2023 and January 26, 2024 (the “Rights Agreement”), by and between the Company and Broadridge Corporate Issuer Solutions, LLC, as successor rights agent to American Stock Transfer &amp; Trust Company, LLC (the “Rights Agent”). Each Right entitles the registered holder, subject to the terms of the Rights Agreement, to purchase from us one one-thousandth of a share of the Series A Junior Participating Preferred Stock, par value $0.001 per share (the “Series A Preferred Stock”) at a price of $313.00, subject to certain adjustments (as adjusted from time to time, the “Exercise Price”). Under the Rights Agreement, the Rights will become exercisable if an entity, person or group acquires beneficial ownership of 20% or more of the outstanding Common Stock in a transaction not approved by the Board of Directors. In the event that the Rights become exercisable due to the ownership threshold being crossed, each Right will entitle its holder (other than the person, entity or group triggering the Rights Plan, whose rights will become void and will not be exercisable) to purchase additional shares of Common Stock having a then-current market value of twice the Exercise Price. Subject to the terms of the Rights Agreement, the Rights will expire on October 2, 2024. Additional information regarding the Rights Agreement is contained in Forms 8-K filed with the SEC on October 11, 2022, October 2, 2023 and January 26,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Purchase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and dividend rights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Until a Right is exercised or exchanged, the holder thereof, as such, will have no rights as a stockholder of the Company, including, without limitation, the right to vote or to receive dividends.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 and preferences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stated above, on October 7, 2022, the Company declared a dividend of one preferred share purchase right for each of the Company’s issued and outstanding shares of Common Stock. The dividend will be paid to the stockholders of record at the close of business on October 17, 2022 (the “Record Date”). Each Right entitles the registered holder, subject to the terms of the Rights Agreement, to purchase from the Company one one-thousandth of a share of the Company’s Series A Preferred Stock at a price of $313.00, subject to certain adjustments.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Subject to certain exceptions, the Rights will not be exercisable until the earlier to occur of (i) the close of business on the tenth business day after a public announcement or filing that a person has, or group of affiliated or associated persons have, become an “Acquiring Person,” which is defined as a person or group of affiliated or associated persons who, at any time after the date of the Rights Agreement, have acquired, or obtained the right to acquire, beneficial ownership of 20% or more of the Company’s outstanding shares of Common Stock, subject to certain exceptions, or (ii) the close of business on the tenth business day after the date that a tender offer or exchange offer is first published or sent or given by any person, the consummation of which would result in such person becoming an Acquiring Person (the earlier of such dates being called the “Distribution Time”).</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Rights Agreement provides that, until the Distribution Time (or earlier expiration or redemption of the Rights), the Rights will be transferred with and only with the Common Stock. Until the Distribution Time (or earlier expiration or redemption of the Rights), new Common Stock certificates issued after the Record Date upon transfer or new issuances of Common Stock will contain a legend incorporating the Rights Agreement by reference, and notice of such legend will be furnished to holders of book entry shares. Until the Distribution Time (or earlier expiration or redemption of the Rights), the surrender for transfer of any certificates for shares of Common Stock (or book entry shares of Common Stock) outstanding as of the Record Date will also constitute the transfer of the Rights associated</w:t>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the shares of Common Stock represented by such certificate or registered in book entry form. As soon as practicable following the Distribution Time, separate certificates evidencing the Rights (the “Rights Certificates”) will be mailed to holders of record of the Common Stock as of the close of business on the Distribution Time, and such separate Rights Certificates alone will evidence the Rights.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Rights are not exercisable until the Distribution Time. The Rights will expire prior to the earliest of (i) the close of business on October 2, 2024, or such later date as may be established by the Board as long as the extension is submitted to the stockholders of the Company for ratification at the next annual meeting of stockholders succeeding such extension; (ii) the time at which the Rights are redeemed pursuant to the Rights Agreement; (iii) the time at which the Rights are exchanged pursuant to the Rights Agreement; and (iv) upon the occurrence of certain transactions (the earliest of (i), (ii), (iii) and (iv) is referred to as the “Expiration Date”).</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share of Series A Preferred Stock will be entitled, when, as and if declared, to a minimum preferential per share quarterly dividend payment equal to the greater of (i) $1.00 per share and (ii) an amount equal to 1,000 times the dividend declared per share of Common Stock. In the event of liquidation, dissolution or winding up of the Company, the holders of the Series A Preferred Stock will be entitled to a minimum preferential payment of the greater of (i) $1,000.00 per share (plus any accrued but unpaid dividends), and (ii) an amount equal to 1,000 times the payment made per share of Common Stock. Each share of Series A Preferred Stock will have 1,000 votes, voting together with the Common Stock. In the event of any merger, consolidation or other transaction in which outstanding shares of Common Stock are converted or exchanged, each share of Series A Preferred Stock will be entitled to receive 1,000 times the amount received per share of Common Stock. These Rights are protected by customary anti-dilution provisions as further described in the Certificate of Incorporation and Bylaws.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Exercise Price payable, and the number of shares of Series A Preferred Stock or other securities or property issuable, upon exercise of the Rights are subject to adjustment from time to time to prevent dilution (i) in the event of a stock dividend on, or a subdivision, combination or reclassification of, the Series A Preferred Stock, (ii) upon the grant to holders of the Series A Preferred Stock of certain rights or warrants to subscribe for or purchase Series A Preferred Stock at a price, or securities convertible into Series A Preferred Stock with a conversion price, less than the then-current market price of the Series A Preferred Stock or (iii) upon the distribution to holders of the Series A Preferred Stock of evidences of indebtedness or assets (excluding regular periodic cash dividends or dividends payable in Series A Preferred Stock) or of subscription rights or warrants (other than those referred to above).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that any person or group of persons becomes an Acquiring Person, each holder of a Right, other than the Rights beneficially owned by the Acquiring Person, affiliates and associates of the Acquiring Person and certain transferees thereof (which will thereupon become null and void), will, following the Distribution Time, have the right to receive upon exercise of a Right that number of shares of Common Stock (or at the option of the Company, other securities of the Company) having a market value of two times the Exercise Price, unless the Rights were earlier redeemed or exchanged.</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that, after a person or group of persons has become an Acquiring Person, the Company is acquired in a merger or other business combination transaction or 50% or more of the Company’s consolidated assets or earning power are sold, proper provisions will be made so that each holder of a Right (other than Rights beneficially owned by an Acquiring Person, affiliates and associates of the Acquiring Person and certain transferees thereof which will have become null and void) will thereafter have the right to receive upon the exercise of a Right that number of shares of Common Stock of the person with whom the Company has engaged in the foregoing transaction (or its parent) that at the time of such transaction have a market value of two times the Exercise Price of the Right.</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certain exceptions, no adjustment in the Exercise Price will be required until cumulative adjustments require an adjustment of at least 1% in such Exercise Price. No fractional shares of Series A Preferred Stock or Common Stock will be issued (other than fractions of shares of Series A Preferred Stock which are integral multiples of one one-thousandth of a share of Series A Preferred Stock, which may, at the election of the Company, be evidenced by depositary receipts), and in lieu thereof an adjustment in cash will be made based on the current market price of the Series A Preferred Stock or the Common Stock.</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any time after any person or group of persons becomes an Acquiring Person and prior to the acquisition of beneficial ownership by such Acquiring Person of 50% or more of shares of Common Stock then outstanding, the Board of Directors, at its option, may exchange all or part of the Rights (other than Rights beneficially owned by such Acquiring Person and certain transferees thereof which will have become null and void) at an exchange ratio of one share of Common Stock per outstanding Right (subject to adjustment).</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any time before the Distribution Time, the Board of Directors may authorize the redemption of the Rights in whole, but not in part, at a price of $0.001 per Right (subject to certain adjustments) (the “Redemption Price”). The</w:t>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redemption of the Rights may be made effective at such time, on such basis and with such conditions as the Board of Directors, in its sole discretion, may establish. Immediately upon the action of the Board of Directors electing to redeem or exchange the Rights, the Company shall make announcement thereof, and upon such election, the right to exercise the Rights will terminate and the only right of the holders of Rights will be to receive the Redemption Price.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the Company receives a Qualifying Offer (as defined in the Rights Agreement) and the Company does not redeem the outstanding Rights, the Company may exempt such Qualifying Offer from the Rights Agreement, or call a special meeting of stockholders to vote on whether or not to exempt such Qualifying Offer from the Rights Agreement, in each case within 90 days of the commencement of the Qualifying Offer (the “Board Evaluation Period”). The holders of record of 20% or more of the outstanding Common Stock (excluding shares of Common Stock that are beneficially owned by the person making the Qualifying Offer and such person’s related persons) may submit a written demand directing the Board of Directors to submit a resolution exempting the Qualifying Offer from the Rights Agreement to be voted upon at a special meeting to be convened within 90 days following the receipt of the written demand (the “Special Meeting Period”). Subject to the terms of the Rights Agreement, the Board of Directors must take the necessary actions to cause such resolution to be submitted to a vote of stockholders at a special meeting within the Special Meeting Period; however, the Board of Directors may recommend in favor of or against or take no position with respect to the adoption of the resolution, as it determines to be appropriate in the exercise of the Board of Directors’ fiduciary duties.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so long as the Rights are redeemable, the Company may from time to time in its sole discretion supplement or amend the Rights Agreement in any respect without the approval of any holders of Rights, and the Rights Agent shall, if the Company so directs, execute such supplement or amendment. However, from and after the time when the Rights are no longer redeemable, the Rights Agreement may not be amended or supplemented in any manner that would, among other things, adversely affect the interests of the holders of Rights (other than holders of Rights that have become null and void).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transfer agent and registrar for the Series A Preferred Stock is Broadridge Corporate Issuer Solutions, LLC, and its telephone number is (877) 830-4936.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Series A Preferred Stock is listed for trading on Nasdaq Global Select Market.</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Calibri" w:cs="Calibri" w:eastAsia="Calibri" w:hAnsi="Calibri"/>
          <w:sz w:val="18"/>
          <w:szCs w:val="18"/>
          <w:b w:val="1"/>
          <w:bCs w:val="1"/>
          <w:color w:val="51555C"/>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520" w:type="dxa"/>
            <w:vAlign w:val="bottom"/>
          </w:tcPr>
          <w:p>
            <w:pPr>
              <w:ind w:left="100"/>
              <w:spacing w:after="0"/>
              <w:rPr>
                <w:sz w:val="20"/>
                <w:szCs w:val="20"/>
                <w:color w:val="auto"/>
              </w:rPr>
            </w:pPr>
            <w:r>
              <w:rPr>
                <w:rFonts w:ascii="Calibri" w:cs="Calibri" w:eastAsia="Calibri" w:hAnsi="Calibri"/>
                <w:sz w:val="18"/>
                <w:szCs w:val="18"/>
                <w:b w:val="1"/>
                <w:bCs w:val="1"/>
                <w:color w:val="51555C"/>
              </w:rPr>
              <w:t>SUBSIDIARIES OF BLACKBAUD, INC.</w:t>
            </w:r>
          </w:p>
        </w:tc>
      </w:tr>
      <w:tr>
        <w:trPr>
          <w:trHeight w:val="378"/>
        </w:trPr>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520" w:type="dxa"/>
            <w:vAlign w:val="bottom"/>
          </w:tcPr>
          <w:p>
            <w:pPr>
              <w:ind w:left="520"/>
              <w:spacing w:after="0"/>
              <w:rPr>
                <w:sz w:val="20"/>
                <w:szCs w:val="20"/>
                <w:color w:val="auto"/>
              </w:rPr>
            </w:pPr>
            <w:r>
              <w:rPr>
                <w:rFonts w:ascii="Calibri" w:cs="Calibri" w:eastAsia="Calibri" w:hAnsi="Calibri"/>
                <w:sz w:val="18"/>
                <w:szCs w:val="18"/>
                <w:b w:val="1"/>
                <w:bCs w:val="1"/>
                <w:color w:val="51555C"/>
              </w:rPr>
              <w:t>As of February 21, 2024</w:t>
            </w:r>
          </w:p>
        </w:tc>
      </w:tr>
      <w:tr>
        <w:trPr>
          <w:trHeight w:val="213"/>
        </w:trPr>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520" w:type="dxa"/>
            <w:vAlign w:val="bottom"/>
          </w:tcPr>
          <w:p>
            <w:pPr>
              <w:spacing w:after="0"/>
              <w:rPr>
                <w:sz w:val="18"/>
                <w:szCs w:val="18"/>
                <w:color w:val="auto"/>
              </w:rPr>
            </w:pPr>
          </w:p>
        </w:tc>
      </w:tr>
      <w:tr>
        <w:trPr>
          <w:trHeight w:val="183"/>
        </w:trPr>
        <w:tc>
          <w:tcPr>
            <w:tcW w:w="140" w:type="dxa"/>
            <w:vAlign w:val="bottom"/>
            <w:shd w:val="clear" w:color="auto" w:fill="004054"/>
          </w:tcPr>
          <w:p>
            <w:pPr>
              <w:spacing w:after="0"/>
              <w:rPr>
                <w:sz w:val="15"/>
                <w:szCs w:val="15"/>
                <w:color w:val="auto"/>
              </w:rPr>
            </w:pPr>
          </w:p>
        </w:tc>
        <w:tc>
          <w:tcPr>
            <w:tcW w:w="840" w:type="dxa"/>
            <w:vAlign w:val="bottom"/>
            <w:shd w:val="clear" w:color="auto" w:fill="004054"/>
          </w:tcPr>
          <w:p>
            <w:pPr>
              <w:spacing w:after="0"/>
              <w:rPr>
                <w:sz w:val="15"/>
                <w:szCs w:val="15"/>
                <w:color w:val="auto"/>
              </w:rPr>
            </w:pPr>
          </w:p>
        </w:tc>
        <w:tc>
          <w:tcPr>
            <w:tcW w:w="2760" w:type="dxa"/>
            <w:vAlign w:val="bottom"/>
            <w:shd w:val="clear" w:color="auto" w:fill="004054"/>
          </w:tcPr>
          <w:p>
            <w:pPr>
              <w:spacing w:after="0"/>
              <w:rPr>
                <w:sz w:val="15"/>
                <w:szCs w:val="15"/>
                <w:color w:val="auto"/>
              </w:rPr>
            </w:pPr>
          </w:p>
        </w:tc>
        <w:tc>
          <w:tcPr>
            <w:tcW w:w="6520" w:type="dxa"/>
            <w:vAlign w:val="bottom"/>
            <w:shd w:val="clear" w:color="auto" w:fill="004054"/>
          </w:tcPr>
          <w:p>
            <w:pPr>
              <w:ind w:left="4560"/>
              <w:spacing w:after="0"/>
              <w:rPr>
                <w:sz w:val="20"/>
                <w:szCs w:val="20"/>
                <w:color w:val="auto"/>
              </w:rPr>
            </w:pPr>
            <w:r>
              <w:rPr>
                <w:rFonts w:ascii="Calibri" w:cs="Calibri" w:eastAsia="Calibri" w:hAnsi="Calibri"/>
                <w:sz w:val="14"/>
                <w:szCs w:val="14"/>
                <w:b w:val="1"/>
                <w:bCs w:val="1"/>
                <w:color w:val="FFFFFF"/>
              </w:rPr>
              <w:t>Organized Under Laws of:</w:t>
            </w:r>
          </w:p>
        </w:tc>
      </w:tr>
      <w:tr>
        <w:trPr>
          <w:trHeight w:val="74"/>
        </w:trPr>
        <w:tc>
          <w:tcPr>
            <w:tcW w:w="140" w:type="dxa"/>
            <w:vAlign w:val="bottom"/>
            <w:shd w:val="clear" w:color="auto" w:fill="004054"/>
          </w:tcPr>
          <w:p>
            <w:pPr>
              <w:spacing w:after="0"/>
              <w:rPr>
                <w:sz w:val="6"/>
                <w:szCs w:val="6"/>
                <w:color w:val="auto"/>
              </w:rPr>
            </w:pPr>
          </w:p>
        </w:tc>
        <w:tc>
          <w:tcPr>
            <w:tcW w:w="840" w:type="dxa"/>
            <w:vAlign w:val="bottom"/>
            <w:shd w:val="clear" w:color="auto" w:fill="004054"/>
          </w:tcPr>
          <w:p>
            <w:pPr>
              <w:spacing w:after="0"/>
              <w:rPr>
                <w:sz w:val="6"/>
                <w:szCs w:val="6"/>
                <w:color w:val="auto"/>
              </w:rPr>
            </w:pPr>
          </w:p>
        </w:tc>
        <w:tc>
          <w:tcPr>
            <w:tcW w:w="2760" w:type="dxa"/>
            <w:vAlign w:val="bottom"/>
            <w:shd w:val="clear" w:color="auto" w:fill="004054"/>
          </w:tcPr>
          <w:p>
            <w:pPr>
              <w:spacing w:after="0"/>
              <w:rPr>
                <w:sz w:val="6"/>
                <w:szCs w:val="6"/>
                <w:color w:val="auto"/>
              </w:rPr>
            </w:pPr>
          </w:p>
        </w:tc>
        <w:tc>
          <w:tcPr>
            <w:tcW w:w="6520" w:type="dxa"/>
            <w:vAlign w:val="bottom"/>
            <w:shd w:val="clear" w:color="auto" w:fill="004054"/>
          </w:tcPr>
          <w:p>
            <w:pPr>
              <w:spacing w:after="0"/>
              <w:rPr>
                <w:sz w:val="6"/>
                <w:szCs w:val="6"/>
                <w:color w:val="auto"/>
              </w:rPr>
            </w:pP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b w:val="1"/>
                <w:bCs w:val="1"/>
                <w:color w:val="51555C"/>
              </w:rPr>
              <w:t>Blackbaud, Inc.</w:t>
            </w:r>
          </w:p>
        </w:tc>
        <w:tc>
          <w:tcPr>
            <w:tcW w:w="6520" w:type="dxa"/>
            <w:vAlign w:val="bottom"/>
          </w:tcPr>
          <w:p>
            <w:pPr>
              <w:ind w:left="4540"/>
              <w:spacing w:after="0"/>
              <w:rPr>
                <w:sz w:val="20"/>
                <w:szCs w:val="20"/>
                <w:color w:val="auto"/>
              </w:rPr>
            </w:pPr>
            <w:r>
              <w:rPr>
                <w:rFonts w:ascii="Calibri" w:cs="Calibri" w:eastAsia="Calibri" w:hAnsi="Calibri"/>
                <w:sz w:val="18"/>
                <w:szCs w:val="18"/>
                <w:b w:val="1"/>
                <w:bCs w:val="1"/>
                <w:color w:val="51555C"/>
              </w:rPr>
              <w:t>Delaware</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189"/>
        </w:trPr>
        <w:tc>
          <w:tcPr>
            <w:tcW w:w="140" w:type="dxa"/>
            <w:vAlign w:val="bottom"/>
            <w:shd w:val="clear" w:color="auto" w:fill="F4F4F4"/>
          </w:tcPr>
          <w:p>
            <w:pPr>
              <w:spacing w:after="0"/>
              <w:rPr>
                <w:sz w:val="16"/>
                <w:szCs w:val="16"/>
                <w:color w:val="auto"/>
              </w:rPr>
            </w:pPr>
          </w:p>
        </w:tc>
        <w:tc>
          <w:tcPr>
            <w:tcW w:w="3600" w:type="dxa"/>
            <w:vAlign w:val="bottom"/>
            <w:gridSpan w:val="2"/>
            <w:shd w:val="clear" w:color="auto" w:fill="F4F4F4"/>
          </w:tcPr>
          <w:p>
            <w:pPr>
              <w:spacing w:after="0" w:line="189" w:lineRule="exact"/>
              <w:rPr>
                <w:sz w:val="20"/>
                <w:szCs w:val="20"/>
                <w:color w:val="auto"/>
              </w:rPr>
            </w:pPr>
            <w:r>
              <w:rPr>
                <w:rFonts w:ascii="Calibri" w:cs="Calibri" w:eastAsia="Calibri" w:hAnsi="Calibri"/>
                <w:sz w:val="18"/>
                <w:szCs w:val="18"/>
                <w:i w:val="1"/>
                <w:iCs w:val="1"/>
                <w:color w:val="51555C"/>
              </w:rPr>
              <w:t>Subsidiaries</w:t>
            </w:r>
          </w:p>
        </w:tc>
        <w:tc>
          <w:tcPr>
            <w:tcW w:w="6520" w:type="dxa"/>
            <w:vAlign w:val="bottom"/>
            <w:shd w:val="clear" w:color="auto" w:fill="F4F4F4"/>
          </w:tcPr>
          <w:p>
            <w:pPr>
              <w:spacing w:after="0"/>
              <w:rPr>
                <w:sz w:val="16"/>
                <w:szCs w:val="16"/>
                <w:color w:val="auto"/>
              </w:rPr>
            </w:pPr>
          </w:p>
        </w:tc>
      </w:tr>
      <w:tr>
        <w:trPr>
          <w:trHeight w:val="61"/>
        </w:trPr>
        <w:tc>
          <w:tcPr>
            <w:tcW w:w="140" w:type="dxa"/>
            <w:vAlign w:val="bottom"/>
            <w:tcBorders>
              <w:top w:val="single" w:sz="8" w:color="F4F4F4"/>
            </w:tcBorders>
            <w:shd w:val="clear" w:color="auto" w:fill="F4F4F4"/>
          </w:tcPr>
          <w:p>
            <w:pPr>
              <w:spacing w:after="0"/>
              <w:rPr>
                <w:sz w:val="5"/>
                <w:szCs w:val="5"/>
                <w:color w:val="auto"/>
              </w:rPr>
            </w:pPr>
          </w:p>
        </w:tc>
        <w:tc>
          <w:tcPr>
            <w:tcW w:w="840" w:type="dxa"/>
            <w:vAlign w:val="bottom"/>
            <w:tcBorders>
              <w:top w:val="single" w:sz="8" w:color="51555C"/>
            </w:tcBorders>
            <w:shd w:val="clear" w:color="auto" w:fill="F4F4F4"/>
          </w:tcPr>
          <w:p>
            <w:pPr>
              <w:spacing w:after="0"/>
              <w:rPr>
                <w:sz w:val="5"/>
                <w:szCs w:val="5"/>
                <w:color w:val="auto"/>
              </w:rPr>
            </w:pPr>
          </w:p>
        </w:tc>
        <w:tc>
          <w:tcPr>
            <w:tcW w:w="2760" w:type="dxa"/>
            <w:vAlign w:val="bottom"/>
            <w:tcBorders>
              <w:top w:val="single" w:sz="8" w:color="F4F4F4"/>
            </w:tcBorders>
            <w:shd w:val="clear" w:color="auto" w:fill="F4F4F4"/>
          </w:tcPr>
          <w:p>
            <w:pPr>
              <w:spacing w:after="0"/>
              <w:rPr>
                <w:sz w:val="5"/>
                <w:szCs w:val="5"/>
                <w:color w:val="auto"/>
              </w:rPr>
            </w:pPr>
          </w:p>
        </w:tc>
        <w:tc>
          <w:tcPr>
            <w:tcW w:w="6520" w:type="dxa"/>
            <w:vAlign w:val="bottom"/>
            <w:tcBorders>
              <w:top w:val="single" w:sz="8" w:color="F4F4F4"/>
            </w:tcBorders>
            <w:shd w:val="clear" w:color="auto" w:fill="F4F4F4"/>
          </w:tcPr>
          <w:p>
            <w:pPr>
              <w:spacing w:after="0"/>
              <w:rPr>
                <w:sz w:val="5"/>
                <w:szCs w:val="5"/>
                <w:color w:val="auto"/>
              </w:rPr>
            </w:pP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ACN 161 644 328 Pty.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Australia</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BB Real Property Development, LLC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Delaware</w:t>
            </w: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BBHQ1, LLC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Delaware</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BB US-DCL, LLC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Delaware</w:t>
            </w: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BB US-SIS, LLC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Delaware</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Blackbaud Asia, Ltd.</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Hong Kong</w:t>
            </w:r>
          </w:p>
        </w:tc>
      </w:tr>
      <w:tr>
        <w:trPr>
          <w:trHeight w:val="219"/>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Blackbaud Canada, Inc.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Canada</w:t>
            </w:r>
          </w:p>
        </w:tc>
      </w:tr>
      <w:tr>
        <w:trPr>
          <w:trHeight w:val="51"/>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Blackbaud Europe Ltd.</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Scotland</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Blackbaud Global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England and Wales</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Blackbaud Latn America, S.R.L.</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Costa Rica</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Blackbaud Pacifc Pty.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Australia</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Click 4 Compliance, LLC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Virginia</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Ed Comms Pty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Australia</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Educatonal Communicatons Ltd.</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England and Wales</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EverFi, Inc.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Delaware</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EverFi Canada, Inc.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Canada</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EVERFI Internatonal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England and Wales</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EVERFI Middle East Ltd.</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England and Wales</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Everyday Hero Pty.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Australia</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Giving.com Limited</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England and Wales</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Giving Limited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England and Wales</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JGCrowdfunding USA, LLC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Delaware</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JG US Inc.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Delaware</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Lawroom.com</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CA C-Corp</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MyCharity, Ltd.</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Ireland</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Blackbaud Tuiton Management, LLC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Delaware</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YC Blocker 1, LLC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Delaware</w:t>
            </w:r>
          </w:p>
        </w:tc>
      </w:tr>
      <w:tr>
        <w:trPr>
          <w:trHeight w:val="50"/>
        </w:trPr>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520" w:type="dxa"/>
            <w:vAlign w:val="bottom"/>
          </w:tcPr>
          <w:p>
            <w:pPr>
              <w:spacing w:after="0"/>
              <w:rPr>
                <w:sz w:val="4"/>
                <w:szCs w:val="4"/>
                <w:color w:val="auto"/>
              </w:rPr>
            </w:pPr>
          </w:p>
        </w:tc>
      </w:tr>
      <w:tr>
        <w:trPr>
          <w:trHeight w:val="250"/>
        </w:trPr>
        <w:tc>
          <w:tcPr>
            <w:tcW w:w="3740" w:type="dxa"/>
            <w:vAlign w:val="bottom"/>
            <w:tcBorders>
              <w:bottom w:val="single" w:sz="8" w:color="F4F4F4"/>
            </w:tcBorders>
            <w:gridSpan w:val="3"/>
            <w:shd w:val="clear" w:color="auto" w:fill="F4F4F4"/>
          </w:tcPr>
          <w:p>
            <w:pPr>
              <w:ind w:left="20"/>
              <w:spacing w:after="0"/>
              <w:rPr>
                <w:sz w:val="20"/>
                <w:szCs w:val="20"/>
                <w:color w:val="auto"/>
              </w:rPr>
            </w:pPr>
            <w:r>
              <w:rPr>
                <w:rFonts w:ascii="Calibri" w:cs="Calibri" w:eastAsia="Calibri" w:hAnsi="Calibri"/>
                <w:sz w:val="18"/>
                <w:szCs w:val="18"/>
                <w:color w:val="51555C"/>
              </w:rPr>
              <w:t>YourCause Holdings, LLC</w:t>
            </w:r>
          </w:p>
        </w:tc>
        <w:tc>
          <w:tcPr>
            <w:tcW w:w="6520" w:type="dxa"/>
            <w:vAlign w:val="bottom"/>
            <w:tcBorders>
              <w:bottom w:val="single" w:sz="8" w:color="F4F4F4"/>
            </w:tcBorders>
            <w:shd w:val="clear" w:color="auto" w:fill="F4F4F4"/>
          </w:tcPr>
          <w:p>
            <w:pPr>
              <w:ind w:left="4540"/>
              <w:spacing w:after="0"/>
              <w:rPr>
                <w:sz w:val="20"/>
                <w:szCs w:val="20"/>
                <w:color w:val="auto"/>
              </w:rPr>
            </w:pPr>
            <w:r>
              <w:rPr>
                <w:rFonts w:ascii="Calibri" w:cs="Calibri" w:eastAsia="Calibri" w:hAnsi="Calibri"/>
                <w:sz w:val="18"/>
                <w:szCs w:val="18"/>
                <w:color w:val="51555C"/>
              </w:rPr>
              <w:t>Delaware</w:t>
            </w:r>
          </w:p>
        </w:tc>
      </w:tr>
      <w:tr>
        <w:trPr>
          <w:trHeight w:val="220"/>
        </w:trPr>
        <w:tc>
          <w:tcPr>
            <w:tcW w:w="3740" w:type="dxa"/>
            <w:vAlign w:val="bottom"/>
            <w:gridSpan w:val="3"/>
          </w:tcPr>
          <w:p>
            <w:pPr>
              <w:ind w:left="20"/>
              <w:spacing w:after="0"/>
              <w:rPr>
                <w:sz w:val="20"/>
                <w:szCs w:val="20"/>
                <w:color w:val="auto"/>
              </w:rPr>
            </w:pPr>
            <w:r>
              <w:rPr>
                <w:rFonts w:ascii="Calibri" w:cs="Calibri" w:eastAsia="Calibri" w:hAnsi="Calibri"/>
                <w:sz w:val="18"/>
                <w:szCs w:val="18"/>
                <w:color w:val="51555C"/>
              </w:rPr>
              <w:t>YourCause, LLC</w:t>
            </w:r>
          </w:p>
        </w:tc>
        <w:tc>
          <w:tcPr>
            <w:tcW w:w="6520" w:type="dxa"/>
            <w:vAlign w:val="bottom"/>
          </w:tcPr>
          <w:p>
            <w:pPr>
              <w:ind w:left="4540"/>
              <w:spacing w:after="0"/>
              <w:rPr>
                <w:sz w:val="20"/>
                <w:szCs w:val="20"/>
                <w:color w:val="auto"/>
              </w:rPr>
            </w:pPr>
            <w:r>
              <w:rPr>
                <w:rFonts w:ascii="Calibri" w:cs="Calibri" w:eastAsia="Calibri" w:hAnsi="Calibri"/>
                <w:sz w:val="18"/>
                <w:szCs w:val="18"/>
                <w:color w:val="51555C"/>
              </w:rPr>
              <w:t>Texas</w:t>
            </w:r>
          </w:p>
        </w:tc>
      </w:tr>
      <w:tr>
        <w:trPr>
          <w:trHeight w:val="50"/>
        </w:trPr>
        <w:tc>
          <w:tcPr>
            <w:tcW w:w="140" w:type="dxa"/>
            <w:vAlign w:val="bottom"/>
            <w:tcBorders>
              <w:bottom w:val="single" w:sz="8" w:color="0CD973"/>
            </w:tcBorders>
          </w:tcPr>
          <w:p>
            <w:pPr>
              <w:spacing w:after="0"/>
              <w:rPr>
                <w:sz w:val="4"/>
                <w:szCs w:val="4"/>
                <w:color w:val="auto"/>
              </w:rPr>
            </w:pPr>
          </w:p>
        </w:tc>
        <w:tc>
          <w:tcPr>
            <w:tcW w:w="840" w:type="dxa"/>
            <w:vAlign w:val="bottom"/>
            <w:tcBorders>
              <w:bottom w:val="single" w:sz="8" w:color="0CD973"/>
            </w:tcBorders>
          </w:tcPr>
          <w:p>
            <w:pPr>
              <w:spacing w:after="0"/>
              <w:rPr>
                <w:sz w:val="4"/>
                <w:szCs w:val="4"/>
                <w:color w:val="auto"/>
              </w:rPr>
            </w:pPr>
          </w:p>
        </w:tc>
        <w:tc>
          <w:tcPr>
            <w:tcW w:w="2760" w:type="dxa"/>
            <w:vAlign w:val="bottom"/>
            <w:tcBorders>
              <w:bottom w:val="single" w:sz="8" w:color="0CD973"/>
            </w:tcBorders>
          </w:tcPr>
          <w:p>
            <w:pPr>
              <w:spacing w:after="0"/>
              <w:rPr>
                <w:sz w:val="4"/>
                <w:szCs w:val="4"/>
                <w:color w:val="auto"/>
              </w:rPr>
            </w:pPr>
          </w:p>
        </w:tc>
        <w:tc>
          <w:tcPr>
            <w:tcW w:w="6520" w:type="dxa"/>
            <w:vAlign w:val="bottom"/>
            <w:tcBorders>
              <w:bottom w:val="single" w:sz="8" w:color="0CD973"/>
            </w:tcBorders>
          </w:tcPr>
          <w:p>
            <w:pPr>
              <w:spacing w:after="0"/>
              <w:rPr>
                <w:sz w:val="4"/>
                <w:szCs w:val="4"/>
                <w:color w:val="auto"/>
              </w:rPr>
            </w:pPr>
          </w:p>
        </w:tc>
      </w:tr>
    </w:tbl>
    <w:p>
      <w:pPr>
        <w:sectPr>
          <w:pgSz w:w="11900" w:h="16838" w:orient="portrait"/>
          <w:cols w:equalWidth="0" w:num="1">
            <w:col w:w="10740"/>
          </w:cols>
          <w:pgMar w:left="820" w:top="1044" w:right="339" w:bottom="1440" w:gutter="0" w:footer="0" w:header="0"/>
        </w:sectPr>
      </w:pPr>
    </w:p>
    <w:bookmarkStart w:id="128" w:name="page129"/>
    <w:bookmarkEnd w:id="128"/>
    <w:p>
      <w:pPr>
        <w:jc w:val="right"/>
        <w:spacing w:after="0"/>
        <w:rPr>
          <w:sz w:val="20"/>
          <w:szCs w:val="20"/>
          <w:color w:val="auto"/>
        </w:rPr>
      </w:pPr>
      <w:r>
        <w:rPr>
          <w:rFonts w:ascii="Calibri" w:cs="Calibri" w:eastAsia="Calibri" w:hAnsi="Calibri"/>
          <w:sz w:val="18"/>
          <w:szCs w:val="18"/>
          <w:b w:val="1"/>
          <w:bCs w:val="1"/>
          <w:color w:val="auto"/>
        </w:rPr>
        <w:t>EXHIBIT 23.1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8"/>
          <w:szCs w:val="18"/>
          <w:color w:val="51555C"/>
        </w:rPr>
        <w:t>CONSENT OF INDEPENDENT REGISTERED PUBLIC ACCOUNTING FIRM</w:t>
      </w:r>
    </w:p>
    <w:p>
      <w:pPr>
        <w:spacing w:after="0" w:line="293" w:lineRule="exact"/>
        <w:rPr>
          <w:sz w:val="20"/>
          <w:szCs w:val="20"/>
          <w:color w:val="auto"/>
        </w:rPr>
      </w:pPr>
    </w:p>
    <w:p>
      <w:pPr>
        <w:spacing w:after="0"/>
        <w:rPr>
          <w:sz w:val="20"/>
          <w:szCs w:val="20"/>
          <w:color w:val="auto"/>
        </w:rPr>
      </w:pPr>
      <w:r>
        <w:rPr>
          <w:rFonts w:ascii="Calibri" w:cs="Calibri" w:eastAsia="Calibri" w:hAnsi="Calibri"/>
          <w:sz w:val="18"/>
          <w:szCs w:val="18"/>
          <w:color w:val="51555C"/>
        </w:rPr>
        <w:t>We consent to the incorporaton by reference in the following Registraton Statements:</w:t>
      </w:r>
    </w:p>
    <w:p>
      <w:pPr>
        <w:spacing w:after="0" w:line="42" w:lineRule="exact"/>
        <w:rPr>
          <w:sz w:val="20"/>
          <w:szCs w:val="20"/>
          <w:color w:val="auto"/>
        </w:rPr>
      </w:pPr>
    </w:p>
    <w:p>
      <w:pPr>
        <w:ind w:left="660" w:right="360" w:hanging="328"/>
        <w:spacing w:after="0" w:line="227" w:lineRule="auto"/>
        <w:tabs>
          <w:tab w:leader="none" w:pos="645" w:val="left"/>
        </w:tabs>
        <w:numPr>
          <w:ilvl w:val="0"/>
          <w:numId w:val="64"/>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333-272678 pertaining to the Blackbaud, Inc. 2016 Equity and Incentve Compensaton Plan Amended and Restated as of June 14, 2023,</w:t>
      </w:r>
    </w:p>
    <w:p>
      <w:pPr>
        <w:spacing w:after="0" w:line="1" w:lineRule="exact"/>
        <w:rPr>
          <w:rFonts w:ascii="Calibri" w:cs="Calibri" w:eastAsia="Calibri" w:hAnsi="Calibri"/>
          <w:sz w:val="18"/>
          <w:szCs w:val="18"/>
          <w:color w:val="51555C"/>
        </w:rPr>
      </w:pPr>
    </w:p>
    <w:p>
      <w:pPr>
        <w:ind w:left="660" w:right="320" w:hanging="328"/>
        <w:spacing w:after="0" w:line="221" w:lineRule="auto"/>
        <w:tabs>
          <w:tab w:leader="none" w:pos="645" w:val="left"/>
        </w:tabs>
        <w:numPr>
          <w:ilvl w:val="0"/>
          <w:numId w:val="64"/>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333-265527) pertaining to the Blackbaud, Inc. 2016 Equity and Incentve Compensaton Plan Amended and Restated as of June 9, 2022,</w:t>
      </w:r>
    </w:p>
    <w:p>
      <w:pPr>
        <w:ind w:left="640" w:hanging="308"/>
        <w:spacing w:after="0" w:line="221" w:lineRule="auto"/>
        <w:tabs>
          <w:tab w:leader="none" w:pos="640" w:val="left"/>
        </w:tabs>
        <w:numPr>
          <w:ilvl w:val="0"/>
          <w:numId w:val="64"/>
        </w:numPr>
        <w:rPr>
          <w:rFonts w:ascii="Calibri" w:cs="Calibri" w:eastAsia="Calibri" w:hAnsi="Calibri"/>
          <w:sz w:val="18"/>
          <w:szCs w:val="18"/>
          <w:color w:val="51555C"/>
        </w:rPr>
      </w:pPr>
      <w:r>
        <w:rPr>
          <w:rFonts w:ascii="Calibri" w:cs="Calibri" w:eastAsia="Calibri" w:hAnsi="Calibri"/>
          <w:sz w:val="18"/>
          <w:szCs w:val="18"/>
          <w:color w:val="51555C"/>
        </w:rPr>
        <w:t>Registraton Statement (Form S-3 No. 333-262190) of Blackbaud, Inc.,</w:t>
      </w:r>
    </w:p>
    <w:p>
      <w:pPr>
        <w:ind w:left="660" w:right="320" w:hanging="328"/>
        <w:spacing w:after="0" w:line="221" w:lineRule="auto"/>
        <w:tabs>
          <w:tab w:leader="none" w:pos="645" w:val="left"/>
        </w:tabs>
        <w:numPr>
          <w:ilvl w:val="0"/>
          <w:numId w:val="64"/>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333-257030) pertaining to the Blackbaud, Inc. 2016 Equity and Incentve Compensaton Plan Amended and Restated as of June 10, 2021,</w:t>
      </w:r>
    </w:p>
    <w:p>
      <w:pPr>
        <w:ind w:left="660" w:right="320" w:hanging="328"/>
        <w:spacing w:after="0" w:line="213" w:lineRule="auto"/>
        <w:tabs>
          <w:tab w:leader="none" w:pos="645" w:val="left"/>
        </w:tabs>
        <w:numPr>
          <w:ilvl w:val="0"/>
          <w:numId w:val="64"/>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333-232111) pertaining to the Blackbaud, Inc. 2016 Equity and Incentve Compensaton Plan Amended and Restated as of June 13, 2019, and</w:t>
      </w:r>
    </w:p>
    <w:p>
      <w:pPr>
        <w:spacing w:after="0" w:line="1" w:lineRule="exact"/>
        <w:rPr>
          <w:rFonts w:ascii="Calibri" w:cs="Calibri" w:eastAsia="Calibri" w:hAnsi="Calibri"/>
          <w:sz w:val="18"/>
          <w:szCs w:val="18"/>
          <w:color w:val="51555C"/>
        </w:rPr>
      </w:pPr>
    </w:p>
    <w:p>
      <w:pPr>
        <w:ind w:left="640" w:hanging="308"/>
        <w:spacing w:after="0" w:line="221" w:lineRule="auto"/>
        <w:tabs>
          <w:tab w:leader="none" w:pos="640" w:val="left"/>
        </w:tabs>
        <w:numPr>
          <w:ilvl w:val="0"/>
          <w:numId w:val="64"/>
        </w:numPr>
        <w:rPr>
          <w:rFonts w:ascii="Calibri" w:cs="Calibri" w:eastAsia="Calibri" w:hAnsi="Calibri"/>
          <w:sz w:val="18"/>
          <w:szCs w:val="18"/>
          <w:color w:val="51555C"/>
        </w:rPr>
      </w:pPr>
      <w:r>
        <w:rPr>
          <w:rFonts w:ascii="Calibri" w:cs="Calibri" w:eastAsia="Calibri" w:hAnsi="Calibri"/>
          <w:sz w:val="18"/>
          <w:szCs w:val="18"/>
          <w:color w:val="51555C"/>
        </w:rPr>
        <w:t>Registraton Statement (Form S-8 No. 333-212057) pertaining to the Blackbaud, Inc. 2016 Equity and Incentve Compensaton Plan;</w:t>
      </w:r>
    </w:p>
    <w:p>
      <w:pPr>
        <w:spacing w:after="0" w:line="231"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51555C"/>
        </w:rPr>
        <w:t>of our reports dated February 21, 2024, with respect to the consolidated fnancial statements of Blackbaud, Inc. and the efectveness of internal control over fnancial reportng of Blackbaud, Inc. included in this Annual Report (Form 10-K) of Blackbaud, Inc. for the year ended December 31, 2023.</w:t>
      </w:r>
    </w:p>
    <w:p>
      <w:pPr>
        <w:spacing w:after="0" w:line="336" w:lineRule="exact"/>
        <w:rPr>
          <w:sz w:val="20"/>
          <w:szCs w:val="20"/>
          <w:color w:val="auto"/>
        </w:rPr>
      </w:pPr>
    </w:p>
    <w:p>
      <w:pPr>
        <w:ind w:left="20"/>
        <w:spacing w:after="0"/>
        <w:rPr>
          <w:sz w:val="20"/>
          <w:szCs w:val="20"/>
          <w:color w:val="auto"/>
        </w:rPr>
      </w:pPr>
      <w:r>
        <w:rPr>
          <w:rFonts w:ascii="Calibri" w:cs="Calibri" w:eastAsia="Calibri" w:hAnsi="Calibri"/>
          <w:sz w:val="18"/>
          <w:szCs w:val="18"/>
          <w:color w:val="51555C"/>
        </w:rPr>
        <w:t>/S/ Ernst &amp; Young LLP</w:t>
      </w:r>
    </w:p>
    <w:p>
      <w:pPr>
        <w:spacing w:after="0" w:line="64" w:lineRule="exact"/>
        <w:rPr>
          <w:sz w:val="20"/>
          <w:szCs w:val="20"/>
          <w:color w:val="auto"/>
        </w:rPr>
      </w:pPr>
    </w:p>
    <w:p>
      <w:pPr>
        <w:ind w:left="20"/>
        <w:spacing w:after="0"/>
        <w:rPr>
          <w:sz w:val="20"/>
          <w:szCs w:val="20"/>
          <w:color w:val="auto"/>
        </w:rPr>
      </w:pPr>
      <w:r>
        <w:rPr>
          <w:rFonts w:ascii="Calibri" w:cs="Calibri" w:eastAsia="Calibri" w:hAnsi="Calibri"/>
          <w:sz w:val="18"/>
          <w:szCs w:val="18"/>
          <w:color w:val="51555C"/>
        </w:rPr>
        <w:t>Raleigh, North Carolina</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51555C"/>
        </w:rPr>
        <w:t>February 21, 2024</w:t>
      </w:r>
    </w:p>
    <w:p>
      <w:pPr>
        <w:sectPr>
          <w:pgSz w:w="11900" w:h="16838" w:orient="portrait"/>
          <w:cols w:equalWidth="0" w:num="1">
            <w:col w:w="11240"/>
          </w:cols>
          <w:pgMar w:left="320" w:top="882" w:right="339" w:bottom="1440" w:gutter="0" w:footer="0" w:header="0"/>
        </w:sectPr>
      </w:pPr>
    </w:p>
    <w:bookmarkStart w:id="129" w:name="page130"/>
    <w:bookmarkEnd w:id="129"/>
    <w:p>
      <w:pPr>
        <w:jc w:val="right"/>
        <w:spacing w:after="0"/>
        <w:rPr>
          <w:sz w:val="20"/>
          <w:szCs w:val="20"/>
          <w:color w:val="auto"/>
        </w:rPr>
      </w:pPr>
      <w:r>
        <w:rPr>
          <w:rFonts w:ascii="Calibri" w:cs="Calibri" w:eastAsia="Calibri" w:hAnsi="Calibri"/>
          <w:sz w:val="18"/>
          <w:szCs w:val="18"/>
          <w:b w:val="1"/>
          <w:bCs w:val="1"/>
          <w:color w:val="auto"/>
        </w:rPr>
        <w:t>EXHIBIT 23.2</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8"/>
          <w:szCs w:val="18"/>
          <w:color w:val="51555C"/>
        </w:rPr>
        <w:t>CONSENT OF INDEPENDENT REGISTERED PUBLIC ACCOUNTING FIRM</w:t>
      </w:r>
    </w:p>
    <w:p>
      <w:pPr>
        <w:spacing w:after="0" w:line="298" w:lineRule="exact"/>
        <w:rPr>
          <w:sz w:val="20"/>
          <w:szCs w:val="20"/>
          <w:color w:val="auto"/>
        </w:rPr>
      </w:pPr>
    </w:p>
    <w:p>
      <w:pPr>
        <w:jc w:val="both"/>
        <w:spacing w:after="0" w:line="351" w:lineRule="auto"/>
        <w:rPr>
          <w:sz w:val="20"/>
          <w:szCs w:val="20"/>
          <w:color w:val="auto"/>
        </w:rPr>
      </w:pPr>
      <w:r>
        <w:rPr>
          <w:rFonts w:ascii="Calibri" w:cs="Calibri" w:eastAsia="Calibri" w:hAnsi="Calibri"/>
          <w:sz w:val="18"/>
          <w:szCs w:val="18"/>
          <w:color w:val="51555C"/>
        </w:rPr>
        <w:t>We hereby consent to the incorporaton by reference in the Registraton Statements on Form S-3 (No. 333-262190) and Form S-8 (No. 333-272678, No. 333-212057, No. 333-232111, No. 333-257030 and No. 333-265527) of Blackbaud, Inc. of our report dated March 1, 2022 relatng to the fnancial statements, which appears in this Form 10-K.</w:t>
      </w:r>
    </w:p>
    <w:p>
      <w:pPr>
        <w:spacing w:after="0" w:line="287" w:lineRule="exact"/>
        <w:rPr>
          <w:sz w:val="20"/>
          <w:szCs w:val="20"/>
          <w:color w:val="auto"/>
        </w:rPr>
      </w:pPr>
    </w:p>
    <w:p>
      <w:pPr>
        <w:ind w:left="20"/>
        <w:spacing w:after="0"/>
        <w:rPr>
          <w:sz w:val="20"/>
          <w:szCs w:val="20"/>
          <w:color w:val="auto"/>
        </w:rPr>
      </w:pPr>
      <w:r>
        <w:rPr>
          <w:rFonts w:ascii="Calibri" w:cs="Calibri" w:eastAsia="Calibri" w:hAnsi="Calibri"/>
          <w:sz w:val="18"/>
          <w:szCs w:val="18"/>
          <w:color w:val="51555C"/>
        </w:rPr>
        <w:t>/S/ PricewaterhouseCoopers LLP</w:t>
      </w:r>
    </w:p>
    <w:p>
      <w:pPr>
        <w:spacing w:after="0" w:line="64" w:lineRule="exact"/>
        <w:rPr>
          <w:sz w:val="20"/>
          <w:szCs w:val="20"/>
          <w:color w:val="auto"/>
        </w:rPr>
      </w:pPr>
    </w:p>
    <w:p>
      <w:pPr>
        <w:ind w:left="20"/>
        <w:spacing w:after="0"/>
        <w:rPr>
          <w:sz w:val="20"/>
          <w:szCs w:val="20"/>
          <w:color w:val="auto"/>
        </w:rPr>
      </w:pPr>
      <w:r>
        <w:rPr>
          <w:rFonts w:ascii="Calibri" w:cs="Calibri" w:eastAsia="Calibri" w:hAnsi="Calibri"/>
          <w:sz w:val="18"/>
          <w:szCs w:val="18"/>
          <w:color w:val="51555C"/>
        </w:rPr>
        <w:t>Atlanta, Georgia</w:t>
      </w:r>
    </w:p>
    <w:p>
      <w:pPr>
        <w:spacing w:after="0" w:line="10" w:lineRule="exact"/>
        <w:rPr>
          <w:sz w:val="20"/>
          <w:szCs w:val="20"/>
          <w:color w:val="auto"/>
        </w:rPr>
      </w:pPr>
    </w:p>
    <w:p>
      <w:pPr>
        <w:ind w:left="20"/>
        <w:spacing w:after="0"/>
        <w:rPr>
          <w:sz w:val="20"/>
          <w:szCs w:val="20"/>
          <w:color w:val="auto"/>
        </w:rPr>
      </w:pPr>
      <w:r>
        <w:rPr>
          <w:rFonts w:ascii="Calibri" w:cs="Calibri" w:eastAsia="Calibri" w:hAnsi="Calibri"/>
          <w:sz w:val="18"/>
          <w:szCs w:val="18"/>
          <w:color w:val="51555C"/>
        </w:rPr>
        <w:t>February 21, 2024</w:t>
      </w:r>
    </w:p>
    <w:p>
      <w:pPr>
        <w:sectPr>
          <w:pgSz w:w="11900" w:h="16838" w:orient="portrait"/>
          <w:cols w:equalWidth="0" w:num="1">
            <w:col w:w="11240"/>
          </w:cols>
          <w:pgMar w:left="320" w:top="882" w:right="339" w:bottom="1440" w:gutter="0" w:footer="0" w:header="0"/>
        </w:sectPr>
      </w:pPr>
    </w:p>
    <w:bookmarkStart w:id="130" w:name="page131"/>
    <w:bookmarkEnd w:id="130"/>
    <w:p>
      <w:pPr>
        <w:jc w:val="right"/>
        <w:spacing w:after="0"/>
        <w:rPr>
          <w:sz w:val="20"/>
          <w:szCs w:val="20"/>
          <w:color w:val="auto"/>
        </w:rPr>
      </w:pPr>
      <w:r>
        <w:rPr>
          <w:rFonts w:ascii="Calibri" w:cs="Calibri" w:eastAsia="Calibri" w:hAnsi="Calibri"/>
          <w:sz w:val="18"/>
          <w:szCs w:val="18"/>
          <w:b w:val="1"/>
          <w:bCs w:val="1"/>
          <w:color w:val="51555C"/>
        </w:rPr>
        <w:t>EXHIBIT 31.1</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CERTIFICATION PURSUANT TO SECTION 302 OF THE SARBANES-OXLEY ACT OF 2002</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I, Michael P. Gianoni, certfy that:</w:t>
      </w:r>
    </w:p>
    <w:p>
      <w:pPr>
        <w:spacing w:after="0" w:line="158" w:lineRule="exact"/>
        <w:rPr>
          <w:sz w:val="20"/>
          <w:szCs w:val="20"/>
          <w:color w:val="auto"/>
        </w:rPr>
      </w:pPr>
    </w:p>
    <w:p>
      <w:pPr>
        <w:ind w:left="640" w:hanging="308"/>
        <w:spacing w:after="0"/>
        <w:tabs>
          <w:tab w:leader="none" w:pos="640" w:val="left"/>
        </w:tabs>
        <w:numPr>
          <w:ilvl w:val="0"/>
          <w:numId w:val="65"/>
        </w:numPr>
        <w:rPr>
          <w:rFonts w:ascii="Calibri" w:cs="Calibri" w:eastAsia="Calibri" w:hAnsi="Calibri"/>
          <w:sz w:val="18"/>
          <w:szCs w:val="18"/>
          <w:color w:val="51555C"/>
        </w:rPr>
      </w:pPr>
      <w:r>
        <w:rPr>
          <w:rFonts w:ascii="Calibri" w:cs="Calibri" w:eastAsia="Calibri" w:hAnsi="Calibri"/>
          <w:sz w:val="18"/>
          <w:szCs w:val="18"/>
          <w:color w:val="51555C"/>
        </w:rPr>
        <w:t>I have reviewed this annual report on Form 10-K of Blackbaud, Inc.;</w:t>
      </w:r>
    </w:p>
    <w:p>
      <w:pPr>
        <w:spacing w:after="0" w:line="163" w:lineRule="exact"/>
        <w:rPr>
          <w:rFonts w:ascii="Calibri" w:cs="Calibri" w:eastAsia="Calibri" w:hAnsi="Calibri"/>
          <w:sz w:val="18"/>
          <w:szCs w:val="18"/>
          <w:color w:val="51555C"/>
        </w:rPr>
      </w:pPr>
    </w:p>
    <w:p>
      <w:pPr>
        <w:jc w:val="both"/>
        <w:ind w:left="660" w:right="140" w:hanging="328"/>
        <w:spacing w:after="0" w:line="235" w:lineRule="auto"/>
        <w:tabs>
          <w:tab w:leader="none" w:pos="645" w:val="left"/>
        </w:tabs>
        <w:numPr>
          <w:ilvl w:val="0"/>
          <w:numId w:val="65"/>
        </w:numPr>
        <w:rPr>
          <w:rFonts w:ascii="Calibri" w:cs="Calibri" w:eastAsia="Calibri" w:hAnsi="Calibri"/>
          <w:sz w:val="18"/>
          <w:szCs w:val="18"/>
          <w:color w:val="51555C"/>
        </w:rPr>
      </w:pPr>
      <w:r>
        <w:rPr>
          <w:rFonts w:ascii="Calibri" w:cs="Calibri" w:eastAsia="Calibri" w:hAnsi="Calibri"/>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alibri" w:cs="Calibri" w:eastAsia="Calibri" w:hAnsi="Calibri"/>
          <w:sz w:val="18"/>
          <w:szCs w:val="18"/>
          <w:color w:val="51555C"/>
        </w:rPr>
      </w:pPr>
    </w:p>
    <w:p>
      <w:pPr>
        <w:ind w:left="660" w:right="220" w:hanging="328"/>
        <w:spacing w:after="0" w:line="235" w:lineRule="auto"/>
        <w:tabs>
          <w:tab w:leader="none" w:pos="645" w:val="left"/>
        </w:tabs>
        <w:numPr>
          <w:ilvl w:val="0"/>
          <w:numId w:val="65"/>
        </w:numPr>
        <w:rPr>
          <w:rFonts w:ascii="Calibri" w:cs="Calibri" w:eastAsia="Calibri" w:hAnsi="Calibri"/>
          <w:sz w:val="18"/>
          <w:szCs w:val="18"/>
          <w:color w:val="51555C"/>
        </w:rPr>
      </w:pPr>
      <w:r>
        <w:rPr>
          <w:rFonts w:ascii="Calibri" w:cs="Calibri" w:eastAsia="Calibri" w:hAnsi="Calibri"/>
          <w:sz w:val="18"/>
          <w:szCs w:val="18"/>
          <w:color w:val="51555C"/>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63" w:lineRule="exact"/>
        <w:rPr>
          <w:rFonts w:ascii="Calibri" w:cs="Calibri" w:eastAsia="Calibri" w:hAnsi="Calibri"/>
          <w:sz w:val="18"/>
          <w:szCs w:val="18"/>
          <w:color w:val="51555C"/>
        </w:rPr>
      </w:pPr>
    </w:p>
    <w:p>
      <w:pPr>
        <w:ind w:left="660" w:right="80" w:hanging="328"/>
        <w:spacing w:after="0" w:line="235" w:lineRule="auto"/>
        <w:tabs>
          <w:tab w:leader="none" w:pos="645" w:val="left"/>
        </w:tabs>
        <w:numPr>
          <w:ilvl w:val="0"/>
          <w:numId w:val="65"/>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64" w:lineRule="exact"/>
        <w:rPr>
          <w:rFonts w:ascii="Calibri" w:cs="Calibri" w:eastAsia="Calibri" w:hAnsi="Calibri"/>
          <w:sz w:val="18"/>
          <w:szCs w:val="18"/>
          <w:color w:val="51555C"/>
        </w:rPr>
      </w:pPr>
    </w:p>
    <w:p>
      <w:pPr>
        <w:ind w:left="980" w:right="140" w:hanging="324"/>
        <w:spacing w:after="0" w:line="235" w:lineRule="auto"/>
        <w:tabs>
          <w:tab w:leader="none" w:pos="973" w:val="left"/>
        </w:tabs>
        <w:numPr>
          <w:ilvl w:val="1"/>
          <w:numId w:val="65"/>
        </w:numPr>
        <w:rPr>
          <w:rFonts w:ascii="Calibri" w:cs="Calibri" w:eastAsia="Calibri" w:hAnsi="Calibri"/>
          <w:sz w:val="18"/>
          <w:szCs w:val="18"/>
          <w:color w:val="51555C"/>
        </w:rPr>
      </w:pPr>
      <w:r>
        <w:rPr>
          <w:rFonts w:ascii="Calibri" w:cs="Calibri" w:eastAsia="Calibri" w:hAnsi="Calibri"/>
          <w:sz w:val="18"/>
          <w:szCs w:val="18"/>
          <w:color w:val="51555C"/>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64" w:lineRule="exact"/>
        <w:rPr>
          <w:rFonts w:ascii="Calibri" w:cs="Calibri" w:eastAsia="Calibri" w:hAnsi="Calibri"/>
          <w:sz w:val="18"/>
          <w:szCs w:val="18"/>
          <w:color w:val="51555C"/>
        </w:rPr>
      </w:pPr>
    </w:p>
    <w:p>
      <w:pPr>
        <w:ind w:left="980" w:right="460" w:hanging="324"/>
        <w:spacing w:after="0" w:line="235" w:lineRule="auto"/>
        <w:tabs>
          <w:tab w:leader="none" w:pos="968" w:val="left"/>
        </w:tabs>
        <w:numPr>
          <w:ilvl w:val="1"/>
          <w:numId w:val="65"/>
        </w:numPr>
        <w:rPr>
          <w:rFonts w:ascii="Calibri" w:cs="Calibri" w:eastAsia="Calibri" w:hAnsi="Calibri"/>
          <w:sz w:val="18"/>
          <w:szCs w:val="18"/>
          <w:color w:val="51555C"/>
        </w:rPr>
      </w:pPr>
      <w:r>
        <w:rPr>
          <w:rFonts w:ascii="Calibri" w:cs="Calibri" w:eastAsia="Calibri" w:hAnsi="Calibri"/>
          <w:sz w:val="18"/>
          <w:szCs w:val="18"/>
          <w:color w:val="51555C"/>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64" w:lineRule="exact"/>
        <w:rPr>
          <w:rFonts w:ascii="Calibri" w:cs="Calibri" w:eastAsia="Calibri" w:hAnsi="Calibri"/>
          <w:sz w:val="18"/>
          <w:szCs w:val="18"/>
          <w:color w:val="51555C"/>
        </w:rPr>
      </w:pPr>
    </w:p>
    <w:p>
      <w:pPr>
        <w:jc w:val="both"/>
        <w:ind w:left="980" w:right="560" w:hanging="324"/>
        <w:spacing w:after="0" w:line="258" w:lineRule="auto"/>
        <w:tabs>
          <w:tab w:leader="none" w:pos="977" w:val="left"/>
        </w:tabs>
        <w:numPr>
          <w:ilvl w:val="1"/>
          <w:numId w:val="65"/>
        </w:numPr>
        <w:rPr>
          <w:rFonts w:ascii="Calibri" w:cs="Calibri" w:eastAsia="Calibri" w:hAnsi="Calibri"/>
          <w:sz w:val="17"/>
          <w:szCs w:val="17"/>
          <w:color w:val="51555C"/>
        </w:rPr>
      </w:pPr>
      <w:r>
        <w:rPr>
          <w:rFonts w:ascii="Calibri" w:cs="Calibri" w:eastAsia="Calibri" w:hAnsi="Calibri"/>
          <w:sz w:val="17"/>
          <w:szCs w:val="17"/>
          <w:color w:val="51555C"/>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47" w:lineRule="exact"/>
        <w:rPr>
          <w:rFonts w:ascii="Calibri" w:cs="Calibri" w:eastAsia="Calibri" w:hAnsi="Calibri"/>
          <w:sz w:val="17"/>
          <w:szCs w:val="17"/>
          <w:color w:val="51555C"/>
        </w:rPr>
      </w:pPr>
    </w:p>
    <w:p>
      <w:pPr>
        <w:ind w:left="980" w:right="180" w:hanging="324"/>
        <w:spacing w:after="0" w:line="235" w:lineRule="auto"/>
        <w:tabs>
          <w:tab w:leader="none" w:pos="968" w:val="left"/>
        </w:tabs>
        <w:numPr>
          <w:ilvl w:val="1"/>
          <w:numId w:val="65"/>
        </w:numPr>
        <w:rPr>
          <w:rFonts w:ascii="Calibri" w:cs="Calibri" w:eastAsia="Calibri" w:hAnsi="Calibri"/>
          <w:sz w:val="18"/>
          <w:szCs w:val="18"/>
          <w:color w:val="51555C"/>
        </w:rPr>
      </w:pPr>
      <w:r>
        <w:rPr>
          <w:rFonts w:ascii="Calibri" w:cs="Calibri" w:eastAsia="Calibri" w:hAnsi="Calibri"/>
          <w:sz w:val="18"/>
          <w:szCs w:val="18"/>
          <w:color w:val="51555C"/>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64" w:lineRule="exact"/>
        <w:rPr>
          <w:rFonts w:ascii="Calibri" w:cs="Calibri" w:eastAsia="Calibri" w:hAnsi="Calibri"/>
          <w:sz w:val="18"/>
          <w:szCs w:val="18"/>
          <w:color w:val="51555C"/>
        </w:rPr>
      </w:pPr>
    </w:p>
    <w:p>
      <w:pPr>
        <w:ind w:left="660" w:right="160" w:hanging="328"/>
        <w:spacing w:after="0" w:line="235" w:lineRule="auto"/>
        <w:tabs>
          <w:tab w:leader="none" w:pos="645" w:val="left"/>
        </w:tabs>
        <w:numPr>
          <w:ilvl w:val="0"/>
          <w:numId w:val="65"/>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63" w:lineRule="exact"/>
        <w:rPr>
          <w:rFonts w:ascii="Calibri" w:cs="Calibri" w:eastAsia="Calibri" w:hAnsi="Calibri"/>
          <w:sz w:val="18"/>
          <w:szCs w:val="18"/>
          <w:color w:val="51555C"/>
        </w:rPr>
      </w:pPr>
    </w:p>
    <w:p>
      <w:pPr>
        <w:ind w:left="980" w:right="180" w:hanging="324"/>
        <w:spacing w:after="0" w:line="235" w:lineRule="auto"/>
        <w:tabs>
          <w:tab w:leader="none" w:pos="973" w:val="left"/>
        </w:tabs>
        <w:numPr>
          <w:ilvl w:val="1"/>
          <w:numId w:val="65"/>
        </w:numPr>
        <w:rPr>
          <w:rFonts w:ascii="Calibri" w:cs="Calibri" w:eastAsia="Calibri" w:hAnsi="Calibri"/>
          <w:sz w:val="18"/>
          <w:szCs w:val="18"/>
          <w:color w:val="51555C"/>
        </w:rPr>
      </w:pPr>
      <w:r>
        <w:rPr>
          <w:rFonts w:ascii="Calibri" w:cs="Calibri" w:eastAsia="Calibri" w:hAnsi="Calibri"/>
          <w:sz w:val="18"/>
          <w:szCs w:val="18"/>
          <w:color w:val="51555C"/>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63" w:lineRule="exact"/>
        <w:rPr>
          <w:rFonts w:ascii="Calibri" w:cs="Calibri" w:eastAsia="Calibri" w:hAnsi="Calibri"/>
          <w:sz w:val="18"/>
          <w:szCs w:val="18"/>
          <w:color w:val="51555C"/>
        </w:rPr>
      </w:pPr>
    </w:p>
    <w:p>
      <w:pPr>
        <w:ind w:left="980" w:right="40" w:hanging="324"/>
        <w:spacing w:after="0" w:line="235" w:lineRule="auto"/>
        <w:tabs>
          <w:tab w:leader="none" w:pos="968" w:val="left"/>
        </w:tabs>
        <w:numPr>
          <w:ilvl w:val="1"/>
          <w:numId w:val="65"/>
        </w:numPr>
        <w:rPr>
          <w:rFonts w:ascii="Calibri" w:cs="Calibri" w:eastAsia="Calibri" w:hAnsi="Calibri"/>
          <w:sz w:val="18"/>
          <w:szCs w:val="18"/>
          <w:color w:val="51555C"/>
        </w:rPr>
      </w:pPr>
      <w:r>
        <w:rPr>
          <w:rFonts w:ascii="Calibri" w:cs="Calibri" w:eastAsia="Calibri" w:hAnsi="Calibri"/>
          <w:sz w:val="18"/>
          <w:szCs w:val="18"/>
          <w:color w:val="51555C"/>
        </w:rPr>
        <w:t>any fraud, whether or not material, that involves management or other employees who have a signifcant role in the registrant’s internal control over fnancial reportng.</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860" w:type="dxa"/>
            <w:vAlign w:val="bottom"/>
          </w:tcPr>
          <w:p>
            <w:pPr>
              <w:spacing w:after="0"/>
              <w:rPr>
                <w:sz w:val="20"/>
                <w:szCs w:val="20"/>
                <w:color w:val="auto"/>
              </w:rPr>
            </w:pPr>
            <w:r>
              <w:rPr>
                <w:rFonts w:ascii="Calibri" w:cs="Calibri" w:eastAsia="Calibri" w:hAnsi="Calibri"/>
                <w:sz w:val="18"/>
                <w:szCs w:val="18"/>
                <w:color w:val="51555C"/>
              </w:rPr>
              <w:t>Date:   February 21, 2024</w:t>
            </w:r>
          </w:p>
        </w:tc>
        <w:tc>
          <w:tcPr>
            <w:tcW w:w="2420" w:type="dxa"/>
            <w:vAlign w:val="bottom"/>
          </w:tcPr>
          <w:p>
            <w:pPr>
              <w:ind w:left="1940"/>
              <w:spacing w:after="0"/>
              <w:rPr>
                <w:sz w:val="20"/>
                <w:szCs w:val="20"/>
                <w:color w:val="auto"/>
              </w:rPr>
            </w:pPr>
            <w:r>
              <w:rPr>
                <w:rFonts w:ascii="Calibri" w:cs="Calibri" w:eastAsia="Calibri" w:hAnsi="Calibri"/>
                <w:sz w:val="18"/>
                <w:szCs w:val="18"/>
                <w:color w:val="51555C"/>
              </w:rPr>
              <w:t>By:</w:t>
            </w:r>
          </w:p>
        </w:tc>
        <w:tc>
          <w:tcPr>
            <w:tcW w:w="4900" w:type="dxa"/>
            <w:vAlign w:val="bottom"/>
          </w:tcPr>
          <w:p>
            <w:pPr>
              <w:ind w:left="20"/>
              <w:spacing w:after="0"/>
              <w:rPr>
                <w:sz w:val="20"/>
                <w:szCs w:val="20"/>
                <w:color w:val="auto"/>
              </w:rPr>
            </w:pPr>
            <w:r>
              <w:rPr>
                <w:rFonts w:ascii="Calibri" w:cs="Calibri" w:eastAsia="Calibri" w:hAnsi="Calibri"/>
                <w:sz w:val="18"/>
                <w:szCs w:val="18"/>
                <w:color w:val="51555C"/>
              </w:rPr>
              <w:t>/s/ Michael P. Gianoni</w:t>
            </w:r>
          </w:p>
        </w:tc>
      </w:tr>
      <w:tr>
        <w:trPr>
          <w:trHeight w:val="23"/>
        </w:trPr>
        <w:tc>
          <w:tcPr>
            <w:tcW w:w="3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08"/>
        </w:trPr>
        <w:tc>
          <w:tcPr>
            <w:tcW w:w="3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00" w:type="dxa"/>
            <w:vAlign w:val="bottom"/>
          </w:tcPr>
          <w:p>
            <w:pPr>
              <w:ind w:left="20"/>
              <w:spacing w:after="0" w:line="208" w:lineRule="exact"/>
              <w:rPr>
                <w:sz w:val="20"/>
                <w:szCs w:val="20"/>
                <w:color w:val="auto"/>
              </w:rPr>
            </w:pPr>
            <w:r>
              <w:rPr>
                <w:rFonts w:ascii="Calibri" w:cs="Calibri" w:eastAsia="Calibri" w:hAnsi="Calibri"/>
                <w:sz w:val="18"/>
                <w:szCs w:val="18"/>
                <w:color w:val="51555C"/>
              </w:rPr>
              <w:t>Michael P. Gianoni</w:t>
            </w:r>
          </w:p>
        </w:tc>
      </w:tr>
      <w:tr>
        <w:trPr>
          <w:trHeight w:val="221"/>
        </w:trPr>
        <w:tc>
          <w:tcPr>
            <w:tcW w:w="38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Calibri" w:cs="Calibri" w:eastAsia="Calibri" w:hAnsi="Calibri"/>
                <w:sz w:val="18"/>
                <w:szCs w:val="18"/>
                <w:color w:val="51555C"/>
              </w:rPr>
              <w:t>Chief Executve Ofcer, President and Vice Chairman of the Board</w:t>
            </w:r>
          </w:p>
        </w:tc>
      </w:tr>
      <w:tr>
        <w:trPr>
          <w:trHeight w:val="229"/>
        </w:trPr>
        <w:tc>
          <w:tcPr>
            <w:tcW w:w="38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Calibri" w:cs="Calibri" w:eastAsia="Calibri" w:hAnsi="Calibri"/>
                <w:sz w:val="18"/>
                <w:szCs w:val="18"/>
                <w:color w:val="51555C"/>
              </w:rPr>
              <w:t>(Principal Executve Ofcer)</w:t>
            </w:r>
          </w:p>
        </w:tc>
      </w:tr>
    </w:tbl>
    <w:p>
      <w:pPr>
        <w:sectPr>
          <w:pgSz w:w="11900" w:h="16838" w:orient="portrait"/>
          <w:cols w:equalWidth="0" w:num="1">
            <w:col w:w="11240"/>
          </w:cols>
          <w:pgMar w:left="320" w:top="882" w:right="339" w:bottom="1440" w:gutter="0" w:footer="0" w:header="0"/>
        </w:sectPr>
      </w:pPr>
    </w:p>
    <w:bookmarkStart w:id="131" w:name="page132"/>
    <w:bookmarkEnd w:id="131"/>
    <w:p>
      <w:pPr>
        <w:jc w:val="right"/>
        <w:spacing w:after="0"/>
        <w:rPr>
          <w:sz w:val="20"/>
          <w:szCs w:val="20"/>
          <w:color w:val="auto"/>
        </w:rPr>
      </w:pPr>
      <w:r>
        <w:rPr>
          <w:rFonts w:ascii="Calibri" w:cs="Calibri" w:eastAsia="Calibri" w:hAnsi="Calibri"/>
          <w:sz w:val="18"/>
          <w:szCs w:val="18"/>
          <w:b w:val="1"/>
          <w:bCs w:val="1"/>
          <w:color w:val="51555C"/>
        </w:rPr>
        <w:t>EXHIBIT 31.2</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CERTIFICATION PURSUANT TO SECTION 302 OF THE SARBANES-OXLEY ACT OF 2002</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color w:val="51555C"/>
        </w:rPr>
        <w:t>I, Anthony W. Boor, certfy that:</w:t>
      </w:r>
    </w:p>
    <w:p>
      <w:pPr>
        <w:spacing w:after="0" w:line="158" w:lineRule="exact"/>
        <w:rPr>
          <w:sz w:val="20"/>
          <w:szCs w:val="20"/>
          <w:color w:val="auto"/>
        </w:rPr>
      </w:pPr>
    </w:p>
    <w:p>
      <w:pPr>
        <w:ind w:left="640" w:hanging="308"/>
        <w:spacing w:after="0"/>
        <w:tabs>
          <w:tab w:leader="none" w:pos="640" w:val="left"/>
        </w:tabs>
        <w:numPr>
          <w:ilvl w:val="0"/>
          <w:numId w:val="66"/>
        </w:numPr>
        <w:rPr>
          <w:rFonts w:ascii="Calibri" w:cs="Calibri" w:eastAsia="Calibri" w:hAnsi="Calibri"/>
          <w:sz w:val="18"/>
          <w:szCs w:val="18"/>
          <w:color w:val="51555C"/>
        </w:rPr>
      </w:pPr>
      <w:r>
        <w:rPr>
          <w:rFonts w:ascii="Calibri" w:cs="Calibri" w:eastAsia="Calibri" w:hAnsi="Calibri"/>
          <w:sz w:val="18"/>
          <w:szCs w:val="18"/>
          <w:color w:val="51555C"/>
        </w:rPr>
        <w:t>I have reviewed this annual report on Form 10-K of Blackbaud, Inc.;</w:t>
      </w:r>
    </w:p>
    <w:p>
      <w:pPr>
        <w:spacing w:after="0" w:line="163" w:lineRule="exact"/>
        <w:rPr>
          <w:rFonts w:ascii="Calibri" w:cs="Calibri" w:eastAsia="Calibri" w:hAnsi="Calibri"/>
          <w:sz w:val="18"/>
          <w:szCs w:val="18"/>
          <w:color w:val="51555C"/>
        </w:rPr>
      </w:pPr>
    </w:p>
    <w:p>
      <w:pPr>
        <w:jc w:val="both"/>
        <w:ind w:left="660" w:right="140" w:hanging="328"/>
        <w:spacing w:after="0" w:line="235" w:lineRule="auto"/>
        <w:tabs>
          <w:tab w:leader="none" w:pos="645" w:val="left"/>
        </w:tabs>
        <w:numPr>
          <w:ilvl w:val="0"/>
          <w:numId w:val="66"/>
        </w:numPr>
        <w:rPr>
          <w:rFonts w:ascii="Calibri" w:cs="Calibri" w:eastAsia="Calibri" w:hAnsi="Calibri"/>
          <w:sz w:val="18"/>
          <w:szCs w:val="18"/>
          <w:color w:val="51555C"/>
        </w:rPr>
      </w:pPr>
      <w:r>
        <w:rPr>
          <w:rFonts w:ascii="Calibri" w:cs="Calibri" w:eastAsia="Calibri" w:hAnsi="Calibri"/>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alibri" w:cs="Calibri" w:eastAsia="Calibri" w:hAnsi="Calibri"/>
          <w:sz w:val="18"/>
          <w:szCs w:val="18"/>
          <w:color w:val="51555C"/>
        </w:rPr>
      </w:pPr>
    </w:p>
    <w:p>
      <w:pPr>
        <w:ind w:left="660" w:right="220" w:hanging="328"/>
        <w:spacing w:after="0" w:line="235" w:lineRule="auto"/>
        <w:tabs>
          <w:tab w:leader="none" w:pos="645" w:val="left"/>
        </w:tabs>
        <w:numPr>
          <w:ilvl w:val="0"/>
          <w:numId w:val="66"/>
        </w:numPr>
        <w:rPr>
          <w:rFonts w:ascii="Calibri" w:cs="Calibri" w:eastAsia="Calibri" w:hAnsi="Calibri"/>
          <w:sz w:val="18"/>
          <w:szCs w:val="18"/>
          <w:color w:val="51555C"/>
        </w:rPr>
      </w:pPr>
      <w:r>
        <w:rPr>
          <w:rFonts w:ascii="Calibri" w:cs="Calibri" w:eastAsia="Calibri" w:hAnsi="Calibri"/>
          <w:sz w:val="18"/>
          <w:szCs w:val="18"/>
          <w:color w:val="51555C"/>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63" w:lineRule="exact"/>
        <w:rPr>
          <w:rFonts w:ascii="Calibri" w:cs="Calibri" w:eastAsia="Calibri" w:hAnsi="Calibri"/>
          <w:sz w:val="18"/>
          <w:szCs w:val="18"/>
          <w:color w:val="51555C"/>
        </w:rPr>
      </w:pPr>
    </w:p>
    <w:p>
      <w:pPr>
        <w:ind w:left="660" w:right="80" w:hanging="328"/>
        <w:spacing w:after="0" w:line="235" w:lineRule="auto"/>
        <w:tabs>
          <w:tab w:leader="none" w:pos="645" w:val="left"/>
        </w:tabs>
        <w:numPr>
          <w:ilvl w:val="0"/>
          <w:numId w:val="66"/>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64" w:lineRule="exact"/>
        <w:rPr>
          <w:rFonts w:ascii="Calibri" w:cs="Calibri" w:eastAsia="Calibri" w:hAnsi="Calibri"/>
          <w:sz w:val="18"/>
          <w:szCs w:val="18"/>
          <w:color w:val="51555C"/>
        </w:rPr>
      </w:pPr>
    </w:p>
    <w:p>
      <w:pPr>
        <w:ind w:left="980" w:right="140" w:hanging="324"/>
        <w:spacing w:after="0" w:line="235" w:lineRule="auto"/>
        <w:tabs>
          <w:tab w:leader="none" w:pos="973" w:val="left"/>
        </w:tabs>
        <w:numPr>
          <w:ilvl w:val="1"/>
          <w:numId w:val="66"/>
        </w:numPr>
        <w:rPr>
          <w:rFonts w:ascii="Calibri" w:cs="Calibri" w:eastAsia="Calibri" w:hAnsi="Calibri"/>
          <w:sz w:val="18"/>
          <w:szCs w:val="18"/>
          <w:color w:val="51555C"/>
        </w:rPr>
      </w:pPr>
      <w:r>
        <w:rPr>
          <w:rFonts w:ascii="Calibri" w:cs="Calibri" w:eastAsia="Calibri" w:hAnsi="Calibri"/>
          <w:sz w:val="18"/>
          <w:szCs w:val="18"/>
          <w:color w:val="51555C"/>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64" w:lineRule="exact"/>
        <w:rPr>
          <w:rFonts w:ascii="Calibri" w:cs="Calibri" w:eastAsia="Calibri" w:hAnsi="Calibri"/>
          <w:sz w:val="18"/>
          <w:szCs w:val="18"/>
          <w:color w:val="51555C"/>
        </w:rPr>
      </w:pPr>
    </w:p>
    <w:p>
      <w:pPr>
        <w:ind w:left="980" w:right="460" w:hanging="324"/>
        <w:spacing w:after="0" w:line="235" w:lineRule="auto"/>
        <w:tabs>
          <w:tab w:leader="none" w:pos="968" w:val="left"/>
        </w:tabs>
        <w:numPr>
          <w:ilvl w:val="1"/>
          <w:numId w:val="66"/>
        </w:numPr>
        <w:rPr>
          <w:rFonts w:ascii="Calibri" w:cs="Calibri" w:eastAsia="Calibri" w:hAnsi="Calibri"/>
          <w:sz w:val="18"/>
          <w:szCs w:val="18"/>
          <w:color w:val="51555C"/>
        </w:rPr>
      </w:pPr>
      <w:r>
        <w:rPr>
          <w:rFonts w:ascii="Calibri" w:cs="Calibri" w:eastAsia="Calibri" w:hAnsi="Calibri"/>
          <w:sz w:val="18"/>
          <w:szCs w:val="18"/>
          <w:color w:val="51555C"/>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64" w:lineRule="exact"/>
        <w:rPr>
          <w:rFonts w:ascii="Calibri" w:cs="Calibri" w:eastAsia="Calibri" w:hAnsi="Calibri"/>
          <w:sz w:val="18"/>
          <w:szCs w:val="18"/>
          <w:color w:val="51555C"/>
        </w:rPr>
      </w:pPr>
    </w:p>
    <w:p>
      <w:pPr>
        <w:jc w:val="both"/>
        <w:ind w:left="980" w:right="560" w:hanging="324"/>
        <w:spacing w:after="0" w:line="258" w:lineRule="auto"/>
        <w:tabs>
          <w:tab w:leader="none" w:pos="977" w:val="left"/>
        </w:tabs>
        <w:numPr>
          <w:ilvl w:val="1"/>
          <w:numId w:val="66"/>
        </w:numPr>
        <w:rPr>
          <w:rFonts w:ascii="Calibri" w:cs="Calibri" w:eastAsia="Calibri" w:hAnsi="Calibri"/>
          <w:sz w:val="17"/>
          <w:szCs w:val="17"/>
          <w:color w:val="51555C"/>
        </w:rPr>
      </w:pPr>
      <w:r>
        <w:rPr>
          <w:rFonts w:ascii="Calibri" w:cs="Calibri" w:eastAsia="Calibri" w:hAnsi="Calibri"/>
          <w:sz w:val="17"/>
          <w:szCs w:val="17"/>
          <w:color w:val="51555C"/>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47" w:lineRule="exact"/>
        <w:rPr>
          <w:rFonts w:ascii="Calibri" w:cs="Calibri" w:eastAsia="Calibri" w:hAnsi="Calibri"/>
          <w:sz w:val="17"/>
          <w:szCs w:val="17"/>
          <w:color w:val="51555C"/>
        </w:rPr>
      </w:pPr>
    </w:p>
    <w:p>
      <w:pPr>
        <w:ind w:left="980" w:right="180" w:hanging="324"/>
        <w:spacing w:after="0" w:line="235" w:lineRule="auto"/>
        <w:tabs>
          <w:tab w:leader="none" w:pos="968" w:val="left"/>
        </w:tabs>
        <w:numPr>
          <w:ilvl w:val="1"/>
          <w:numId w:val="66"/>
        </w:numPr>
        <w:rPr>
          <w:rFonts w:ascii="Calibri" w:cs="Calibri" w:eastAsia="Calibri" w:hAnsi="Calibri"/>
          <w:sz w:val="18"/>
          <w:szCs w:val="18"/>
          <w:color w:val="51555C"/>
        </w:rPr>
      </w:pPr>
      <w:r>
        <w:rPr>
          <w:rFonts w:ascii="Calibri" w:cs="Calibri" w:eastAsia="Calibri" w:hAnsi="Calibri"/>
          <w:sz w:val="18"/>
          <w:szCs w:val="18"/>
          <w:color w:val="51555C"/>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64" w:lineRule="exact"/>
        <w:rPr>
          <w:rFonts w:ascii="Calibri" w:cs="Calibri" w:eastAsia="Calibri" w:hAnsi="Calibri"/>
          <w:sz w:val="18"/>
          <w:szCs w:val="18"/>
          <w:color w:val="51555C"/>
        </w:rPr>
      </w:pPr>
    </w:p>
    <w:p>
      <w:pPr>
        <w:ind w:left="660" w:right="160" w:hanging="328"/>
        <w:spacing w:after="0" w:line="235" w:lineRule="auto"/>
        <w:tabs>
          <w:tab w:leader="none" w:pos="645" w:val="left"/>
        </w:tabs>
        <w:numPr>
          <w:ilvl w:val="0"/>
          <w:numId w:val="66"/>
        </w:numPr>
        <w:rPr>
          <w:rFonts w:ascii="Calibri" w:cs="Calibri" w:eastAsia="Calibri" w:hAnsi="Calibri"/>
          <w:sz w:val="18"/>
          <w:szCs w:val="18"/>
          <w:color w:val="51555C"/>
        </w:rPr>
      </w:pPr>
      <w:r>
        <w:rPr>
          <w:rFonts w:ascii="Calibri" w:cs="Calibri" w:eastAsia="Calibri" w:hAnsi="Calibri"/>
          <w:sz w:val="18"/>
          <w:szCs w:val="18"/>
          <w:color w:val="51555C"/>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163" w:lineRule="exact"/>
        <w:rPr>
          <w:rFonts w:ascii="Calibri" w:cs="Calibri" w:eastAsia="Calibri" w:hAnsi="Calibri"/>
          <w:sz w:val="18"/>
          <w:szCs w:val="18"/>
          <w:color w:val="51555C"/>
        </w:rPr>
      </w:pPr>
    </w:p>
    <w:p>
      <w:pPr>
        <w:ind w:left="980" w:right="180" w:hanging="324"/>
        <w:spacing w:after="0" w:line="235" w:lineRule="auto"/>
        <w:tabs>
          <w:tab w:leader="none" w:pos="973" w:val="left"/>
        </w:tabs>
        <w:numPr>
          <w:ilvl w:val="1"/>
          <w:numId w:val="66"/>
        </w:numPr>
        <w:rPr>
          <w:rFonts w:ascii="Calibri" w:cs="Calibri" w:eastAsia="Calibri" w:hAnsi="Calibri"/>
          <w:sz w:val="18"/>
          <w:szCs w:val="18"/>
          <w:color w:val="51555C"/>
        </w:rPr>
      </w:pPr>
      <w:r>
        <w:rPr>
          <w:rFonts w:ascii="Calibri" w:cs="Calibri" w:eastAsia="Calibri" w:hAnsi="Calibri"/>
          <w:sz w:val="18"/>
          <w:szCs w:val="18"/>
          <w:color w:val="51555C"/>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63" w:lineRule="exact"/>
        <w:rPr>
          <w:rFonts w:ascii="Calibri" w:cs="Calibri" w:eastAsia="Calibri" w:hAnsi="Calibri"/>
          <w:sz w:val="18"/>
          <w:szCs w:val="18"/>
          <w:color w:val="51555C"/>
        </w:rPr>
      </w:pPr>
    </w:p>
    <w:p>
      <w:pPr>
        <w:ind w:left="980" w:right="40" w:hanging="324"/>
        <w:spacing w:after="0" w:line="235" w:lineRule="auto"/>
        <w:tabs>
          <w:tab w:leader="none" w:pos="968" w:val="left"/>
        </w:tabs>
        <w:numPr>
          <w:ilvl w:val="1"/>
          <w:numId w:val="66"/>
        </w:numPr>
        <w:rPr>
          <w:rFonts w:ascii="Calibri" w:cs="Calibri" w:eastAsia="Calibri" w:hAnsi="Calibri"/>
          <w:sz w:val="18"/>
          <w:szCs w:val="18"/>
          <w:color w:val="51555C"/>
        </w:rPr>
      </w:pPr>
      <w:r>
        <w:rPr>
          <w:rFonts w:ascii="Calibri" w:cs="Calibri" w:eastAsia="Calibri" w:hAnsi="Calibri"/>
          <w:sz w:val="18"/>
          <w:szCs w:val="18"/>
          <w:color w:val="51555C"/>
        </w:rPr>
        <w:t>any fraud, whether or not material, that involves management or other employees who have a signifcant role in the registrant’s internal control over fnancial reportng.</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860" w:type="dxa"/>
            <w:vAlign w:val="bottom"/>
          </w:tcPr>
          <w:p>
            <w:pPr>
              <w:spacing w:after="0"/>
              <w:rPr>
                <w:sz w:val="20"/>
                <w:szCs w:val="20"/>
                <w:color w:val="auto"/>
              </w:rPr>
            </w:pPr>
            <w:r>
              <w:rPr>
                <w:rFonts w:ascii="Calibri" w:cs="Calibri" w:eastAsia="Calibri" w:hAnsi="Calibri"/>
                <w:sz w:val="18"/>
                <w:szCs w:val="18"/>
                <w:color w:val="51555C"/>
              </w:rPr>
              <w:t>Date:   February 21, 2024</w:t>
            </w:r>
          </w:p>
        </w:tc>
        <w:tc>
          <w:tcPr>
            <w:tcW w:w="2420" w:type="dxa"/>
            <w:vAlign w:val="bottom"/>
          </w:tcPr>
          <w:p>
            <w:pPr>
              <w:ind w:left="1940"/>
              <w:spacing w:after="0"/>
              <w:rPr>
                <w:sz w:val="20"/>
                <w:szCs w:val="20"/>
                <w:color w:val="auto"/>
              </w:rPr>
            </w:pPr>
            <w:r>
              <w:rPr>
                <w:rFonts w:ascii="Calibri" w:cs="Calibri" w:eastAsia="Calibri" w:hAnsi="Calibri"/>
                <w:sz w:val="18"/>
                <w:szCs w:val="18"/>
                <w:color w:val="51555C"/>
              </w:rPr>
              <w:t>By:</w:t>
            </w:r>
          </w:p>
        </w:tc>
        <w:tc>
          <w:tcPr>
            <w:tcW w:w="4900" w:type="dxa"/>
            <w:vAlign w:val="bottom"/>
          </w:tcPr>
          <w:p>
            <w:pPr>
              <w:ind w:left="20"/>
              <w:spacing w:after="0"/>
              <w:rPr>
                <w:sz w:val="20"/>
                <w:szCs w:val="20"/>
                <w:color w:val="auto"/>
              </w:rPr>
            </w:pPr>
            <w:r>
              <w:rPr>
                <w:rFonts w:ascii="Calibri" w:cs="Calibri" w:eastAsia="Calibri" w:hAnsi="Calibri"/>
                <w:sz w:val="18"/>
                <w:szCs w:val="18"/>
                <w:color w:val="51555C"/>
              </w:rPr>
              <w:t>/s/ Anthony W. Boor</w:t>
            </w:r>
          </w:p>
        </w:tc>
      </w:tr>
      <w:tr>
        <w:trPr>
          <w:trHeight w:val="23"/>
        </w:trPr>
        <w:tc>
          <w:tcPr>
            <w:tcW w:w="3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08"/>
        </w:trPr>
        <w:tc>
          <w:tcPr>
            <w:tcW w:w="3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00" w:type="dxa"/>
            <w:vAlign w:val="bottom"/>
          </w:tcPr>
          <w:p>
            <w:pPr>
              <w:ind w:left="20"/>
              <w:spacing w:after="0" w:line="208" w:lineRule="exact"/>
              <w:rPr>
                <w:sz w:val="20"/>
                <w:szCs w:val="20"/>
                <w:color w:val="auto"/>
              </w:rPr>
            </w:pPr>
            <w:r>
              <w:rPr>
                <w:rFonts w:ascii="Calibri" w:cs="Calibri" w:eastAsia="Calibri" w:hAnsi="Calibri"/>
                <w:sz w:val="18"/>
                <w:szCs w:val="18"/>
                <w:color w:val="51555C"/>
              </w:rPr>
              <w:t>Anthony W. Boor</w:t>
            </w:r>
          </w:p>
        </w:tc>
      </w:tr>
      <w:tr>
        <w:trPr>
          <w:trHeight w:val="221"/>
        </w:trPr>
        <w:tc>
          <w:tcPr>
            <w:tcW w:w="38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Calibri" w:cs="Calibri" w:eastAsia="Calibri" w:hAnsi="Calibri"/>
                <w:sz w:val="18"/>
                <w:szCs w:val="18"/>
                <w:color w:val="51555C"/>
              </w:rPr>
              <w:t>Executve Vice President and Chief Financial Ofcer</w:t>
            </w:r>
          </w:p>
        </w:tc>
      </w:tr>
      <w:tr>
        <w:trPr>
          <w:trHeight w:val="229"/>
        </w:trPr>
        <w:tc>
          <w:tcPr>
            <w:tcW w:w="38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Calibri" w:cs="Calibri" w:eastAsia="Calibri" w:hAnsi="Calibri"/>
                <w:sz w:val="18"/>
                <w:szCs w:val="18"/>
                <w:color w:val="51555C"/>
              </w:rPr>
              <w:t>(Principal Financial and Accountng Ofcer)</w:t>
            </w:r>
          </w:p>
        </w:tc>
      </w:tr>
    </w:tbl>
    <w:p>
      <w:pPr>
        <w:sectPr>
          <w:pgSz w:w="11900" w:h="16838" w:orient="portrait"/>
          <w:cols w:equalWidth="0" w:num="1">
            <w:col w:w="11240"/>
          </w:cols>
          <w:pgMar w:left="320" w:top="882" w:right="339" w:bottom="1440" w:gutter="0" w:footer="0" w:header="0"/>
        </w:sectPr>
      </w:pPr>
    </w:p>
    <w:bookmarkStart w:id="132" w:name="page133"/>
    <w:bookmarkEnd w:id="132"/>
    <w:p>
      <w:pPr>
        <w:jc w:val="right"/>
        <w:spacing w:after="0"/>
        <w:rPr>
          <w:sz w:val="20"/>
          <w:szCs w:val="20"/>
          <w:color w:val="auto"/>
        </w:rPr>
      </w:pPr>
      <w:r>
        <w:rPr>
          <w:rFonts w:ascii="Calibri" w:cs="Calibri" w:eastAsia="Calibri" w:hAnsi="Calibri"/>
          <w:sz w:val="18"/>
          <w:szCs w:val="18"/>
          <w:b w:val="1"/>
          <w:bCs w:val="1"/>
          <w:color w:val="51555C"/>
        </w:rPr>
        <w:t>EXHIBIT 32.1</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ind w:left="3160"/>
        <w:spacing w:after="0"/>
        <w:rPr>
          <w:sz w:val="20"/>
          <w:szCs w:val="20"/>
          <w:color w:val="auto"/>
        </w:rPr>
      </w:pPr>
      <w:r>
        <w:rPr>
          <w:rFonts w:ascii="Calibri" w:cs="Calibri" w:eastAsia="Calibri" w:hAnsi="Calibri"/>
          <w:sz w:val="18"/>
          <w:szCs w:val="18"/>
          <w:b w:val="1"/>
          <w:bCs w:val="1"/>
          <w:color w:val="51555C"/>
        </w:rPr>
        <w:t>CERTIFICATION PURSUANT TO 18 U.S.C. SECTION 1350, AS ADOPTED</w:t>
      </w:r>
    </w:p>
    <w:p>
      <w:pPr>
        <w:ind w:left="3200"/>
        <w:spacing w:after="0" w:line="235" w:lineRule="auto"/>
        <w:rPr>
          <w:sz w:val="20"/>
          <w:szCs w:val="20"/>
          <w:color w:val="auto"/>
        </w:rPr>
      </w:pPr>
      <w:r>
        <w:rPr>
          <w:rFonts w:ascii="Calibri" w:cs="Calibri" w:eastAsia="Calibri" w:hAnsi="Calibri"/>
          <w:sz w:val="18"/>
          <w:szCs w:val="18"/>
          <w:b w:val="1"/>
          <w:bCs w:val="1"/>
          <w:color w:val="51555C"/>
        </w:rPr>
        <w:t>PURSUANT TO SECTION 906 OF THE SARBANES-OXLEY ACT OF 2002</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the Annual Report on Form 10-K of Blackbaud, Inc. (the “Company”) for the period ended December 31, 2023 as fled with the Securites and Exchange Commission on or about the date hereof (the “Report”), I, Michael P. Gianoni, Chief Executve Ofcer, President and Vice Chairman of the Board, hereby certfy, pursuant to 18 U.S.C. 1350, as adopted pursuant to Secton 906 of the Sarbanes-Oxley Act of 2002, that, to my knowledge:</w:t>
      </w:r>
    </w:p>
    <w:p>
      <w:pPr>
        <w:spacing w:after="0" w:line="160" w:lineRule="exact"/>
        <w:rPr>
          <w:sz w:val="20"/>
          <w:szCs w:val="20"/>
          <w:color w:val="auto"/>
        </w:rPr>
      </w:pPr>
    </w:p>
    <w:p>
      <w:pPr>
        <w:ind w:left="640" w:hanging="308"/>
        <w:spacing w:after="0"/>
        <w:tabs>
          <w:tab w:leader="none" w:pos="640" w:val="left"/>
        </w:tabs>
        <w:numPr>
          <w:ilvl w:val="0"/>
          <w:numId w:val="67"/>
        </w:numPr>
        <w:rPr>
          <w:rFonts w:ascii="Calibri" w:cs="Calibri" w:eastAsia="Calibri" w:hAnsi="Calibri"/>
          <w:sz w:val="18"/>
          <w:szCs w:val="18"/>
          <w:color w:val="51555C"/>
        </w:rPr>
      </w:pPr>
      <w:r>
        <w:rPr>
          <w:rFonts w:ascii="Calibri" w:cs="Calibri" w:eastAsia="Calibri" w:hAnsi="Calibri"/>
          <w:sz w:val="18"/>
          <w:szCs w:val="18"/>
          <w:color w:val="51555C"/>
        </w:rPr>
        <w:t>The Report fully complies with the requirements of Secton 13(a) or 15(d) of the Securites Exchange Act of 1934; and</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67"/>
        </w:numPr>
        <w:rPr>
          <w:rFonts w:ascii="Calibri" w:cs="Calibri" w:eastAsia="Calibri" w:hAnsi="Calibri"/>
          <w:sz w:val="18"/>
          <w:szCs w:val="18"/>
          <w:color w:val="51555C"/>
        </w:rPr>
      </w:pPr>
      <w:r>
        <w:rPr>
          <w:rFonts w:ascii="Calibri" w:cs="Calibri" w:eastAsia="Calibri" w:hAnsi="Calibri"/>
          <w:sz w:val="18"/>
          <w:szCs w:val="18"/>
          <w:color w:val="51555C"/>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880" w:type="dxa"/>
            <w:vAlign w:val="bottom"/>
          </w:tcPr>
          <w:p>
            <w:pPr>
              <w:spacing w:after="0"/>
              <w:rPr>
                <w:sz w:val="20"/>
                <w:szCs w:val="20"/>
                <w:color w:val="auto"/>
              </w:rPr>
            </w:pPr>
            <w:r>
              <w:rPr>
                <w:rFonts w:ascii="Calibri" w:cs="Calibri" w:eastAsia="Calibri" w:hAnsi="Calibri"/>
                <w:sz w:val="18"/>
                <w:szCs w:val="18"/>
                <w:color w:val="51555C"/>
              </w:rPr>
              <w:t>Date:   February 21, 2024</w:t>
            </w:r>
          </w:p>
        </w:tc>
        <w:tc>
          <w:tcPr>
            <w:tcW w:w="2420" w:type="dxa"/>
            <w:vAlign w:val="bottom"/>
          </w:tcPr>
          <w:p>
            <w:pPr>
              <w:ind w:left="1920"/>
              <w:spacing w:after="0"/>
              <w:rPr>
                <w:sz w:val="20"/>
                <w:szCs w:val="20"/>
                <w:color w:val="auto"/>
              </w:rPr>
            </w:pPr>
            <w:r>
              <w:rPr>
                <w:rFonts w:ascii="Calibri" w:cs="Calibri" w:eastAsia="Calibri" w:hAnsi="Calibri"/>
                <w:sz w:val="18"/>
                <w:szCs w:val="18"/>
                <w:color w:val="51555C"/>
              </w:rPr>
              <w:t>By:</w:t>
            </w:r>
          </w:p>
        </w:tc>
        <w:tc>
          <w:tcPr>
            <w:tcW w:w="4900" w:type="dxa"/>
            <w:vAlign w:val="bottom"/>
          </w:tcPr>
          <w:p>
            <w:pPr>
              <w:ind w:left="20"/>
              <w:spacing w:after="0"/>
              <w:rPr>
                <w:sz w:val="20"/>
                <w:szCs w:val="20"/>
                <w:color w:val="auto"/>
              </w:rPr>
            </w:pPr>
            <w:r>
              <w:rPr>
                <w:rFonts w:ascii="Calibri" w:cs="Calibri" w:eastAsia="Calibri" w:hAnsi="Calibri"/>
                <w:sz w:val="18"/>
                <w:szCs w:val="18"/>
                <w:color w:val="51555C"/>
              </w:rPr>
              <w:t>/s/ Michael P. Gianoni</w:t>
            </w:r>
          </w:p>
        </w:tc>
      </w:tr>
      <w:tr>
        <w:trPr>
          <w:trHeight w:val="2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08"/>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00" w:type="dxa"/>
            <w:vAlign w:val="bottom"/>
          </w:tcPr>
          <w:p>
            <w:pPr>
              <w:ind w:left="20"/>
              <w:spacing w:after="0" w:line="208" w:lineRule="exact"/>
              <w:rPr>
                <w:sz w:val="20"/>
                <w:szCs w:val="20"/>
                <w:color w:val="auto"/>
              </w:rPr>
            </w:pPr>
            <w:r>
              <w:rPr>
                <w:rFonts w:ascii="Calibri" w:cs="Calibri" w:eastAsia="Calibri" w:hAnsi="Calibri"/>
                <w:sz w:val="18"/>
                <w:szCs w:val="18"/>
                <w:color w:val="51555C"/>
              </w:rPr>
              <w:t>Michael P. Gianoni</w:t>
            </w:r>
          </w:p>
        </w:tc>
      </w:tr>
      <w:tr>
        <w:trPr>
          <w:trHeight w:val="221"/>
        </w:trPr>
        <w:tc>
          <w:tcPr>
            <w:tcW w:w="3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Calibri" w:cs="Calibri" w:eastAsia="Calibri" w:hAnsi="Calibri"/>
                <w:sz w:val="18"/>
                <w:szCs w:val="18"/>
                <w:color w:val="51555C"/>
              </w:rPr>
              <w:t>Chief Executve Ofcer, President and Vice Chairman of the Board</w:t>
            </w:r>
          </w:p>
        </w:tc>
      </w:tr>
      <w:tr>
        <w:trPr>
          <w:trHeight w:val="229"/>
        </w:trPr>
        <w:tc>
          <w:tcPr>
            <w:tcW w:w="3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Calibri" w:cs="Calibri" w:eastAsia="Calibri" w:hAnsi="Calibri"/>
                <w:sz w:val="18"/>
                <w:szCs w:val="18"/>
                <w:color w:val="51555C"/>
              </w:rPr>
              <w:t>(Principal Executve Ofcer)</w:t>
            </w:r>
          </w:p>
        </w:tc>
      </w:tr>
    </w:tbl>
    <w:p>
      <w:pPr>
        <w:sectPr>
          <w:pgSz w:w="11900" w:h="16838" w:orient="portrait"/>
          <w:cols w:equalWidth="0" w:num="1">
            <w:col w:w="11240"/>
          </w:cols>
          <w:pgMar w:left="320" w:top="882" w:right="339" w:bottom="1440" w:gutter="0" w:footer="0" w:header="0"/>
        </w:sectPr>
      </w:pPr>
    </w:p>
    <w:bookmarkStart w:id="133" w:name="page134"/>
    <w:bookmarkEnd w:id="133"/>
    <w:p>
      <w:pPr>
        <w:jc w:val="right"/>
        <w:spacing w:after="0"/>
        <w:rPr>
          <w:sz w:val="20"/>
          <w:szCs w:val="20"/>
          <w:color w:val="auto"/>
        </w:rPr>
      </w:pPr>
      <w:r>
        <w:rPr>
          <w:rFonts w:ascii="Calibri" w:cs="Calibri" w:eastAsia="Calibri" w:hAnsi="Calibri"/>
          <w:sz w:val="18"/>
          <w:szCs w:val="18"/>
          <w:b w:val="1"/>
          <w:bCs w:val="1"/>
          <w:color w:val="51555C"/>
        </w:rPr>
        <w:t>EXHIBIT 32.2</w:t>
      </w:r>
    </w:p>
    <w:p>
      <w:pPr>
        <w:jc w:val="center"/>
        <w:spacing w:after="0" w:line="235" w:lineRule="auto"/>
        <w:rPr>
          <w:sz w:val="20"/>
          <w:szCs w:val="20"/>
          <w:color w:val="auto"/>
        </w:rPr>
      </w:pPr>
      <w:r>
        <w:rPr>
          <w:rFonts w:ascii="Calibri" w:cs="Calibri" w:eastAsia="Calibri" w:hAnsi="Calibri"/>
          <w:sz w:val="18"/>
          <w:szCs w:val="18"/>
          <w:b w:val="1"/>
          <w:bCs w:val="1"/>
          <w:color w:val="51555C"/>
        </w:rPr>
        <w:t>Blackbaud, Inc.</w:t>
      </w:r>
    </w:p>
    <w:p>
      <w:pPr>
        <w:spacing w:after="0" w:line="159" w:lineRule="exact"/>
        <w:rPr>
          <w:sz w:val="20"/>
          <w:szCs w:val="20"/>
          <w:color w:val="auto"/>
        </w:rPr>
      </w:pPr>
    </w:p>
    <w:p>
      <w:pPr>
        <w:ind w:left="3160"/>
        <w:spacing w:after="0"/>
        <w:rPr>
          <w:sz w:val="20"/>
          <w:szCs w:val="20"/>
          <w:color w:val="auto"/>
        </w:rPr>
      </w:pPr>
      <w:r>
        <w:rPr>
          <w:rFonts w:ascii="Calibri" w:cs="Calibri" w:eastAsia="Calibri" w:hAnsi="Calibri"/>
          <w:sz w:val="18"/>
          <w:szCs w:val="18"/>
          <w:b w:val="1"/>
          <w:bCs w:val="1"/>
          <w:color w:val="51555C"/>
        </w:rPr>
        <w:t>CERTIFICATION PURSUANT TO 18 U.S.C. SECTION 1350, AS ADOPTED</w:t>
      </w:r>
    </w:p>
    <w:p>
      <w:pPr>
        <w:ind w:left="3200"/>
        <w:spacing w:after="0" w:line="235" w:lineRule="auto"/>
        <w:rPr>
          <w:sz w:val="20"/>
          <w:szCs w:val="20"/>
          <w:color w:val="auto"/>
        </w:rPr>
      </w:pPr>
      <w:r>
        <w:rPr>
          <w:rFonts w:ascii="Calibri" w:cs="Calibri" w:eastAsia="Calibri" w:hAnsi="Calibri"/>
          <w:sz w:val="18"/>
          <w:szCs w:val="18"/>
          <w:b w:val="1"/>
          <w:bCs w:val="1"/>
          <w:color w:val="51555C"/>
        </w:rPr>
        <w:t>PURSUANT TO SECTION 906 OF THE SARBANES-OXLEY ACT OF 2002</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connecton with the Annual Report on Form 10-K of Blackbaud, Inc. (the “Company”) for the period ended December 31, 2023 as fled with the Securites and Exchange Commission on or about the date hereof (the “Report”), I, Anthony W. Boor, Executve Vice President and Chief Financial Ofcer, hereby certfy, pursuant to 18 U.S.C. 1350, as adopted pursuant to Secton 906 of the Sarbanes-Oxley Act of 2002, that, to my knowledge:</w:t>
      </w:r>
    </w:p>
    <w:p>
      <w:pPr>
        <w:spacing w:after="0" w:line="160" w:lineRule="exact"/>
        <w:rPr>
          <w:sz w:val="20"/>
          <w:szCs w:val="20"/>
          <w:color w:val="auto"/>
        </w:rPr>
      </w:pPr>
    </w:p>
    <w:p>
      <w:pPr>
        <w:ind w:left="640" w:hanging="308"/>
        <w:spacing w:after="0"/>
        <w:tabs>
          <w:tab w:leader="none" w:pos="640" w:val="left"/>
        </w:tabs>
        <w:numPr>
          <w:ilvl w:val="0"/>
          <w:numId w:val="68"/>
        </w:numPr>
        <w:rPr>
          <w:rFonts w:ascii="Calibri" w:cs="Calibri" w:eastAsia="Calibri" w:hAnsi="Calibri"/>
          <w:sz w:val="18"/>
          <w:szCs w:val="18"/>
          <w:color w:val="51555C"/>
        </w:rPr>
      </w:pPr>
      <w:r>
        <w:rPr>
          <w:rFonts w:ascii="Calibri" w:cs="Calibri" w:eastAsia="Calibri" w:hAnsi="Calibri"/>
          <w:sz w:val="18"/>
          <w:szCs w:val="18"/>
          <w:color w:val="51555C"/>
        </w:rPr>
        <w:t>The Report fully complies with the requirements of Secton 13(a) or 15(d) of the Securites Exchange Act of 1934; and</w:t>
      </w:r>
    </w:p>
    <w:p>
      <w:pPr>
        <w:spacing w:after="0" w:line="158" w:lineRule="exact"/>
        <w:rPr>
          <w:rFonts w:ascii="Calibri" w:cs="Calibri" w:eastAsia="Calibri" w:hAnsi="Calibri"/>
          <w:sz w:val="18"/>
          <w:szCs w:val="18"/>
          <w:color w:val="51555C"/>
        </w:rPr>
      </w:pPr>
    </w:p>
    <w:p>
      <w:pPr>
        <w:ind w:left="640" w:hanging="308"/>
        <w:spacing w:after="0"/>
        <w:tabs>
          <w:tab w:leader="none" w:pos="640" w:val="left"/>
        </w:tabs>
        <w:numPr>
          <w:ilvl w:val="0"/>
          <w:numId w:val="68"/>
        </w:numPr>
        <w:rPr>
          <w:rFonts w:ascii="Calibri" w:cs="Calibri" w:eastAsia="Calibri" w:hAnsi="Calibri"/>
          <w:sz w:val="18"/>
          <w:szCs w:val="18"/>
          <w:color w:val="51555C"/>
        </w:rPr>
      </w:pPr>
      <w:r>
        <w:rPr>
          <w:rFonts w:ascii="Calibri" w:cs="Calibri" w:eastAsia="Calibri" w:hAnsi="Calibri"/>
          <w:sz w:val="18"/>
          <w:szCs w:val="18"/>
          <w:color w:val="51555C"/>
        </w:rPr>
        <w:t>The informaton contained in the Report fairly presents, in all material respects, the fnancial conditon and results of operatons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880" w:type="dxa"/>
            <w:vAlign w:val="bottom"/>
          </w:tcPr>
          <w:p>
            <w:pPr>
              <w:spacing w:after="0"/>
              <w:rPr>
                <w:sz w:val="20"/>
                <w:szCs w:val="20"/>
                <w:color w:val="auto"/>
              </w:rPr>
            </w:pPr>
            <w:r>
              <w:rPr>
                <w:rFonts w:ascii="Calibri" w:cs="Calibri" w:eastAsia="Calibri" w:hAnsi="Calibri"/>
                <w:sz w:val="18"/>
                <w:szCs w:val="18"/>
                <w:color w:val="51555C"/>
              </w:rPr>
              <w:t>Date:   February 21, 2024</w:t>
            </w:r>
          </w:p>
        </w:tc>
        <w:tc>
          <w:tcPr>
            <w:tcW w:w="2420" w:type="dxa"/>
            <w:vAlign w:val="bottom"/>
          </w:tcPr>
          <w:p>
            <w:pPr>
              <w:ind w:left="1920"/>
              <w:spacing w:after="0"/>
              <w:rPr>
                <w:sz w:val="20"/>
                <w:szCs w:val="20"/>
                <w:color w:val="auto"/>
              </w:rPr>
            </w:pPr>
            <w:r>
              <w:rPr>
                <w:rFonts w:ascii="Calibri" w:cs="Calibri" w:eastAsia="Calibri" w:hAnsi="Calibri"/>
                <w:sz w:val="18"/>
                <w:szCs w:val="18"/>
                <w:color w:val="51555C"/>
              </w:rPr>
              <w:t>By:</w:t>
            </w:r>
          </w:p>
        </w:tc>
        <w:tc>
          <w:tcPr>
            <w:tcW w:w="4900" w:type="dxa"/>
            <w:vAlign w:val="bottom"/>
          </w:tcPr>
          <w:p>
            <w:pPr>
              <w:ind w:left="20"/>
              <w:spacing w:after="0"/>
              <w:rPr>
                <w:sz w:val="20"/>
                <w:szCs w:val="20"/>
                <w:color w:val="auto"/>
              </w:rPr>
            </w:pPr>
            <w:r>
              <w:rPr>
                <w:rFonts w:ascii="Calibri" w:cs="Calibri" w:eastAsia="Calibri" w:hAnsi="Calibri"/>
                <w:sz w:val="18"/>
                <w:szCs w:val="18"/>
                <w:color w:val="51555C"/>
              </w:rPr>
              <w:t>/s/ Anthony W. Boor</w:t>
            </w:r>
          </w:p>
        </w:tc>
      </w:tr>
      <w:tr>
        <w:trPr>
          <w:trHeight w:val="23"/>
        </w:trPr>
        <w:tc>
          <w:tcPr>
            <w:tcW w:w="38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08"/>
        </w:trPr>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00" w:type="dxa"/>
            <w:vAlign w:val="bottom"/>
          </w:tcPr>
          <w:p>
            <w:pPr>
              <w:ind w:left="20"/>
              <w:spacing w:after="0" w:line="208" w:lineRule="exact"/>
              <w:rPr>
                <w:sz w:val="20"/>
                <w:szCs w:val="20"/>
                <w:color w:val="auto"/>
              </w:rPr>
            </w:pPr>
            <w:r>
              <w:rPr>
                <w:rFonts w:ascii="Calibri" w:cs="Calibri" w:eastAsia="Calibri" w:hAnsi="Calibri"/>
                <w:sz w:val="18"/>
                <w:szCs w:val="18"/>
                <w:color w:val="51555C"/>
              </w:rPr>
              <w:t>Anthony W. Boor</w:t>
            </w:r>
          </w:p>
        </w:tc>
      </w:tr>
      <w:tr>
        <w:trPr>
          <w:trHeight w:val="221"/>
        </w:trPr>
        <w:tc>
          <w:tcPr>
            <w:tcW w:w="3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Calibri" w:cs="Calibri" w:eastAsia="Calibri" w:hAnsi="Calibri"/>
                <w:sz w:val="18"/>
                <w:szCs w:val="18"/>
                <w:color w:val="51555C"/>
              </w:rPr>
              <w:t>Executve Vice President and Chief Financial Ofcer</w:t>
            </w:r>
          </w:p>
        </w:tc>
      </w:tr>
      <w:tr>
        <w:trPr>
          <w:trHeight w:val="229"/>
        </w:trPr>
        <w:tc>
          <w:tcPr>
            <w:tcW w:w="38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Calibri" w:cs="Calibri" w:eastAsia="Calibri" w:hAnsi="Calibri"/>
                <w:sz w:val="18"/>
                <w:szCs w:val="18"/>
                <w:color w:val="51555C"/>
              </w:rPr>
              <w:t>(Principal Financial and Accountng Ofcer)</w:t>
            </w:r>
          </w:p>
        </w:tc>
      </w:tr>
    </w:tbl>
    <w:p>
      <w:pPr>
        <w:sectPr>
          <w:pgSz w:w="11900" w:h="16838" w:orient="portrait"/>
          <w:cols w:equalWidth="0" w:num="1">
            <w:col w:w="11240"/>
          </w:cols>
          <w:pgMar w:left="320" w:top="882" w:right="339" w:bottom="1440" w:gutter="0" w:footer="0" w:header="0"/>
        </w:sectPr>
      </w:pPr>
    </w:p>
    <w:bookmarkStart w:id="134" w:name="page135"/>
    <w:bookmarkEnd w:id="134"/>
    <w:p>
      <w:pPr>
        <w:jc w:val="right"/>
        <w:spacing w:after="0"/>
        <w:rPr>
          <w:sz w:val="20"/>
          <w:szCs w:val="20"/>
          <w:color w:val="auto"/>
        </w:rPr>
      </w:pPr>
      <w:r>
        <w:rPr>
          <w:rFonts w:ascii="Calibri" w:cs="Calibri" w:eastAsia="Calibri" w:hAnsi="Calibri"/>
          <w:sz w:val="18"/>
          <w:szCs w:val="18"/>
          <w:b w:val="1"/>
          <w:bCs w:val="1"/>
          <w:color w:val="51555C"/>
        </w:rPr>
        <w:t>EXHIBIT 97.1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51555C"/>
        </w:rPr>
        <w:t>BLACKBAUD, INC.</w:t>
      </w:r>
    </w:p>
    <w:p>
      <w:pPr>
        <w:jc w:val="center"/>
        <w:spacing w:after="0" w:line="235" w:lineRule="auto"/>
        <w:rPr>
          <w:sz w:val="20"/>
          <w:szCs w:val="20"/>
          <w:color w:val="auto"/>
        </w:rPr>
      </w:pPr>
      <w:r>
        <w:rPr>
          <w:rFonts w:ascii="Calibri" w:cs="Calibri" w:eastAsia="Calibri" w:hAnsi="Calibri"/>
          <w:sz w:val="18"/>
          <w:szCs w:val="18"/>
          <w:b w:val="1"/>
          <w:bCs w:val="1"/>
          <w:color w:val="51555C"/>
        </w:rPr>
        <w:t>EXECUTIVE INCENTIVE COMPENSATION</w:t>
      </w:r>
    </w:p>
    <w:p>
      <w:pPr>
        <w:jc w:val="center"/>
        <w:spacing w:after="0" w:line="236" w:lineRule="auto"/>
        <w:rPr>
          <w:sz w:val="20"/>
          <w:szCs w:val="20"/>
          <w:color w:val="auto"/>
        </w:rPr>
      </w:pPr>
      <w:r>
        <w:rPr>
          <w:rFonts w:ascii="Calibri" w:cs="Calibri" w:eastAsia="Calibri" w:hAnsi="Calibri"/>
          <w:sz w:val="18"/>
          <w:szCs w:val="18"/>
          <w:b w:val="1"/>
          <w:bCs w:val="1"/>
          <w:color w:val="51555C"/>
        </w:rPr>
        <w:t>CLAWBACK POLICY</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Introducton</w:t>
      </w:r>
    </w:p>
    <w:p>
      <w:pPr>
        <w:spacing w:after="0" w:line="1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51555C"/>
        </w:rPr>
        <w:t>Blackbaud is commited to upholding the highest standards of governance, ethics and business integrity, which includes our philosophy of pay-for-performance as it relates to executve compensaton. The Blackbaud Board of Directors (the “Board”) has, therefore, adopted this policy, which provides for the recoupment of certain incentve-based executve compensaton in the event of an accountng restatement resultng from material noncompliance with fnancial reportng requirements under the federal securites laws (this “Policy”). This Policy is designed to comply with Secton 10D of the Securites Exchange Act of 1934, as amended (the “Exchange Act”), Rule 10D-1 promulgated under the Exchange Act (“Rule 10D-1”) and applicable Nasdaq listng standards.</w:t>
      </w:r>
    </w:p>
    <w:p>
      <w:pPr>
        <w:spacing w:after="0" w:line="15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This Policy applies to all of Blackbaud’s current and former executve ofcers, as determined by the Board in accordance with Secton 10D of the Exchange Act, Rule 10D-1 and applicable Nasdaq listng standards (the “Executve Ofcers”).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This Policy is administered by the Compensaton Commitee of the Board (the “Commitee”), which is authorized to interpret and construe this Policy and to make all determinatons necessary, appropriate or advisable for the administraton of this Policy. It is intended that this Policy be interpreted in a manner consistent with the requirements of Secton 10D of the Exchange Act and applicable rules or standards adopted by the Securites and Exchange Commission (the “SEC”) or Nasdaq. Any determinatons made by the Commitee shall be fnal and binding on all afected individuals.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Required Recoupment of Excess Compensaton</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 the event Blackbaud is required to prepare an accountng restatement to restate its fnancial statements due material noncompliance with any fnancial reportng requirement under the federal securites laws (whether or not fault or misconduct is present), each Executve Ofcer will be required, subject to certain exceptons specifed below, to reimburse or forfeit any excess Incentve Compensaton (as defned below) received (as described below) by any such Executve Ofcer during the three completed fscal years immediately preceding the date on which Blackbaud is required to prepare such accountng restatement.</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The date on which Blackbaud is required to prepare an accountng restatement is the earlier of:</w:t>
      </w:r>
    </w:p>
    <w:p>
      <w:pPr>
        <w:spacing w:after="0" w:line="104" w:lineRule="exact"/>
        <w:rPr>
          <w:sz w:val="20"/>
          <w:szCs w:val="20"/>
          <w:color w:val="auto"/>
        </w:rPr>
      </w:pPr>
    </w:p>
    <w:p>
      <w:pPr>
        <w:ind w:left="640" w:hanging="308"/>
        <w:spacing w:after="0"/>
        <w:tabs>
          <w:tab w:leader="none" w:pos="640" w:val="left"/>
        </w:tabs>
        <w:numPr>
          <w:ilvl w:val="0"/>
          <w:numId w:val="69"/>
        </w:numPr>
        <w:rPr>
          <w:rFonts w:ascii="Calibri" w:cs="Calibri" w:eastAsia="Calibri" w:hAnsi="Calibri"/>
          <w:sz w:val="18"/>
          <w:szCs w:val="18"/>
          <w:color w:val="51555C"/>
        </w:rPr>
      </w:pPr>
      <w:r>
        <w:rPr>
          <w:rFonts w:ascii="Calibri" w:cs="Calibri" w:eastAsia="Calibri" w:hAnsi="Calibri"/>
          <w:sz w:val="18"/>
          <w:szCs w:val="18"/>
          <w:color w:val="51555C"/>
        </w:rPr>
        <w:t>The date the Board concludes, or reasonably should have concluded, that Blackbaud’s previously issued fnancial statements must be restated, or</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69"/>
        </w:numPr>
        <w:rPr>
          <w:rFonts w:ascii="Calibri" w:cs="Calibri" w:eastAsia="Calibri" w:hAnsi="Calibri"/>
          <w:sz w:val="18"/>
          <w:szCs w:val="18"/>
          <w:color w:val="51555C"/>
        </w:rPr>
      </w:pPr>
      <w:r>
        <w:rPr>
          <w:rFonts w:ascii="Calibri" w:cs="Calibri" w:eastAsia="Calibri" w:hAnsi="Calibri"/>
          <w:sz w:val="18"/>
          <w:szCs w:val="18"/>
          <w:color w:val="51555C"/>
        </w:rPr>
        <w:t>The date a court, regulator, or other legally authorized body directs Blackbaud to restate its previously issued fnancial statements .</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For purposes of this Policy, “Incentve Compensaton” means any compensaton that is granted, earned or vested based wholly or in part on the atainment of a Financial Reportng Measure (as defned below), including but not limited to:</w:t>
      </w:r>
    </w:p>
    <w:p>
      <w:pPr>
        <w:spacing w:after="0" w:line="110" w:lineRule="exact"/>
        <w:rPr>
          <w:sz w:val="20"/>
          <w:szCs w:val="20"/>
          <w:color w:val="auto"/>
        </w:rPr>
      </w:pPr>
    </w:p>
    <w:p>
      <w:pPr>
        <w:jc w:val="both"/>
        <w:ind w:left="660" w:hanging="328"/>
        <w:spacing w:after="0" w:line="235" w:lineRule="auto"/>
        <w:tabs>
          <w:tab w:leader="none" w:pos="653" w:val="left"/>
        </w:tabs>
        <w:numPr>
          <w:ilvl w:val="0"/>
          <w:numId w:val="70"/>
        </w:numPr>
        <w:rPr>
          <w:rFonts w:ascii="Calibri" w:cs="Calibri" w:eastAsia="Calibri" w:hAnsi="Calibri"/>
          <w:sz w:val="18"/>
          <w:szCs w:val="18"/>
          <w:color w:val="51555C"/>
        </w:rPr>
      </w:pPr>
      <w:r>
        <w:rPr>
          <w:rFonts w:ascii="Calibri" w:cs="Calibri" w:eastAsia="Calibri" w:hAnsi="Calibri"/>
          <w:sz w:val="18"/>
          <w:szCs w:val="18"/>
          <w:color w:val="51555C"/>
        </w:rPr>
        <w:t>Non-equity incentve plan awards that are earned solely or in part by satsfying a Financial Reportng Measure performance goal, such as bonuses paid from a bonus pool where the size of the pool is determined solely or in part by satsfying a Financial Reportng Measure performance goal or other annual or special bonuses, short-term or long-term cash incentves or other cash awards earned by satsfying a Financial Reportng Measure performance goal;</w:t>
      </w:r>
    </w:p>
    <w:p>
      <w:pPr>
        <w:spacing w:after="0" w:line="111"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70"/>
        </w:numPr>
        <w:rPr>
          <w:rFonts w:ascii="Calibri" w:cs="Calibri" w:eastAsia="Calibri" w:hAnsi="Calibri"/>
          <w:sz w:val="18"/>
          <w:szCs w:val="18"/>
          <w:color w:val="51555C"/>
        </w:rPr>
      </w:pPr>
      <w:r>
        <w:rPr>
          <w:rFonts w:ascii="Calibri" w:cs="Calibri" w:eastAsia="Calibri" w:hAnsi="Calibri"/>
          <w:sz w:val="18"/>
          <w:szCs w:val="18"/>
          <w:color w:val="51555C"/>
        </w:rPr>
        <w:t>Restricted stock, restricted stock units, stock optons, stock appreciaton rights, performance shares and performance units that are granted or vest solely or in part on satsfying a Financial Reportng Measure performance goal; and</w:t>
      </w:r>
    </w:p>
    <w:p>
      <w:pPr>
        <w:spacing w:after="0" w:line="109"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70"/>
        </w:numPr>
        <w:rPr>
          <w:rFonts w:ascii="Calibri" w:cs="Calibri" w:eastAsia="Calibri" w:hAnsi="Calibri"/>
          <w:sz w:val="18"/>
          <w:szCs w:val="18"/>
          <w:color w:val="51555C"/>
        </w:rPr>
      </w:pPr>
      <w:r>
        <w:rPr>
          <w:rFonts w:ascii="Calibri" w:cs="Calibri" w:eastAsia="Calibri" w:hAnsi="Calibri"/>
          <w:sz w:val="18"/>
          <w:szCs w:val="18"/>
          <w:color w:val="51555C"/>
        </w:rPr>
        <w:t>Proceeds from the sale of shares acquired through an incentve plan that were granted or vested solely or in part on satsfying a Financial Reportng Measure performance goal.</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Incentve Compensaton generally does not include salaries that are not based on satsfying a Financial Reportng Measure, bonuses paid solely by satsfying subjectve standards unrelated to Financial Reportng Measures, non-equity incentve plan awards earned solely by satsfying strategic or operatonal measures, wholly tme-based equity awards and other compensaton that is paid on a discretonary basis and unrelated to a Financial Reportng Measure performance goal.</w:t>
      </w:r>
    </w:p>
    <w:p>
      <w:pPr>
        <w:sectPr>
          <w:pgSz w:w="11900" w:h="16838" w:orient="portrait"/>
          <w:cols w:equalWidth="0" w:num="1">
            <w:col w:w="11240"/>
          </w:cols>
          <w:pgMar w:left="320" w:top="112" w:right="339" w:bottom="1440" w:gutter="0" w:footer="0" w:header="0"/>
        </w:sectPr>
      </w:pPr>
    </w:p>
    <w:bookmarkStart w:id="135" w:name="page136"/>
    <w:bookmarkEnd w:id="135"/>
    <w:p>
      <w:pPr>
        <w:jc w:val="right"/>
        <w:spacing w:after="0"/>
        <w:rPr>
          <w:sz w:val="20"/>
          <w:szCs w:val="20"/>
          <w:color w:val="auto"/>
        </w:rPr>
      </w:pPr>
      <w:r>
        <w:rPr>
          <w:rFonts w:ascii="Calibri" w:cs="Calibri" w:eastAsia="Calibri" w:hAnsi="Calibri"/>
          <w:sz w:val="18"/>
          <w:szCs w:val="18"/>
          <w:b w:val="1"/>
          <w:bCs w:val="1"/>
          <w:color w:val="51555C"/>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“Financial Reportng Measure” means (1) stock price, (2) total stockholder return and (3) any measure that is determined and presented in accordance with the accountng principles used in preparing Blackbaud’s fnancial statements, and any measure derived wholly or in part from such measures, including without limitaton:</w:t>
      </w:r>
    </w:p>
    <w:p>
      <w:pPr>
        <w:spacing w:after="0" w:line="106" w:lineRule="exact"/>
        <w:rPr>
          <w:sz w:val="20"/>
          <w:szCs w:val="20"/>
          <w:color w:val="auto"/>
        </w:rPr>
      </w:pPr>
    </w:p>
    <w:p>
      <w:pPr>
        <w:ind w:left="640" w:hanging="308"/>
        <w:spacing w:after="0"/>
        <w:tabs>
          <w:tab w:leader="none" w:pos="640" w:val="left"/>
        </w:tabs>
        <w:numPr>
          <w:ilvl w:val="0"/>
          <w:numId w:val="71"/>
        </w:numPr>
        <w:rPr>
          <w:rFonts w:ascii="Calibri" w:cs="Calibri" w:eastAsia="Calibri" w:hAnsi="Calibri"/>
          <w:sz w:val="18"/>
          <w:szCs w:val="18"/>
          <w:color w:val="51555C"/>
        </w:rPr>
      </w:pPr>
      <w:r>
        <w:rPr>
          <w:rFonts w:ascii="Calibri" w:cs="Calibri" w:eastAsia="Calibri" w:hAnsi="Calibri"/>
          <w:sz w:val="18"/>
          <w:szCs w:val="18"/>
          <w:color w:val="51555C"/>
        </w:rPr>
        <w:t>Revenues</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1"/>
        </w:numPr>
        <w:rPr>
          <w:rFonts w:ascii="Calibri" w:cs="Calibri" w:eastAsia="Calibri" w:hAnsi="Calibri"/>
          <w:sz w:val="18"/>
          <w:szCs w:val="18"/>
          <w:color w:val="51555C"/>
        </w:rPr>
      </w:pPr>
      <w:r>
        <w:rPr>
          <w:rFonts w:ascii="Calibri" w:cs="Calibri" w:eastAsia="Calibri" w:hAnsi="Calibri"/>
          <w:sz w:val="18"/>
          <w:szCs w:val="18"/>
          <w:color w:val="51555C"/>
        </w:rPr>
        <w:t>Operatng income</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1"/>
        </w:numPr>
        <w:rPr>
          <w:rFonts w:ascii="Calibri" w:cs="Calibri" w:eastAsia="Calibri" w:hAnsi="Calibri"/>
          <w:sz w:val="18"/>
          <w:szCs w:val="18"/>
          <w:color w:val="51555C"/>
        </w:rPr>
      </w:pPr>
      <w:r>
        <w:rPr>
          <w:rFonts w:ascii="Calibri" w:cs="Calibri" w:eastAsia="Calibri" w:hAnsi="Calibri"/>
          <w:sz w:val="18"/>
          <w:szCs w:val="18"/>
          <w:color w:val="51555C"/>
        </w:rPr>
        <w:t>Net income</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1"/>
        </w:numPr>
        <w:rPr>
          <w:rFonts w:ascii="Calibri" w:cs="Calibri" w:eastAsia="Calibri" w:hAnsi="Calibri"/>
          <w:sz w:val="18"/>
          <w:szCs w:val="18"/>
          <w:color w:val="51555C"/>
        </w:rPr>
      </w:pPr>
      <w:r>
        <w:rPr>
          <w:rFonts w:ascii="Calibri" w:cs="Calibri" w:eastAsia="Calibri" w:hAnsi="Calibri"/>
          <w:sz w:val="18"/>
          <w:szCs w:val="18"/>
          <w:color w:val="51555C"/>
        </w:rPr>
        <w:t>EBITDA</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1"/>
        </w:numPr>
        <w:rPr>
          <w:rFonts w:ascii="Calibri" w:cs="Calibri" w:eastAsia="Calibri" w:hAnsi="Calibri"/>
          <w:sz w:val="18"/>
          <w:szCs w:val="18"/>
          <w:color w:val="51555C"/>
        </w:rPr>
      </w:pPr>
      <w:r>
        <w:rPr>
          <w:rFonts w:ascii="Calibri" w:cs="Calibri" w:eastAsia="Calibri" w:hAnsi="Calibri"/>
          <w:sz w:val="18"/>
          <w:szCs w:val="18"/>
          <w:color w:val="51555C"/>
        </w:rPr>
        <w:t>Working capital, cash fow funds from operatons or other liquidity measures</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1"/>
        </w:numPr>
        <w:rPr>
          <w:rFonts w:ascii="Calibri" w:cs="Calibri" w:eastAsia="Calibri" w:hAnsi="Calibri"/>
          <w:sz w:val="18"/>
          <w:szCs w:val="18"/>
          <w:color w:val="51555C"/>
        </w:rPr>
      </w:pPr>
      <w:r>
        <w:rPr>
          <w:rFonts w:ascii="Calibri" w:cs="Calibri" w:eastAsia="Calibri" w:hAnsi="Calibri"/>
          <w:sz w:val="18"/>
          <w:szCs w:val="18"/>
          <w:color w:val="51555C"/>
        </w:rPr>
        <w:t>Return on invested capital or return on assets or other return measures</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1"/>
        </w:numPr>
        <w:rPr>
          <w:rFonts w:ascii="Calibri" w:cs="Calibri" w:eastAsia="Calibri" w:hAnsi="Calibri"/>
          <w:sz w:val="18"/>
          <w:szCs w:val="18"/>
          <w:color w:val="51555C"/>
        </w:rPr>
      </w:pPr>
      <w:r>
        <w:rPr>
          <w:rFonts w:ascii="Calibri" w:cs="Calibri" w:eastAsia="Calibri" w:hAnsi="Calibri"/>
          <w:sz w:val="18"/>
          <w:szCs w:val="18"/>
          <w:color w:val="51555C"/>
        </w:rPr>
        <w:t>Earnings per share or other earnings measures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Incentve Compensaton will be deemed “received” for purposes of this Policy in the fscal period during which the applicable Financial Reportng Measure is atained, even if the payment or grant occurs afer the end of that period. For example, an award that is granted based on the achievement of a Financial Reportng Measure would be received in the fscal period that the measure was satsfed. However, if an equity award vests only on the achievement of a Financial Reportng Measure, the equity award would be received in the fscal period that it vests.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Recoupment is required even if the Incentve Compensaton was awarded pursuant to a pre-existng contract or arrangement.</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Amount and Method of Recoupment</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amount to be recouped will be the excess of the Incentve Compensaton paid to an Executve Ofcer based on the erroneous data over the Incentve Compensaton that would have been paid to the Executve Ofcer had it been based on the restated results, calculated on a pre-tax basis, as determined by the Commitee. For Incentve Compensaton based on stock price or total stockholder return, if the Commitee cannot determine the amount of excess Incentve Compensaton received by the Executve Ofcer directly from the informaton in the fnancial restatement, then it will make its determinaton based on a reasonable estmate of the efect of the restatement on the stock price or total stockholder return on which the Incentve Compensaton was received.</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51555C"/>
        </w:rPr>
        <w:t>This Policy does not apply to Incentve Compensaton received by an individual:</w:t>
      </w:r>
    </w:p>
    <w:p>
      <w:pPr>
        <w:spacing w:after="0" w:line="104" w:lineRule="exact"/>
        <w:rPr>
          <w:sz w:val="20"/>
          <w:szCs w:val="20"/>
          <w:color w:val="auto"/>
        </w:rPr>
      </w:pPr>
    </w:p>
    <w:p>
      <w:pPr>
        <w:ind w:left="640" w:hanging="308"/>
        <w:spacing w:after="0"/>
        <w:tabs>
          <w:tab w:leader="none" w:pos="640" w:val="left"/>
        </w:tabs>
        <w:numPr>
          <w:ilvl w:val="0"/>
          <w:numId w:val="72"/>
        </w:numPr>
        <w:rPr>
          <w:rFonts w:ascii="Calibri" w:cs="Calibri" w:eastAsia="Calibri" w:hAnsi="Calibri"/>
          <w:sz w:val="18"/>
          <w:szCs w:val="18"/>
          <w:color w:val="51555C"/>
        </w:rPr>
      </w:pPr>
      <w:r>
        <w:rPr>
          <w:rFonts w:ascii="Calibri" w:cs="Calibri" w:eastAsia="Calibri" w:hAnsi="Calibri"/>
          <w:sz w:val="18"/>
          <w:szCs w:val="18"/>
          <w:color w:val="51555C"/>
        </w:rPr>
        <w:t>Before beginning service as an Executve Ofcer;</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2"/>
        </w:numPr>
        <w:rPr>
          <w:rFonts w:ascii="Calibri" w:cs="Calibri" w:eastAsia="Calibri" w:hAnsi="Calibri"/>
          <w:sz w:val="18"/>
          <w:szCs w:val="18"/>
          <w:color w:val="51555C"/>
        </w:rPr>
      </w:pPr>
      <w:r>
        <w:rPr>
          <w:rFonts w:ascii="Calibri" w:cs="Calibri" w:eastAsia="Calibri" w:hAnsi="Calibri"/>
          <w:sz w:val="18"/>
          <w:szCs w:val="18"/>
          <w:color w:val="51555C"/>
        </w:rPr>
        <w:t>Who did not serve as an Executve Ofcer at any tme during the three-year recovery period; or</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2"/>
        </w:numPr>
        <w:rPr>
          <w:rFonts w:ascii="Calibri" w:cs="Calibri" w:eastAsia="Calibri" w:hAnsi="Calibri"/>
          <w:sz w:val="18"/>
          <w:szCs w:val="18"/>
          <w:color w:val="51555C"/>
        </w:rPr>
      </w:pPr>
      <w:r>
        <w:rPr>
          <w:rFonts w:ascii="Calibri" w:cs="Calibri" w:eastAsia="Calibri" w:hAnsi="Calibri"/>
          <w:sz w:val="18"/>
          <w:szCs w:val="18"/>
          <w:color w:val="51555C"/>
        </w:rPr>
        <w:t>Before the efectve date of the applicable Nasdaq listng standard (October 2, 2023).</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51555C"/>
        </w:rPr>
        <w:t>The Commitee will determine, in its sole discreton, the method for recouping Incentve Compensaton pursuant to this Policy. This may include, without limitaton:</w:t>
      </w:r>
    </w:p>
    <w:p>
      <w:pPr>
        <w:spacing w:after="0" w:line="110" w:lineRule="exact"/>
        <w:rPr>
          <w:sz w:val="20"/>
          <w:szCs w:val="20"/>
          <w:color w:val="auto"/>
        </w:rPr>
      </w:pPr>
    </w:p>
    <w:p>
      <w:pPr>
        <w:ind w:left="660" w:hanging="328"/>
        <w:spacing w:after="0" w:line="235" w:lineRule="auto"/>
        <w:tabs>
          <w:tab w:leader="none" w:pos="653" w:val="left"/>
        </w:tabs>
        <w:numPr>
          <w:ilvl w:val="0"/>
          <w:numId w:val="73"/>
        </w:numPr>
        <w:rPr>
          <w:rFonts w:ascii="Calibri" w:cs="Calibri" w:eastAsia="Calibri" w:hAnsi="Calibri"/>
          <w:sz w:val="18"/>
          <w:szCs w:val="18"/>
          <w:color w:val="51555C"/>
        </w:rPr>
      </w:pPr>
      <w:r>
        <w:rPr>
          <w:rFonts w:ascii="Calibri" w:cs="Calibri" w:eastAsia="Calibri" w:hAnsi="Calibri"/>
          <w:sz w:val="18"/>
          <w:szCs w:val="18"/>
          <w:color w:val="51555C"/>
        </w:rPr>
        <w:t>Executve Ofcer reimbursement of cash Incentve Compensaton previously paid or any gain realized on the vestng, exercise, setlement, sale, transfer or other dispositon of any equity-based awards;</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3"/>
        </w:numPr>
        <w:rPr>
          <w:rFonts w:ascii="Calibri" w:cs="Calibri" w:eastAsia="Calibri" w:hAnsi="Calibri"/>
          <w:sz w:val="18"/>
          <w:szCs w:val="18"/>
          <w:color w:val="51555C"/>
        </w:rPr>
      </w:pPr>
      <w:r>
        <w:rPr>
          <w:rFonts w:ascii="Calibri" w:cs="Calibri" w:eastAsia="Calibri" w:hAnsi="Calibri"/>
          <w:sz w:val="18"/>
          <w:szCs w:val="18"/>
          <w:color w:val="51555C"/>
        </w:rPr>
        <w:t>Ofsetng the recouped amount from any compensaton otherwise owed by Blackbaud to the Executve Ofcer;</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3"/>
        </w:numPr>
        <w:rPr>
          <w:rFonts w:ascii="Calibri" w:cs="Calibri" w:eastAsia="Calibri" w:hAnsi="Calibri"/>
          <w:sz w:val="18"/>
          <w:szCs w:val="18"/>
          <w:color w:val="51555C"/>
        </w:rPr>
      </w:pPr>
      <w:r>
        <w:rPr>
          <w:rFonts w:ascii="Calibri" w:cs="Calibri" w:eastAsia="Calibri" w:hAnsi="Calibri"/>
          <w:sz w:val="18"/>
          <w:szCs w:val="18"/>
          <w:color w:val="51555C"/>
        </w:rPr>
        <w:t>Cancelling outstanding vested or unvested equity awards; and/or</w:t>
      </w:r>
    </w:p>
    <w:p>
      <w:pPr>
        <w:spacing w:after="0" w:line="104" w:lineRule="exact"/>
        <w:rPr>
          <w:rFonts w:ascii="Calibri" w:cs="Calibri" w:eastAsia="Calibri" w:hAnsi="Calibri"/>
          <w:sz w:val="18"/>
          <w:szCs w:val="18"/>
          <w:color w:val="51555C"/>
        </w:rPr>
      </w:pPr>
    </w:p>
    <w:p>
      <w:pPr>
        <w:ind w:left="640" w:hanging="308"/>
        <w:spacing w:after="0"/>
        <w:tabs>
          <w:tab w:leader="none" w:pos="640" w:val="left"/>
        </w:tabs>
        <w:numPr>
          <w:ilvl w:val="0"/>
          <w:numId w:val="73"/>
        </w:numPr>
        <w:rPr>
          <w:rFonts w:ascii="Calibri" w:cs="Calibri" w:eastAsia="Calibri" w:hAnsi="Calibri"/>
          <w:sz w:val="18"/>
          <w:szCs w:val="18"/>
          <w:color w:val="51555C"/>
        </w:rPr>
      </w:pPr>
      <w:r>
        <w:rPr>
          <w:rFonts w:ascii="Calibri" w:cs="Calibri" w:eastAsia="Calibri" w:hAnsi="Calibri"/>
          <w:sz w:val="18"/>
          <w:szCs w:val="18"/>
          <w:color w:val="51555C"/>
        </w:rPr>
        <w:t>Taking any other remedial and recovery acton permited by law, as determined by the Commitee.</w:t>
      </w:r>
    </w:p>
    <w:p>
      <w:pPr>
        <w:sectPr>
          <w:pgSz w:w="11900" w:h="16838" w:orient="portrait"/>
          <w:cols w:equalWidth="0" w:num="1">
            <w:col w:w="11240"/>
          </w:cols>
          <w:pgMar w:left="320" w:top="274" w:right="339" w:bottom="1440" w:gutter="0" w:footer="0" w:header="0"/>
        </w:sectPr>
      </w:pPr>
    </w:p>
    <w:bookmarkStart w:id="136" w:name="page137"/>
    <w:bookmarkEnd w:id="136"/>
    <w:p>
      <w:pPr>
        <w:jc w:val="right"/>
        <w:spacing w:after="0"/>
        <w:rPr>
          <w:sz w:val="20"/>
          <w:szCs w:val="20"/>
          <w:color w:val="auto"/>
        </w:rPr>
      </w:pPr>
      <w:r>
        <w:rPr>
          <w:rFonts w:ascii="Calibri" w:cs="Calibri" w:eastAsia="Calibri" w:hAnsi="Calibri"/>
          <w:sz w:val="18"/>
          <w:szCs w:val="18"/>
          <w:b w:val="1"/>
          <w:bCs w:val="1"/>
          <w:color w:val="51555C"/>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 will endeavor to recoup excess Incentve Compensaton reasonably promptly in compliance with this Policy, Rule 10D-1 and applicable Nasdaq’s listng standards, except to the extent the pursuit of such recoupment would be impractcable because:</w:t>
      </w:r>
    </w:p>
    <w:p>
      <w:pPr>
        <w:spacing w:after="0" w:line="110" w:lineRule="exact"/>
        <w:rPr>
          <w:sz w:val="20"/>
          <w:szCs w:val="20"/>
          <w:color w:val="auto"/>
        </w:rPr>
      </w:pPr>
    </w:p>
    <w:p>
      <w:pPr>
        <w:jc w:val="both"/>
        <w:ind w:left="660" w:hanging="328"/>
        <w:spacing w:after="0" w:line="235" w:lineRule="auto"/>
        <w:tabs>
          <w:tab w:leader="none" w:pos="653" w:val="left"/>
        </w:tabs>
        <w:numPr>
          <w:ilvl w:val="0"/>
          <w:numId w:val="74"/>
        </w:numPr>
        <w:rPr>
          <w:rFonts w:ascii="Calibri" w:cs="Calibri" w:eastAsia="Calibri" w:hAnsi="Calibri"/>
          <w:sz w:val="18"/>
          <w:szCs w:val="18"/>
          <w:color w:val="51555C"/>
        </w:rPr>
      </w:pPr>
      <w:r>
        <w:rPr>
          <w:rFonts w:ascii="Calibri" w:cs="Calibri" w:eastAsia="Calibri" w:hAnsi="Calibri"/>
          <w:sz w:val="18"/>
          <w:szCs w:val="18"/>
          <w:color w:val="51555C"/>
        </w:rPr>
        <w:t>The direct expense paid to a third party to assist in enforcing this Policy would exceed the amount to be recovered, provided however, before such conclusion of impractcability is made, the Commitee must frst (a) make a reasonable atempt to recoup the excess Incentve Compensaton and (b) document this atempt and provide such documentaton to Nasdaq;</w:t>
      </w:r>
    </w:p>
    <w:p>
      <w:pPr>
        <w:spacing w:after="0" w:line="110"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74"/>
        </w:numPr>
        <w:rPr>
          <w:rFonts w:ascii="Calibri" w:cs="Calibri" w:eastAsia="Calibri" w:hAnsi="Calibri"/>
          <w:sz w:val="18"/>
          <w:szCs w:val="18"/>
          <w:color w:val="51555C"/>
        </w:rPr>
      </w:pPr>
      <w:r>
        <w:rPr>
          <w:rFonts w:ascii="Calibri" w:cs="Calibri" w:eastAsia="Calibri" w:hAnsi="Calibri"/>
          <w:sz w:val="18"/>
          <w:szCs w:val="18"/>
          <w:color w:val="51555C"/>
        </w:rPr>
        <w:t>The recovery would violate home country law, where that law was adopted prior to November 28, 2022, based on an opinion of home country counsel in compliance with Rule 10D-1 and applicable Nasdaq listng standards; or</w:t>
      </w:r>
    </w:p>
    <w:p>
      <w:pPr>
        <w:spacing w:after="0" w:line="109" w:lineRule="exact"/>
        <w:rPr>
          <w:rFonts w:ascii="Calibri" w:cs="Calibri" w:eastAsia="Calibri" w:hAnsi="Calibri"/>
          <w:sz w:val="18"/>
          <w:szCs w:val="18"/>
          <w:color w:val="51555C"/>
        </w:rPr>
      </w:pPr>
    </w:p>
    <w:p>
      <w:pPr>
        <w:ind w:left="660" w:hanging="328"/>
        <w:spacing w:after="0" w:line="235" w:lineRule="auto"/>
        <w:tabs>
          <w:tab w:leader="none" w:pos="653" w:val="left"/>
        </w:tabs>
        <w:numPr>
          <w:ilvl w:val="0"/>
          <w:numId w:val="74"/>
        </w:numPr>
        <w:rPr>
          <w:rFonts w:ascii="Calibri" w:cs="Calibri" w:eastAsia="Calibri" w:hAnsi="Calibri"/>
          <w:sz w:val="18"/>
          <w:szCs w:val="18"/>
          <w:color w:val="51555C"/>
        </w:rPr>
      </w:pPr>
      <w:r>
        <w:rPr>
          <w:rFonts w:ascii="Calibri" w:cs="Calibri" w:eastAsia="Calibri" w:hAnsi="Calibri"/>
          <w:sz w:val="18"/>
          <w:szCs w:val="18"/>
          <w:color w:val="51555C"/>
        </w:rPr>
        <w:t>The recovery would cause an otherwise tax-qualifed retrement plan, under which the benefts are broadly available to Blackbaud employees, to fail to meet qualifcaton requirements.</w:t>
      </w:r>
    </w:p>
    <w:p>
      <w:pPr>
        <w:spacing w:after="0" w:line="1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51555C"/>
        </w:rPr>
        <w:t>In the event that an Executve Ofcer fails to repay Incentve Compensaton when due as required by this Policy, the Executve Ofcer will be required to reimburse Blackbaud for any and all expenses reasonably incurred (including legal fees) by Blackbaud in recovering such Incentve Compensaton.</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51555C"/>
        </w:rPr>
        <w:t>Other</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Blackbaud will not indemnify any Executve Ofcer against the loss of any incorrectly awarded or received Incentve Compensaton, including by paying or reimbursing the Executve Ofcer for premiums for any insurance policy covering any potental losses.</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Board may amend this Policy from tme to tme in its discreton as it deems necessary to comply with new or amended rules or standards adopted by the SEC, Nasdaq or otherwise. The Board may terminate this Policy at any tme.</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The Board may require that any employment agreement, equity award agreement or similar agreement, as a conditon to the grant of any beneft thereunder, require an Executve Ofcer to agree to abide by the terms of this Policy.</w:t>
      </w:r>
    </w:p>
    <w:p>
      <w:pPr>
        <w:spacing w:after="0" w:line="1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51555C"/>
        </w:rPr>
        <w:t>Any right of recoupment under this Policy is in additon to, and not in lieu of, any other remedies or rights of recoupment that may be available to Blackbaud pursuant to the terms of any employment agreement, equity award agreement or similar agreement and any other legal remedies available to Blackbaud, including but not limited to rights of recoupment provided by Secton 304 of the Sarbanes Oxley Act of 2002, as amended.</w:t>
      </w:r>
    </w:p>
    <w:p>
      <w:pPr>
        <w:spacing w:after="0" w:line="165" w:lineRule="exact"/>
        <w:rPr>
          <w:sz w:val="20"/>
          <w:szCs w:val="20"/>
          <w:color w:val="auto"/>
        </w:rPr>
      </w:pPr>
    </w:p>
    <w:p>
      <w:pPr>
        <w:spacing w:after="0"/>
        <w:rPr>
          <w:sz w:val="20"/>
          <w:szCs w:val="20"/>
          <w:color w:val="auto"/>
        </w:rPr>
      </w:pPr>
      <w:r>
        <w:rPr>
          <w:rFonts w:ascii="Calibri" w:cs="Calibri" w:eastAsia="Calibri" w:hAnsi="Calibri"/>
          <w:sz w:val="17"/>
          <w:szCs w:val="17"/>
          <w:color w:val="51555C"/>
        </w:rPr>
        <w:t>This Policy is binding on, and enforceable against, all Executve Ofcers and their benefciaries, heirs, executors, administrators or other legal representatves.</w:t>
      </w:r>
    </w:p>
    <w:p>
      <w:pPr>
        <w:spacing w:after="0" w:line="170" w:lineRule="exact"/>
        <w:rPr>
          <w:sz w:val="20"/>
          <w:szCs w:val="20"/>
          <w:color w:val="auto"/>
        </w:rPr>
      </w:pPr>
    </w:p>
    <w:p>
      <w:pPr>
        <w:spacing w:after="0"/>
        <w:rPr>
          <w:sz w:val="20"/>
          <w:szCs w:val="20"/>
          <w:color w:val="auto"/>
        </w:rPr>
      </w:pPr>
      <w:r>
        <w:rPr>
          <w:rFonts w:ascii="Calibri" w:cs="Calibri" w:eastAsia="Calibri" w:hAnsi="Calibri"/>
          <w:sz w:val="17"/>
          <w:szCs w:val="17"/>
          <w:color w:val="51555C"/>
        </w:rPr>
        <w:t>A copy of this Policy and any amendments thereto will be posted on Blackbaud’s website and fled as an exhibit to Blackbaud’s Annual Report on Form 10-K.</w:t>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1"/>
    </w:lvl>
    <w:lvl w:ilvl="1">
      <w:lvlJc w:val="left"/>
      <w:lvlText w:val="•"/>
      <w:numFmt w:val="bullet"/>
      <w:start w:val="1"/>
    </w:lvl>
  </w:abstractNum>
  <w:abstractNum w:abstractNumId="5">
    <w:nsid w:val="2D517796"/>
    <w:multiLevelType w:val="hybridMultilevel"/>
    <w:lvl w:ilvl="0">
      <w:lvlJc w:val="left"/>
      <w:lvlText w:val="%1."/>
      <w:numFmt w:val="decimal"/>
      <w:start w:val="1"/>
    </w:lvl>
    <w:lvl w:ilvl="1">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decimal"/>
    </w:lvl>
    <w:lvl w:ilvl="1">
      <w:lvlJc w:val="left"/>
      <w:lvlText w:val="•"/>
      <w:numFmt w:val="bullet"/>
      <w:start w:val="1"/>
    </w:lvl>
    <w:lvl w:ilvl="2">
      <w:lvlJc w:val="left"/>
      <w:lvlText w:val="1"/>
      <w:numFmt w:val="bullet"/>
      <w:start w:val="1"/>
    </w:lvl>
  </w:abstractNum>
  <w:abstractNum w:abstractNumId="18">
    <w:nsid w:val="542289EC"/>
    <w:multiLevelType w:val="hybridMultilevel"/>
    <w:lvl w:ilvl="0">
      <w:lvlJc w:val="left"/>
      <w:lvlText w:val="%1."/>
      <w:numFmt w:val="decimal"/>
      <w:start w:val="1"/>
    </w:lvl>
    <w:lvl w:ilvl="1">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lvl w:ilvl="1">
      <w:lvlJc w:val="left"/>
      <w:lvlText w:val="l"/>
      <w:numFmt w:val="bullet"/>
      <w:start w:val="1"/>
    </w:lvl>
  </w:abstractNum>
  <w:abstractNum w:abstractNumId="22">
    <w:nsid w:val="32FFF902"/>
    <w:multiLevelType w:val="hybridMultilevel"/>
    <w:lvl w:ilvl="0">
      <w:lvlJc w:val="left"/>
      <w:lvlText w:val="+"/>
      <w:numFmt w:val="bullet"/>
      <w:start w:val="1"/>
    </w:lvl>
    <w:lvl w:ilvl="1">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lvl w:ilvl="1">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1"/>
    </w:lvl>
    <w:lvl w:ilvl="1">
      <w:lvlJc w:val="left"/>
      <w:lvlText w:val="%2."/>
      <w:numFmt w:val="lowerLetter"/>
      <w:start w:val="1"/>
    </w:lvl>
  </w:abstractNum>
  <w:abstractNum w:abstractNumId="65">
    <w:nsid w:val="5F5E7FD0"/>
    <w:multiLevelType w:val="hybridMultilevel"/>
    <w:lvl w:ilvl="0">
      <w:lvlJc w:val="left"/>
      <w:lvlText w:val="%1."/>
      <w:numFmt w:val="decimal"/>
      <w:start w:val="1"/>
    </w:lvl>
    <w:lvl w:ilvl="1">
      <w:lvlJc w:val="left"/>
      <w:lvlText w:val="%2."/>
      <w:numFmt w:val="lowerLetter"/>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9" Type="http://schemas.openxmlformats.org/officeDocument/2006/relationships/image" Target="media/image483.png"/><Relationship Id="rId500" Type="http://schemas.openxmlformats.org/officeDocument/2006/relationships/image" Target="media/image484.jpeg"/><Relationship Id="rId501" Type="http://schemas.openxmlformats.org/officeDocument/2006/relationships/image" Target="media/image485.png"/><Relationship Id="rId502" Type="http://schemas.openxmlformats.org/officeDocument/2006/relationships/image" Target="media/image486.png"/><Relationship Id="rId518" Type="http://schemas.openxmlformats.org/officeDocument/2006/relationships/image" Target="media/image487.png"/><Relationship Id="rId519" Type="http://schemas.openxmlformats.org/officeDocument/2006/relationships/image" Target="media/image488.jpeg"/><Relationship Id="rId520" Type="http://schemas.openxmlformats.org/officeDocument/2006/relationships/image" Target="media/image489.png"/><Relationship Id="rId532" Type="http://schemas.openxmlformats.org/officeDocument/2006/relationships/image" Target="media/image490.png"/><Relationship Id="rId533" Type="http://schemas.openxmlformats.org/officeDocument/2006/relationships/image" Target="media/image491.jpeg"/><Relationship Id="rId534" Type="http://schemas.openxmlformats.org/officeDocument/2006/relationships/image" Target="media/image492.png"/><Relationship Id="rId535" Type="http://schemas.openxmlformats.org/officeDocument/2006/relationships/image" Target="media/image493.png"/><Relationship Id="rId541" Type="http://schemas.openxmlformats.org/officeDocument/2006/relationships/image" Target="media/image494.png"/><Relationship Id="rId542" Type="http://schemas.openxmlformats.org/officeDocument/2006/relationships/image" Target="media/image495.jpeg"/><Relationship Id="rId543" Type="http://schemas.openxmlformats.org/officeDocument/2006/relationships/image" Target="media/image496.png"/><Relationship Id="rId544" Type="http://schemas.openxmlformats.org/officeDocument/2006/relationships/image" Target="media/image497.jpeg"/><Relationship Id="rId545" Type="http://schemas.openxmlformats.org/officeDocument/2006/relationships/image" Target="media/image498.png"/><Relationship Id="rId546" Type="http://schemas.openxmlformats.org/officeDocument/2006/relationships/image" Target="media/image499.png"/><Relationship Id="rId547" Type="http://schemas.openxmlformats.org/officeDocument/2006/relationships/image" Target="media/image500.jpeg"/><Relationship Id="rId548" Type="http://schemas.openxmlformats.org/officeDocument/2006/relationships/image" Target="media/image501.jpeg"/><Relationship Id="rId490" Type="http://schemas.openxmlformats.org/officeDocument/2006/relationships/hyperlink" Target="http://www.sec.gov/Archives/edgar/data/1280058/000095014404003544/g87269a1exv2w1.txt" TargetMode="External"/><Relationship Id="rId491" Type="http://schemas.openxmlformats.org/officeDocument/2006/relationships/hyperlink" Target="http://www.sec.gov/Archives/edgar/data/1280058/000128005814000034/exhibit1076october022014.htm" TargetMode="External"/><Relationship Id="rId492" Type="http://schemas.openxmlformats.org/officeDocument/2006/relationships/hyperlink" Target="http://www.sec.gov/Archives/edgar/data/1280058/000128005815000029/exhibit1078oct52015.htm" TargetMode="External"/><Relationship Id="rId493" Type="http://schemas.openxmlformats.org/officeDocument/2006/relationships/hyperlink" Target="http://www.sec.gov/Archives/edgar/data/1280058/000128005815000029/exhbit1079oct52015.htm" TargetMode="External"/><Relationship Id="rId494" Type="http://schemas.openxmlformats.org/officeDocument/2006/relationships/hyperlink" Target="https://www.sec.gov/Archives/edgar/data/1280058/000128005822000002/exhibit21.htm" TargetMode="External"/><Relationship Id="rId495" Type="http://schemas.openxmlformats.org/officeDocument/2006/relationships/hyperlink" Target="http://www.sec.gov/Archives/edgar/data/1280058/000119312509094523/ddef14a.htm#toc26068_24" TargetMode="External"/><Relationship Id="rId496" Type="http://schemas.openxmlformats.org/officeDocument/2006/relationships/hyperlink" Target="https://www.sec.gov/Archives/edgar/data/1280058/000114036122036751/brhc10042812_ex3-1.htm" TargetMode="External"/><Relationship Id="rId497" Type="http://schemas.openxmlformats.org/officeDocument/2006/relationships/hyperlink" Target="https://www.sec.gov/Archives/edgar/data/1280058/000128005823000049/blkbexhibit31bylawsdec2023.htm" TargetMode="External"/><Relationship Id="rId498" Type="http://schemas.openxmlformats.org/officeDocument/2006/relationships/hyperlink" Target="https://www.sec.gov/Archives/edgar/data/1280058/000114036122036751/brhc10042812_ex4-1.htm" TargetMode="External"/><Relationship Id="rId503" Type="http://schemas.openxmlformats.org/officeDocument/2006/relationships/hyperlink" Target="https://www.sec.gov/Archives/edgar/data/1280058/000128005823000038/blkbex42rightsplanamendmen.htm" TargetMode="External"/><Relationship Id="rId504" Type="http://schemas.openxmlformats.org/officeDocument/2006/relationships/hyperlink" Target="https://www.sec.gov/Archives/edgar/data/1280058/000128005824000007/blkbex43rightsplanamendmen.htm" TargetMode="External"/><Relationship Id="rId505" Type="http://schemas.openxmlformats.org/officeDocument/2006/relationships/hyperlink" Target="http://www.sec.gov/Archives/edgar/data/1280058/000128005813000005/ex-10652012q4.htm" TargetMode="External"/><Relationship Id="rId506" Type="http://schemas.openxmlformats.org/officeDocument/2006/relationships/hyperlink" Target="http://www.sec.gov/Archives/edgar/data/1280058/000128005816000072/a2016q210-qexx1084.htm" TargetMode="External"/><Relationship Id="rId507" Type="http://schemas.openxmlformats.org/officeDocument/2006/relationships/hyperlink" Target="http://www.sec.gov/Archives/edgar/data/1280058/000128005816000081/a2016q310-qexx1087.htm" TargetMode="External"/><Relationship Id="rId508" Type="http://schemas.openxmlformats.org/officeDocument/2006/relationships/hyperlink" Target="http://www.sec.gov/Archives/edgar/data/1280058/000128005818000007/a201710-kexx1093.htm" TargetMode="External"/><Relationship Id="rId509" Type="http://schemas.openxmlformats.org/officeDocument/2006/relationships/hyperlink" Target="http://www.sec.gov/Archives/edgar/data/1280058/000128005818000007/a201710-kexx1094.htm" TargetMode="External"/><Relationship Id="rId510" Type="http://schemas.openxmlformats.org/officeDocument/2006/relationships/hyperlink" Target="http://www.sec.gov/Archives/edgar/data/1280058/000128005818000021/a2018q110-qexx1095.htm" TargetMode="External"/><Relationship Id="rId511" Type="http://schemas.openxmlformats.org/officeDocument/2006/relationships/hyperlink" Target="http://www.sec.gov/Archives/edgar/data/1280058/000128005819000020/a2019q110-qexx1096.htm" TargetMode="External"/><Relationship Id="rId512" Type="http://schemas.openxmlformats.org/officeDocument/2006/relationships/hyperlink" Target="http://www.sec.gov/Archives/edgar/data/1280058/000128005819000020/a2019q110-qexx1097.htm" TargetMode="External"/><Relationship Id="rId513" Type="http://schemas.openxmlformats.org/officeDocument/2006/relationships/hyperlink" Target="https://www.sec.gov/Archives/edgar/data/1280058/000128005820000038/a2020q210-qexx101.htm" TargetMode="External"/><Relationship Id="rId514" Type="http://schemas.openxmlformats.org/officeDocument/2006/relationships/hyperlink" Target="https://www.sec.gov/Archives/edgar/data/1280058/000128005820000038/a2020q210-qexx102.htm" TargetMode="External"/><Relationship Id="rId515" Type="http://schemas.openxmlformats.org/officeDocument/2006/relationships/hyperlink" Target="https://www.sec.gov/Archives/edgar/data/1280058/000128005820000038/a2020q210-qexx103.htm" TargetMode="External"/><Relationship Id="rId516" Type="http://schemas.openxmlformats.org/officeDocument/2006/relationships/hyperlink" Target="https://www.sec.gov/Archives/edgar/data/1280058/000128005820000038/a2020q210-qexx104.htm" TargetMode="External"/><Relationship Id="rId517" Type="http://schemas.openxmlformats.org/officeDocument/2006/relationships/hyperlink" Target="https://www.sec.gov/Archives/edgar/data/1280058/000128005820000038/a2020q210-qexx105.htm" TargetMode="External"/><Relationship Id="rId521" Type="http://schemas.openxmlformats.org/officeDocument/2006/relationships/hyperlink" Target="https://www.sec.gov/Archives/edgar/data/1280058/000128005820000038/a2020q210-qexx107.htm" TargetMode="External"/><Relationship Id="rId522" Type="http://schemas.openxmlformats.org/officeDocument/2006/relationships/hyperlink" Target="https://www.sec.gov/Archives/edgar/data/1280058/000128005820000052/a2020q310-qexx103.htm" TargetMode="External"/><Relationship Id="rId523" Type="http://schemas.openxmlformats.org/officeDocument/2006/relationships/hyperlink" Target="https://www.sec.gov/Archives/edgar/data/1280058/000128005820000052/a2020q310-qexx104.htm" TargetMode="External"/><Relationship Id="rId524" Type="http://schemas.openxmlformats.org/officeDocument/2006/relationships/hyperlink" Target="https://www.sec.gov/Archives/edgar/data/1280058/000128005820000052/a2020q310-qexx105.htm" TargetMode="External"/><Relationship Id="rId525" Type="http://schemas.openxmlformats.org/officeDocument/2006/relationships/hyperlink" Target="http://www.sec.gov/Archives/edgar/data/1280058/000128005821000021/a2021q110-qexx1001.htm" TargetMode="External"/><Relationship Id="rId526" Type="http://schemas.openxmlformats.org/officeDocument/2006/relationships/hyperlink" Target="https://www.sec.gov/Archives/edgar/data/1280058/000128005821000049/a2021q310-qexx1001.htm" TargetMode="External"/><Relationship Id="rId527" Type="http://schemas.openxmlformats.org/officeDocument/2006/relationships/hyperlink" Target="https://www.sec.gov/Archives/edgar/data/1280058/000128005822000002/exhibit101.htm" TargetMode="External"/><Relationship Id="rId528" Type="http://schemas.openxmlformats.org/officeDocument/2006/relationships/hyperlink" Target="https://www.sec.gov/Archives/edgar/data/1280058/000128005822000002/exhibit102.htm" TargetMode="External"/><Relationship Id="rId529" Type="http://schemas.openxmlformats.org/officeDocument/2006/relationships/hyperlink" Target="https://www.sec.gov/Archives/edgar/data/1280058/000128005822000005/exhibit101jan312022.htm" TargetMode="External"/><Relationship Id="rId530" Type="http://schemas.openxmlformats.org/officeDocument/2006/relationships/hyperlink" Target="https://www.sec.gov/Archives/edgar/data/1280058/000128005822000055/blkbq3202210-qexx102.htm" TargetMode="External"/><Relationship Id="rId531" Type="http://schemas.openxmlformats.org/officeDocument/2006/relationships/hyperlink" Target="https://www.sec.gov/Archives/edgar/data/1280058/000128005822000050/exhibit101sep212022.htm" TargetMode="External"/><Relationship Id="rId536" Type="http://schemas.openxmlformats.org/officeDocument/2006/relationships/hyperlink" Target="https://www.sec.gov/Archives/edgar/data/1280058/000128005823000006/blkb202210-kexx1030.htm" TargetMode="External"/><Relationship Id="rId537" Type="http://schemas.openxmlformats.org/officeDocument/2006/relationships/hyperlink" Target="https://www.sec.gov/ix?doc=/Archives/edgar/data/1280058/000128005823000017/blkb-20230425.htm#i52e0ad3caff945fe984b6ca0662f47d3_313" TargetMode="External"/><Relationship Id="rId538" Type="http://schemas.openxmlformats.org/officeDocument/2006/relationships/hyperlink" Target="https://www.sec.gov/Archives/edgar/data/1280058/000128005823000023/blkbq1202310-qexx101.htm" TargetMode="External"/><Relationship Id="rId539" Type="http://schemas.openxmlformats.org/officeDocument/2006/relationships/hyperlink" Target="https://www.sec.gov/Archives/edgar/data/1280058/000128005823000026/exhibit101jun82023.htm" TargetMode="External"/><Relationship Id="rId540" Type="http://schemas.openxmlformats.org/officeDocument/2006/relationships/hyperlink" Target="https://www.sec.gov/Archives/edgar/data/1280058/000114036122012665/ny20001953x7_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2024-02-21T15:34:08Z</dcterms:created>
  <dcterms:modified xsi:type="dcterms:W3CDTF">2024-02-21T15:34:08Z</dcterms:modified>
</cp:coreProperties>
</file>