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0"/>
          <w:szCs w:val="20"/>
          <w:b w:val="1"/>
          <w:bCs w:val="1"/>
          <w:color w:val="51555C"/>
        </w:rPr>
        <w:t>UNITED STATES</w:t>
      </w:r>
    </w:p>
    <w:p>
      <w:pPr>
        <w:jc w:val="center"/>
        <w:spacing w:after="0" w:line="238" w:lineRule="auto"/>
        <w:rPr>
          <w:sz w:val="20"/>
          <w:szCs w:val="20"/>
          <w:color w:val="auto"/>
        </w:rPr>
      </w:pPr>
      <w:r>
        <w:rPr>
          <w:rFonts w:ascii="Calibri" w:cs="Calibri" w:eastAsia="Calibri" w:hAnsi="Calibri"/>
          <w:sz w:val="20"/>
          <w:szCs w:val="20"/>
          <w:b w:val="1"/>
          <w:bCs w:val="1"/>
          <w:color w:val="51555C"/>
        </w:rPr>
        <w:t>SECURITIES AND EXCHANGE COMMISSION</w:t>
      </w:r>
    </w:p>
    <w:p>
      <w:pPr>
        <w:spacing w:after="0" w:line="155"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color w:val="51555C"/>
        </w:rPr>
        <w:t>Washington, D.C. 20549</w:t>
      </w:r>
    </w:p>
    <w:p>
      <w:pPr>
        <w:spacing w:after="0" w:line="91" w:lineRule="exact"/>
        <w:rPr>
          <w:sz w:val="24"/>
          <w:szCs w:val="24"/>
          <w:color w:val="auto"/>
        </w:rPr>
      </w:pPr>
    </w:p>
    <w:p>
      <w:pPr>
        <w:jc w:val="center"/>
        <w:spacing w:after="0"/>
        <w:rPr>
          <w:sz w:val="20"/>
          <w:szCs w:val="20"/>
          <w:color w:val="auto"/>
        </w:rPr>
      </w:pPr>
      <w:r>
        <w:rPr>
          <w:rFonts w:ascii="Calibri" w:cs="Calibri" w:eastAsia="Calibri" w:hAnsi="Calibri"/>
          <w:sz w:val="25"/>
          <w:szCs w:val="25"/>
          <w:b w:val="1"/>
          <w:bCs w:val="1"/>
          <w:color w:val="51555C"/>
        </w:rPr>
        <w:t>FORM 10-Q</w:t>
      </w:r>
    </w:p>
    <w:p>
      <w:pPr>
        <w:spacing w:after="0" w:line="217" w:lineRule="exact"/>
        <w:rPr>
          <w:sz w:val="24"/>
          <w:szCs w:val="24"/>
          <w:color w:val="auto"/>
        </w:rPr>
      </w:pPr>
    </w:p>
    <w:p>
      <w:pPr>
        <w:ind w:left="700" w:right="3980" w:hanging="550"/>
        <w:spacing w:after="0" w:line="305" w:lineRule="auto"/>
        <w:tabs>
          <w:tab w:leader="none" w:pos="484" w:val="left"/>
        </w:tabs>
        <w:numPr>
          <w:ilvl w:val="0"/>
          <w:numId w:val="1"/>
        </w:numPr>
        <w:rPr>
          <w:rFonts w:ascii="MS PGothic" w:cs="MS PGothic" w:eastAsia="MS PGothic" w:hAnsi="MS PGothic"/>
          <w:sz w:val="20"/>
          <w:szCs w:val="20"/>
          <w:color w:val="51555C"/>
        </w:rPr>
      </w:pPr>
      <w:r>
        <w:rPr>
          <w:rFonts w:ascii="Calibri" w:cs="Calibri" w:eastAsia="Calibri" w:hAnsi="Calibri"/>
          <w:sz w:val="16"/>
          <w:szCs w:val="16"/>
          <w:b w:val="1"/>
          <w:bCs w:val="1"/>
          <w:color w:val="51555C"/>
        </w:rPr>
        <w:t xml:space="preserve">QUARTERLY REPORT PURSUANT TO SECTION 13 OR 15(d) OF THE SECURITIES EXCHANGE ACT OF 1934 </w:t>
      </w:r>
      <w:r>
        <w:rPr>
          <w:rFonts w:ascii="Calibri" w:cs="Calibri" w:eastAsia="Calibri" w:hAnsi="Calibri"/>
          <w:sz w:val="16"/>
          <w:szCs w:val="16"/>
          <w:color w:val="51555C"/>
        </w:rPr>
        <w:t>For the quarterly period ended September 30, 2024</w:t>
      </w:r>
    </w:p>
    <w:p>
      <w:pPr>
        <w:spacing w:after="0" w:line="44"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51555C"/>
        </w:rPr>
        <w:t>or</w:t>
      </w:r>
    </w:p>
    <w:p>
      <w:pPr>
        <w:spacing w:after="0" w:line="123"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20"/>
          <w:szCs w:val="20"/>
          <w:color w:val="51555C"/>
        </w:rPr>
      </w:pPr>
      <w:r>
        <w:rPr>
          <w:rFonts w:ascii="Calibri" w:cs="Calibri" w:eastAsia="Calibri" w:hAnsi="Calibri"/>
          <w:sz w:val="16"/>
          <w:szCs w:val="16"/>
          <w:b w:val="1"/>
          <w:bCs w:val="1"/>
          <w:color w:val="51555C"/>
        </w:rPr>
        <w:t>TRANSITION REPORT PURSUANT TO SECTION 13 OR 15(d) OF THE SECURITIES EXCHANGE ACT OF 1934</w:t>
      </w:r>
    </w:p>
    <w:p>
      <w:pPr>
        <w:spacing w:after="0" w:line="75" w:lineRule="exact"/>
        <w:rPr>
          <w:sz w:val="24"/>
          <w:szCs w:val="24"/>
          <w:color w:val="auto"/>
        </w:rPr>
      </w:pPr>
    </w:p>
    <w:p>
      <w:pPr>
        <w:ind w:left="700"/>
        <w:spacing w:after="0"/>
        <w:tabs>
          <w:tab w:leader="none" w:pos="3420" w:val="left"/>
          <w:tab w:leader="none" w:pos="4320" w:val="left"/>
        </w:tabs>
        <w:rPr>
          <w:sz w:val="20"/>
          <w:szCs w:val="20"/>
          <w:color w:val="auto"/>
        </w:rPr>
      </w:pPr>
      <w:r>
        <w:rPr>
          <w:rFonts w:ascii="Calibri" w:cs="Calibri" w:eastAsia="Calibri" w:hAnsi="Calibri"/>
          <w:sz w:val="16"/>
          <w:szCs w:val="16"/>
          <w:color w:val="51555C"/>
        </w:rPr>
        <w:t>For the transiton period from</w:t>
      </w:r>
      <w:r>
        <w:rPr>
          <w:sz w:val="20"/>
          <w:szCs w:val="20"/>
          <w:color w:val="auto"/>
        </w:rPr>
        <w:tab/>
      </w:r>
      <w:r>
        <w:rPr>
          <w:rFonts w:ascii="Calibri" w:cs="Calibri" w:eastAsia="Calibri" w:hAnsi="Calibri"/>
          <w:sz w:val="16"/>
          <w:szCs w:val="16"/>
          <w:color w:val="51555C"/>
        </w:rPr>
        <w:t>to</w:t>
      </w:r>
      <w:r>
        <w:rPr>
          <w:sz w:val="20"/>
          <w:szCs w:val="20"/>
          <w:color w:val="auto"/>
        </w:rPr>
        <w:tab/>
      </w:r>
      <w:r>
        <w:rPr>
          <w:rFonts w:ascii="Calibri" w:cs="Calibri" w:eastAsia="Calibri" w:hAnsi="Calibri"/>
          <w:sz w:val="15"/>
          <w:szCs w:val="15"/>
          <w:color w:val="51555C"/>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1713230</wp:posOffset>
            </wp:positionH>
            <wp:positionV relativeFrom="paragraph">
              <wp:posOffset>-16510</wp:posOffset>
            </wp:positionV>
            <wp:extent cx="1040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Calibri" w:cs="Calibri" w:eastAsia="Calibri" w:hAnsi="Calibri"/>
          <w:sz w:val="16"/>
          <w:szCs w:val="16"/>
          <w:color w:val="51555C"/>
        </w:rPr>
        <w:t xml:space="preserve">Commission fle number: </w:t>
      </w:r>
      <w:r>
        <w:rPr>
          <w:rFonts w:ascii="Calibri" w:cs="Calibri" w:eastAsia="Calibri" w:hAnsi="Calibri"/>
          <w:sz w:val="16"/>
          <w:szCs w:val="16"/>
          <w:b w:val="1"/>
          <w:bCs w:val="1"/>
          <w:color w:val="51555C"/>
        </w:rPr>
        <w:t>000-50600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172085</wp:posOffset>
            </wp:positionV>
            <wp:extent cx="2451735"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Calibri" w:cs="Calibri" w:eastAsia="Calibri" w:hAnsi="Calibri"/>
          <w:sz w:val="36"/>
          <w:szCs w:val="36"/>
          <w:b w:val="1"/>
          <w:bCs w:val="1"/>
          <w:color w:val="51555C"/>
        </w:rPr>
        <w:t>Blackbaud, Inc.</w:t>
      </w:r>
    </w:p>
    <w:p>
      <w:pPr>
        <w:spacing w:after="0" w:line="27" w:lineRule="exact"/>
        <w:rPr>
          <w:sz w:val="24"/>
          <w:szCs w:val="24"/>
          <w:color w:val="auto"/>
        </w:rPr>
      </w:pPr>
    </w:p>
    <w:p>
      <w:pPr>
        <w:jc w:val="center"/>
        <w:spacing w:after="0"/>
        <w:rPr>
          <w:sz w:val="20"/>
          <w:szCs w:val="20"/>
          <w:color w:val="auto"/>
        </w:rPr>
      </w:pPr>
      <w:r>
        <w:rPr>
          <w:rFonts w:ascii="Calibri" w:cs="Calibri" w:eastAsia="Calibri" w:hAnsi="Calibri"/>
          <w:sz w:val="16"/>
          <w:szCs w:val="16"/>
          <w:color w:val="51555C"/>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p>
      <w:pPr>
        <w:spacing w:after="0" w:line="169" w:lineRule="exact"/>
        <w:rPr>
          <w:sz w:val="24"/>
          <w:szCs w:val="24"/>
          <w:color w:val="auto"/>
        </w:rPr>
      </w:pPr>
    </w:p>
    <w:p>
      <w:pPr>
        <w:ind w:left="2540"/>
        <w:spacing w:after="0"/>
        <w:rPr>
          <w:sz w:val="20"/>
          <w:szCs w:val="20"/>
          <w:color w:val="auto"/>
        </w:rPr>
      </w:pPr>
      <w:r>
        <w:rPr>
          <w:rFonts w:ascii="Calibri" w:cs="Calibri" w:eastAsia="Calibri" w:hAnsi="Calibri"/>
          <w:sz w:val="16"/>
          <w:szCs w:val="16"/>
          <w:b w:val="1"/>
          <w:bCs w:val="1"/>
          <w:color w:val="51555C"/>
        </w:rPr>
        <w:t>Delaware</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alibri" w:cs="Calibri" w:eastAsia="Calibri" w:hAnsi="Calibri"/>
          <w:sz w:val="16"/>
          <w:szCs w:val="16"/>
          <w:b w:val="1"/>
          <w:bCs w:val="1"/>
          <w:color w:val="51555C"/>
        </w:rPr>
        <w:t>11-2617163</w:t>
      </w:r>
    </w:p>
    <w:p>
      <w:pPr>
        <w:spacing w:after="0" w:line="48" w:lineRule="exact"/>
        <w:rPr>
          <w:sz w:val="24"/>
          <w:szCs w:val="24"/>
          <w:color w:val="auto"/>
        </w:rPr>
      </w:pPr>
    </w:p>
    <w:p>
      <w:pPr>
        <w:sectPr>
          <w:pgSz w:w="11900" w:h="16838" w:orient="portrait"/>
          <w:cols w:equalWidth="0" w:num="2">
            <w:col w:w="7360" w:space="720"/>
            <w:col w:w="3160"/>
          </w:cols>
          <w:pgMar w:left="320" w:top="915" w:right="339" w:bottom="1440" w:gutter="0" w:footer="0" w:header="0"/>
          <w:type w:val="continuous"/>
        </w:sectPr>
      </w:pPr>
    </w:p>
    <w:p>
      <w:pPr>
        <w:ind w:left="920"/>
        <w:spacing w:after="0"/>
        <w:rPr>
          <w:sz w:val="20"/>
          <w:szCs w:val="20"/>
          <w:color w:val="auto"/>
        </w:rPr>
      </w:pPr>
      <w:r>
        <w:rPr>
          <w:rFonts w:ascii="Calibri" w:cs="Calibri" w:eastAsia="Calibri" w:hAnsi="Calibri"/>
          <w:sz w:val="16"/>
          <w:szCs w:val="16"/>
          <w:color w:val="51555C"/>
        </w:rPr>
        <w:t>(State or other jurisdicton of incorporaton or organizaton)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6"/>
          <w:szCs w:val="16"/>
          <w:color w:val="51555C"/>
        </w:rPr>
        <w:t>(I.R.S. Employer Identfcaton No.)</w:t>
      </w:r>
    </w:p>
    <w:p>
      <w:pPr>
        <w:spacing w:after="0" w:line="102" w:lineRule="exact"/>
        <w:rPr>
          <w:sz w:val="24"/>
          <w:szCs w:val="24"/>
          <w:color w:val="auto"/>
        </w:rPr>
      </w:pPr>
    </w:p>
    <w:p>
      <w:pPr>
        <w:sectPr>
          <w:pgSz w:w="11900" w:h="16838" w:orient="portrait"/>
          <w:cols w:equalWidth="0" w:num="2">
            <w:col w:w="6620" w:space="720"/>
            <w:col w:w="3900"/>
          </w:cols>
          <w:pgMar w:left="320" w:top="915" w:right="339" w:bottom="1440" w:gutter="0" w:footer="0" w:header="0"/>
          <w:type w:val="continuous"/>
        </w:sectPr>
      </w:pPr>
    </w:p>
    <w:p>
      <w:pPr>
        <w:ind w:left="5020"/>
        <w:spacing w:after="0"/>
        <w:rPr>
          <w:sz w:val="20"/>
          <w:szCs w:val="20"/>
          <w:color w:val="auto"/>
        </w:rPr>
      </w:pPr>
      <w:r>
        <w:rPr>
          <w:rFonts w:ascii="Calibri" w:cs="Calibri" w:eastAsia="Calibri" w:hAnsi="Calibri"/>
          <w:sz w:val="16"/>
          <w:szCs w:val="16"/>
          <w:b w:val="1"/>
          <w:bCs w:val="1"/>
          <w:color w:val="51555C"/>
        </w:rPr>
        <w:t>65 Fairchild Street</w:t>
      </w:r>
    </w:p>
    <w:p>
      <w:pPr>
        <w:spacing w:after="0" w:line="7" w:lineRule="exact"/>
        <w:rPr>
          <w:sz w:val="24"/>
          <w:szCs w:val="24"/>
          <w:color w:val="auto"/>
        </w:rPr>
      </w:pPr>
    </w:p>
    <w:p>
      <w:pPr>
        <w:ind w:left="4500"/>
        <w:spacing w:after="0"/>
        <w:rPr>
          <w:sz w:val="20"/>
          <w:szCs w:val="20"/>
          <w:color w:val="auto"/>
        </w:rPr>
      </w:pPr>
      <w:r>
        <w:rPr>
          <w:rFonts w:ascii="Calibri" w:cs="Calibri" w:eastAsia="Calibri" w:hAnsi="Calibri"/>
          <w:sz w:val="16"/>
          <w:szCs w:val="16"/>
          <w:b w:val="1"/>
          <w:bCs w:val="1"/>
          <w:color w:val="51555C"/>
        </w:rPr>
        <w:t>Charleston, South Carolina 29492</w:t>
      </w:r>
    </w:p>
    <w:p>
      <w:pPr>
        <w:ind w:left="3740"/>
        <w:spacing w:after="0" w:line="232" w:lineRule="auto"/>
        <w:rPr>
          <w:sz w:val="20"/>
          <w:szCs w:val="20"/>
          <w:color w:val="auto"/>
        </w:rPr>
      </w:pPr>
      <w:r>
        <w:rPr>
          <w:rFonts w:ascii="Calibri" w:cs="Calibri" w:eastAsia="Calibri" w:hAnsi="Calibri"/>
          <w:sz w:val="16"/>
          <w:szCs w:val="16"/>
          <w:color w:val="51555C"/>
        </w:rPr>
        <w:t>(Address of principal executve ofces, including zip code)</w:t>
      </w:r>
    </w:p>
    <w:p>
      <w:pPr>
        <w:spacing w:after="0" w:line="7" w:lineRule="exact"/>
        <w:rPr>
          <w:sz w:val="24"/>
          <w:szCs w:val="24"/>
          <w:color w:val="auto"/>
        </w:rPr>
      </w:pPr>
    </w:p>
    <w:p>
      <w:pPr>
        <w:ind w:left="5120"/>
        <w:spacing w:after="0"/>
        <w:rPr>
          <w:sz w:val="20"/>
          <w:szCs w:val="20"/>
          <w:color w:val="auto"/>
        </w:rPr>
      </w:pPr>
      <w:r>
        <w:rPr>
          <w:rFonts w:ascii="Calibri" w:cs="Calibri" w:eastAsia="Calibri" w:hAnsi="Calibri"/>
          <w:sz w:val="16"/>
          <w:szCs w:val="16"/>
          <w:b w:val="1"/>
          <w:bCs w:val="1"/>
          <w:color w:val="51555C"/>
        </w:rPr>
        <w:t>(843) 216-6200</w:t>
      </w:r>
    </w:p>
    <w:p>
      <w:pPr>
        <w:jc w:val="center"/>
        <w:spacing w:after="0" w:line="232" w:lineRule="auto"/>
        <w:rPr>
          <w:sz w:val="20"/>
          <w:szCs w:val="20"/>
          <w:color w:val="auto"/>
        </w:rPr>
      </w:pPr>
      <w:r>
        <w:rPr>
          <w:rFonts w:ascii="Calibri" w:cs="Calibri" w:eastAsia="Calibri" w:hAnsi="Calibri"/>
          <w:sz w:val="16"/>
          <w:szCs w:val="16"/>
          <w:color w:val="51555C"/>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460" w:type="dxa"/>
            <w:vAlign w:val="bottom"/>
            <w:gridSpan w:val="3"/>
          </w:tcPr>
          <w:p>
            <w:pPr>
              <w:ind w:left="20"/>
              <w:spacing w:after="0"/>
              <w:rPr>
                <w:sz w:val="20"/>
                <w:szCs w:val="20"/>
                <w:color w:val="auto"/>
              </w:rPr>
            </w:pPr>
            <w:r>
              <w:rPr>
                <w:rFonts w:ascii="Calibri" w:cs="Calibri" w:eastAsia="Calibri" w:hAnsi="Calibri"/>
                <w:sz w:val="16"/>
                <w:szCs w:val="16"/>
                <w:color w:val="51555C"/>
              </w:rPr>
              <w:t>Securites Registered Pursuant to Secton 12(b) of the Act:</w:t>
            </w: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7"/>
        </w:trPr>
        <w:tc>
          <w:tcPr>
            <w:tcW w:w="1560" w:type="dxa"/>
            <w:vAlign w:val="bottom"/>
          </w:tcPr>
          <w:p>
            <w:pPr>
              <w:spacing w:after="0"/>
              <w:rPr>
                <w:sz w:val="18"/>
                <w:szCs w:val="18"/>
                <w:color w:val="auto"/>
              </w:rPr>
            </w:pPr>
          </w:p>
        </w:tc>
        <w:tc>
          <w:tcPr>
            <w:tcW w:w="2900" w:type="dxa"/>
            <w:vAlign w:val="bottom"/>
            <w:gridSpan w:val="2"/>
          </w:tcPr>
          <w:p>
            <w:pPr>
              <w:jc w:val="center"/>
              <w:ind w:right="1740"/>
              <w:spacing w:after="0"/>
              <w:rPr>
                <w:sz w:val="20"/>
                <w:szCs w:val="20"/>
                <w:color w:val="auto"/>
              </w:rPr>
            </w:pPr>
            <w:r>
              <w:rPr>
                <w:rFonts w:ascii="Calibri" w:cs="Calibri" w:eastAsia="Calibri" w:hAnsi="Calibri"/>
                <w:sz w:val="16"/>
                <w:szCs w:val="16"/>
                <w:color w:val="51555C"/>
              </w:rPr>
              <w:t>Title of Each Class</w:t>
            </w:r>
          </w:p>
        </w:tc>
        <w:tc>
          <w:tcPr>
            <w:tcW w:w="1800" w:type="dxa"/>
            <w:vAlign w:val="bottom"/>
            <w:gridSpan w:val="2"/>
          </w:tcPr>
          <w:p>
            <w:pPr>
              <w:jc w:val="center"/>
              <w:ind w:left="559"/>
              <w:spacing w:after="0"/>
              <w:rPr>
                <w:sz w:val="20"/>
                <w:szCs w:val="20"/>
                <w:color w:val="auto"/>
              </w:rPr>
            </w:pPr>
            <w:r>
              <w:rPr>
                <w:rFonts w:ascii="Calibri" w:cs="Calibri" w:eastAsia="Calibri" w:hAnsi="Calibri"/>
                <w:sz w:val="16"/>
                <w:szCs w:val="16"/>
                <w:color w:val="51555C"/>
                <w:w w:val="99"/>
              </w:rPr>
              <w:t>Trading Symbol(s)</w:t>
            </w:r>
          </w:p>
        </w:tc>
        <w:tc>
          <w:tcPr>
            <w:tcW w:w="4980" w:type="dxa"/>
            <w:vAlign w:val="bottom"/>
            <w:gridSpan w:val="3"/>
          </w:tcPr>
          <w:p>
            <w:pPr>
              <w:jc w:val="center"/>
              <w:ind w:left="739"/>
              <w:spacing w:after="0"/>
              <w:rPr>
                <w:sz w:val="20"/>
                <w:szCs w:val="20"/>
                <w:color w:val="auto"/>
              </w:rPr>
            </w:pPr>
            <w:r>
              <w:rPr>
                <w:rFonts w:ascii="Calibri" w:cs="Calibri" w:eastAsia="Calibri" w:hAnsi="Calibri"/>
                <w:sz w:val="16"/>
                <w:szCs w:val="16"/>
                <w:color w:val="51555C"/>
              </w:rPr>
              <w:t>Name of Each Exchange on which Registered</w:t>
            </w:r>
          </w:p>
        </w:tc>
      </w:tr>
      <w:tr>
        <w:trPr>
          <w:trHeight w:val="20"/>
        </w:trPr>
        <w:tc>
          <w:tcPr>
            <w:tcW w:w="1560" w:type="dxa"/>
            <w:vAlign w:val="bottom"/>
          </w:tcPr>
          <w:p>
            <w:pPr>
              <w:spacing w:after="0" w:line="20" w:lineRule="exact"/>
              <w:rPr>
                <w:sz w:val="1"/>
                <w:szCs w:val="1"/>
                <w:color w:val="auto"/>
              </w:rPr>
            </w:pPr>
          </w:p>
        </w:tc>
        <w:tc>
          <w:tcPr>
            <w:tcW w:w="1160" w:type="dxa"/>
            <w:vAlign w:val="bottom"/>
            <w:shd w:val="clear" w:color="auto" w:fill="51555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51555C"/>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20" w:type="dxa"/>
            <w:vAlign w:val="bottom"/>
            <w:shd w:val="clear" w:color="auto" w:fill="51555C"/>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0"/>
        </w:trPr>
        <w:tc>
          <w:tcPr>
            <w:tcW w:w="4460" w:type="dxa"/>
            <w:vAlign w:val="bottom"/>
            <w:gridSpan w:val="3"/>
          </w:tcPr>
          <w:p>
            <w:pPr>
              <w:jc w:val="center"/>
              <w:ind w:right="180"/>
              <w:spacing w:after="0"/>
              <w:rPr>
                <w:sz w:val="20"/>
                <w:szCs w:val="20"/>
                <w:color w:val="auto"/>
              </w:rPr>
            </w:pPr>
            <w:r>
              <w:rPr>
                <w:rFonts w:ascii="Calibri" w:cs="Calibri" w:eastAsia="Calibri" w:hAnsi="Calibri"/>
                <w:sz w:val="16"/>
                <w:szCs w:val="16"/>
                <w:b w:val="1"/>
                <w:bCs w:val="1"/>
                <w:color w:val="51555C"/>
              </w:rPr>
              <w:t>Common Stock, $0.001 Par Value</w:t>
            </w:r>
          </w:p>
        </w:tc>
        <w:tc>
          <w:tcPr>
            <w:tcW w:w="6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Calibri" w:cs="Calibri" w:eastAsia="Calibri" w:hAnsi="Calibri"/>
                <w:sz w:val="16"/>
                <w:szCs w:val="16"/>
                <w:b w:val="1"/>
                <w:bCs w:val="1"/>
                <w:color w:val="51555C"/>
              </w:rPr>
              <w:t>BLKB</w:t>
            </w:r>
          </w:p>
        </w:tc>
        <w:tc>
          <w:tcPr>
            <w:tcW w:w="1440" w:type="dxa"/>
            <w:vAlign w:val="bottom"/>
          </w:tcPr>
          <w:p>
            <w:pPr>
              <w:spacing w:after="0"/>
              <w:rPr>
                <w:sz w:val="21"/>
                <w:szCs w:val="21"/>
                <w:color w:val="auto"/>
              </w:rPr>
            </w:pPr>
          </w:p>
        </w:tc>
        <w:tc>
          <w:tcPr>
            <w:tcW w:w="3540" w:type="dxa"/>
            <w:vAlign w:val="bottom"/>
            <w:gridSpan w:val="2"/>
          </w:tcPr>
          <w:p>
            <w:pPr>
              <w:jc w:val="center"/>
              <w:ind w:right="620"/>
              <w:spacing w:after="0"/>
              <w:rPr>
                <w:sz w:val="20"/>
                <w:szCs w:val="20"/>
                <w:color w:val="auto"/>
              </w:rPr>
            </w:pPr>
            <w:r>
              <w:rPr>
                <w:rFonts w:ascii="Calibri" w:cs="Calibri" w:eastAsia="Calibri" w:hAnsi="Calibri"/>
                <w:sz w:val="16"/>
                <w:szCs w:val="16"/>
                <w:b w:val="1"/>
                <w:bCs w:val="1"/>
                <w:color w:val="51555C"/>
              </w:rPr>
              <w:t>Nasdaq Global Select Market</w:t>
            </w:r>
          </w:p>
        </w:tc>
      </w:tr>
      <w:tr>
        <w:trPr>
          <w:trHeight w:val="95"/>
        </w:trPr>
        <w:tc>
          <w:tcPr>
            <w:tcW w:w="1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bl>
    <w:p>
      <w:pPr>
        <w:spacing w:after="0" w:line="200" w:lineRule="exact"/>
        <w:rPr>
          <w:sz w:val="24"/>
          <w:szCs w:val="24"/>
          <w:color w:val="auto"/>
        </w:rPr>
      </w:pPr>
    </w:p>
    <w:p>
      <w:pPr>
        <w:spacing w:after="0" w:line="281" w:lineRule="exact"/>
        <w:rPr>
          <w:sz w:val="24"/>
          <w:szCs w:val="24"/>
          <w:color w:val="auto"/>
        </w:rPr>
      </w:pPr>
    </w:p>
    <w:p>
      <w:pPr>
        <w:jc w:val="both"/>
        <w:spacing w:after="0" w:line="250" w:lineRule="auto"/>
        <w:rPr>
          <w:sz w:val="20"/>
          <w:szCs w:val="20"/>
          <w:color w:val="auto"/>
        </w:rPr>
      </w:pPr>
      <w:r>
        <w:rPr>
          <w:rFonts w:ascii="Calibri" w:cs="Calibri" w:eastAsia="Calibri" w:hAnsi="Calibri"/>
          <w:sz w:val="16"/>
          <w:szCs w:val="16"/>
          <w:color w:val="51555C"/>
        </w:rPr>
        <w:t>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w:t>
      </w:r>
    </w:p>
    <w:p>
      <w:pPr>
        <w:spacing w:after="0" w:line="192" w:lineRule="exact"/>
        <w:rPr>
          <w:sz w:val="24"/>
          <w:szCs w:val="24"/>
          <w:color w:val="auto"/>
        </w:rPr>
      </w:pPr>
    </w:p>
    <w:p>
      <w:pPr>
        <w:spacing w:after="0" w:line="232" w:lineRule="exact"/>
        <w:rPr>
          <w:sz w:val="20"/>
          <w:szCs w:val="20"/>
          <w:color w:val="auto"/>
        </w:rPr>
      </w:pPr>
      <w:r>
        <w:rPr>
          <w:rFonts w:ascii="Calibri" w:cs="Calibri" w:eastAsia="Calibri" w:hAnsi="Calibri"/>
          <w:sz w:val="16"/>
          <w:szCs w:val="16"/>
          <w:color w:val="51555C"/>
        </w:rPr>
        <w:t xml:space="preserve">Yes </w:t>
      </w:r>
      <w:r>
        <w:rPr>
          <w:rFonts w:ascii="MS PGothic" w:cs="MS PGothic" w:eastAsia="MS PGothic" w:hAnsi="MS PGothic"/>
          <w:sz w:val="19"/>
          <w:szCs w:val="19"/>
          <w:color w:val="51555C"/>
        </w:rPr>
        <w:t>☑</w:t>
      </w:r>
      <w:r>
        <w:rPr>
          <w:rFonts w:ascii="Calibri" w:cs="Calibri" w:eastAsia="Calibri" w:hAnsi="Calibri"/>
          <w:sz w:val="16"/>
          <w:szCs w:val="16"/>
          <w:color w:val="51555C"/>
        </w:rPr>
        <w:t xml:space="preserve"> No </w:t>
      </w:r>
      <w:r>
        <w:rPr>
          <w:rFonts w:ascii="MS PGothic" w:cs="MS PGothic" w:eastAsia="MS PGothic" w:hAnsi="MS PGothic"/>
          <w:sz w:val="19"/>
          <w:szCs w:val="19"/>
          <w:color w:val="51555C"/>
        </w:rPr>
        <w:t>☐</w:t>
      </w:r>
    </w:p>
    <w:p>
      <w:pPr>
        <w:spacing w:after="0" w:line="128" w:lineRule="exact"/>
        <w:rPr>
          <w:sz w:val="24"/>
          <w:szCs w:val="24"/>
          <w:color w:val="auto"/>
        </w:rPr>
      </w:pPr>
    </w:p>
    <w:p>
      <w:pPr>
        <w:jc w:val="both"/>
        <w:ind w:right="20"/>
        <w:spacing w:after="0" w:line="235" w:lineRule="auto"/>
        <w:rPr>
          <w:sz w:val="20"/>
          <w:szCs w:val="20"/>
          <w:color w:val="auto"/>
        </w:rPr>
      </w:pPr>
      <w:r>
        <w:rPr>
          <w:rFonts w:ascii="Calibri" w:cs="Calibri" w:eastAsia="Calibri" w:hAnsi="Calibri"/>
          <w:sz w:val="16"/>
          <w:szCs w:val="16"/>
          <w:color w:val="51555C"/>
        </w:rPr>
        <w:t>Indicate by check mark whether the registrant has submited electronically every Interactve Data File required to be submited pursuant to Rule 405 of Regulaton S-T (Secton 232.405 of this chapter) during the preceding 12 months (or for such shorter period that the registrant was required to submit such fles).</w:t>
      </w:r>
    </w:p>
    <w:p>
      <w:pPr>
        <w:spacing w:after="0" w:line="232" w:lineRule="exact"/>
        <w:rPr>
          <w:sz w:val="20"/>
          <w:szCs w:val="20"/>
          <w:color w:val="auto"/>
        </w:rPr>
      </w:pPr>
      <w:r>
        <w:rPr>
          <w:rFonts w:ascii="Calibri" w:cs="Calibri" w:eastAsia="Calibri" w:hAnsi="Calibri"/>
          <w:sz w:val="16"/>
          <w:szCs w:val="16"/>
          <w:color w:val="51555C"/>
        </w:rPr>
        <w:t xml:space="preserve">Yes </w:t>
      </w:r>
      <w:r>
        <w:rPr>
          <w:rFonts w:ascii="MS PGothic" w:cs="MS PGothic" w:eastAsia="MS PGothic" w:hAnsi="MS PGothic"/>
          <w:sz w:val="19"/>
          <w:szCs w:val="19"/>
          <w:color w:val="51555C"/>
        </w:rPr>
        <w:t>☑</w:t>
      </w:r>
      <w:r>
        <w:rPr>
          <w:rFonts w:ascii="Calibri" w:cs="Calibri" w:eastAsia="Calibri" w:hAnsi="Calibri"/>
          <w:sz w:val="16"/>
          <w:szCs w:val="16"/>
          <w:color w:val="51555C"/>
        </w:rPr>
        <w:t xml:space="preserve"> No </w:t>
      </w:r>
      <w:r>
        <w:rPr>
          <w:rFonts w:ascii="MS PGothic" w:cs="MS PGothic" w:eastAsia="MS PGothic" w:hAnsi="MS PGothic"/>
          <w:sz w:val="19"/>
          <w:szCs w:val="19"/>
          <w:color w:val="51555C"/>
        </w:rPr>
        <w:t>☐</w:t>
      </w:r>
    </w:p>
    <w:p>
      <w:pPr>
        <w:spacing w:after="0" w:line="128" w:lineRule="exact"/>
        <w:rPr>
          <w:sz w:val="24"/>
          <w:szCs w:val="24"/>
          <w:color w:val="auto"/>
        </w:rPr>
      </w:pPr>
    </w:p>
    <w:p>
      <w:pPr>
        <w:jc w:val="both"/>
        <w:spacing w:after="0"/>
        <w:rPr>
          <w:sz w:val="20"/>
          <w:szCs w:val="20"/>
          <w:color w:val="auto"/>
        </w:rPr>
      </w:pPr>
      <w:r>
        <w:rPr>
          <w:rFonts w:ascii="Calibri" w:cs="Calibri" w:eastAsia="Calibri" w:hAnsi="Calibri"/>
          <w:sz w:val="16"/>
          <w:szCs w:val="16"/>
          <w:color w:val="51555C"/>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248" w:lineRule="exact"/>
        <w:rPr>
          <w:sz w:val="24"/>
          <w:szCs w:val="24"/>
          <w:color w:val="auto"/>
        </w:rPr>
      </w:pPr>
    </w:p>
    <w:tbl>
      <w:tblPr>
        <w:tblLayout w:type="fixed"/>
        <w:tblInd w:w="20" w:type="dxa"/>
        <w:tblCellMar>
          <w:top w:w="0" w:type="dxa"/>
          <w:left w:w="0" w:type="dxa"/>
          <w:bottom w:w="0" w:type="dxa"/>
          <w:right w:w="0" w:type="dxa"/>
        </w:tblCellMar>
      </w:tblPr>
      <w:tr>
        <w:trPr>
          <w:trHeight w:val="297"/>
        </w:trPr>
        <w:tc>
          <w:tcPr>
            <w:tcW w:w="1960" w:type="dxa"/>
            <w:vAlign w:val="bottom"/>
          </w:tcPr>
          <w:p>
            <w:pPr>
              <w:spacing w:after="0"/>
              <w:rPr>
                <w:sz w:val="20"/>
                <w:szCs w:val="20"/>
                <w:color w:val="auto"/>
              </w:rPr>
            </w:pPr>
            <w:r>
              <w:rPr>
                <w:rFonts w:ascii="Calibri" w:cs="Calibri" w:eastAsia="Calibri" w:hAnsi="Calibri"/>
                <w:sz w:val="16"/>
                <w:szCs w:val="16"/>
                <w:color w:val="51555C"/>
              </w:rPr>
              <w:t>Large accelerated fler</w:t>
            </w:r>
          </w:p>
        </w:tc>
        <w:tc>
          <w:tcPr>
            <w:tcW w:w="3440" w:type="dxa"/>
            <w:vAlign w:val="bottom"/>
          </w:tcPr>
          <w:p>
            <w:pPr>
              <w:ind w:left="520"/>
              <w:spacing w:after="0" w:line="201" w:lineRule="exact"/>
              <w:rPr>
                <w:sz w:val="20"/>
                <w:szCs w:val="20"/>
                <w:color w:val="auto"/>
              </w:rPr>
            </w:pPr>
            <w:r>
              <w:rPr>
                <w:rFonts w:ascii="MS PGothic" w:cs="MS PGothic" w:eastAsia="MS PGothic" w:hAnsi="MS PGothic"/>
                <w:sz w:val="20"/>
                <w:szCs w:val="20"/>
                <w:color w:val="51555C"/>
              </w:rPr>
              <w:t>☑</w:t>
            </w:r>
          </w:p>
        </w:tc>
        <w:tc>
          <w:tcPr>
            <w:tcW w:w="5040" w:type="dxa"/>
            <w:vAlign w:val="bottom"/>
          </w:tcPr>
          <w:p>
            <w:pPr>
              <w:ind w:left="2740"/>
              <w:spacing w:after="0"/>
              <w:rPr>
                <w:sz w:val="20"/>
                <w:szCs w:val="20"/>
                <w:color w:val="auto"/>
              </w:rPr>
            </w:pPr>
            <w:r>
              <w:rPr>
                <w:rFonts w:ascii="Calibri" w:cs="Calibri" w:eastAsia="Calibri" w:hAnsi="Calibri"/>
                <w:sz w:val="16"/>
                <w:szCs w:val="16"/>
                <w:color w:val="51555C"/>
              </w:rPr>
              <w:t>Accelerated fler</w:t>
            </w:r>
          </w:p>
        </w:tc>
        <w:tc>
          <w:tcPr>
            <w:tcW w:w="700" w:type="dxa"/>
            <w:vAlign w:val="bottom"/>
          </w:tcPr>
          <w:p>
            <w:pPr>
              <w:ind w:left="520"/>
              <w:spacing w:after="0" w:line="201" w:lineRule="exact"/>
              <w:rPr>
                <w:sz w:val="20"/>
                <w:szCs w:val="20"/>
                <w:color w:val="auto"/>
              </w:rPr>
            </w:pPr>
            <w:r>
              <w:rPr>
                <w:rFonts w:ascii="MS PGothic" w:cs="MS PGothic" w:eastAsia="MS PGothic" w:hAnsi="MS PGothic"/>
                <w:sz w:val="20"/>
                <w:szCs w:val="20"/>
                <w:color w:val="51555C"/>
                <w:w w:val="79"/>
              </w:rPr>
              <w:t>☐</w:t>
            </w:r>
          </w:p>
        </w:tc>
      </w:tr>
      <w:tr>
        <w:trPr>
          <w:trHeight w:val="297"/>
        </w:trPr>
        <w:tc>
          <w:tcPr>
            <w:tcW w:w="1960" w:type="dxa"/>
            <w:vAlign w:val="bottom"/>
          </w:tcPr>
          <w:p>
            <w:pPr>
              <w:spacing w:after="0"/>
              <w:rPr>
                <w:sz w:val="20"/>
                <w:szCs w:val="20"/>
                <w:color w:val="auto"/>
              </w:rPr>
            </w:pPr>
            <w:r>
              <w:rPr>
                <w:rFonts w:ascii="Calibri" w:cs="Calibri" w:eastAsia="Calibri" w:hAnsi="Calibri"/>
                <w:sz w:val="16"/>
                <w:szCs w:val="16"/>
                <w:color w:val="51555C"/>
              </w:rPr>
              <w:t>Non-accelerated fler</w:t>
            </w:r>
          </w:p>
        </w:tc>
        <w:tc>
          <w:tcPr>
            <w:tcW w:w="3440" w:type="dxa"/>
            <w:vAlign w:val="bottom"/>
          </w:tcPr>
          <w:p>
            <w:pPr>
              <w:ind w:left="520"/>
              <w:spacing w:after="0" w:line="201" w:lineRule="exact"/>
              <w:rPr>
                <w:sz w:val="20"/>
                <w:szCs w:val="20"/>
                <w:color w:val="auto"/>
              </w:rPr>
            </w:pPr>
            <w:r>
              <w:rPr>
                <w:rFonts w:ascii="MS PGothic" w:cs="MS PGothic" w:eastAsia="MS PGothic" w:hAnsi="MS PGothic"/>
                <w:sz w:val="20"/>
                <w:szCs w:val="20"/>
                <w:color w:val="51555C"/>
              </w:rPr>
              <w:t>☐</w:t>
            </w:r>
          </w:p>
        </w:tc>
        <w:tc>
          <w:tcPr>
            <w:tcW w:w="5040" w:type="dxa"/>
            <w:vAlign w:val="bottom"/>
          </w:tcPr>
          <w:p>
            <w:pPr>
              <w:ind w:left="2740"/>
              <w:spacing w:after="0"/>
              <w:rPr>
                <w:sz w:val="20"/>
                <w:szCs w:val="20"/>
                <w:color w:val="auto"/>
              </w:rPr>
            </w:pPr>
            <w:r>
              <w:rPr>
                <w:rFonts w:ascii="Calibri" w:cs="Calibri" w:eastAsia="Calibri" w:hAnsi="Calibri"/>
                <w:sz w:val="16"/>
                <w:szCs w:val="16"/>
                <w:color w:val="51555C"/>
              </w:rPr>
              <w:t>Smaller reportng company</w:t>
            </w:r>
          </w:p>
        </w:tc>
        <w:tc>
          <w:tcPr>
            <w:tcW w:w="700" w:type="dxa"/>
            <w:vAlign w:val="bottom"/>
          </w:tcPr>
          <w:p>
            <w:pPr>
              <w:ind w:left="520"/>
              <w:spacing w:after="0" w:line="201" w:lineRule="exact"/>
              <w:rPr>
                <w:sz w:val="20"/>
                <w:szCs w:val="20"/>
                <w:color w:val="auto"/>
              </w:rPr>
            </w:pPr>
            <w:r>
              <w:rPr>
                <w:rFonts w:ascii="MS PGothic" w:cs="MS PGothic" w:eastAsia="MS PGothic" w:hAnsi="MS PGothic"/>
                <w:sz w:val="20"/>
                <w:szCs w:val="20"/>
                <w:color w:val="51555C"/>
                <w:w w:val="79"/>
              </w:rPr>
              <w:t>☐</w:t>
            </w:r>
          </w:p>
        </w:tc>
      </w:tr>
      <w:tr>
        <w:trPr>
          <w:trHeight w:val="334"/>
        </w:trPr>
        <w:tc>
          <w:tcPr>
            <w:tcW w:w="19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040" w:type="dxa"/>
            <w:vAlign w:val="bottom"/>
          </w:tcPr>
          <w:p>
            <w:pPr>
              <w:ind w:left="2740"/>
              <w:spacing w:after="0"/>
              <w:rPr>
                <w:sz w:val="20"/>
                <w:szCs w:val="20"/>
                <w:color w:val="auto"/>
              </w:rPr>
            </w:pPr>
            <w:r>
              <w:rPr>
                <w:rFonts w:ascii="Calibri" w:cs="Calibri" w:eastAsia="Calibri" w:hAnsi="Calibri"/>
                <w:sz w:val="16"/>
                <w:szCs w:val="16"/>
                <w:color w:val="51555C"/>
              </w:rPr>
              <w:t>Emerging growth company</w:t>
            </w:r>
          </w:p>
        </w:tc>
        <w:tc>
          <w:tcPr>
            <w:tcW w:w="700" w:type="dxa"/>
            <w:vAlign w:val="bottom"/>
          </w:tcPr>
          <w:p>
            <w:pPr>
              <w:ind w:left="520"/>
              <w:spacing w:after="0" w:line="201" w:lineRule="exact"/>
              <w:rPr>
                <w:sz w:val="20"/>
                <w:szCs w:val="20"/>
                <w:color w:val="auto"/>
              </w:rPr>
            </w:pPr>
            <w:r>
              <w:rPr>
                <w:rFonts w:ascii="MS PGothic" w:cs="MS PGothic" w:eastAsia="MS PGothic" w:hAnsi="MS PGothic"/>
                <w:sz w:val="20"/>
                <w:szCs w:val="20"/>
                <w:color w:val="51555C"/>
                <w:w w:val="79"/>
              </w:rPr>
              <w:t>☐</w:t>
            </w:r>
          </w:p>
        </w:tc>
      </w:tr>
    </w:tbl>
    <w:p>
      <w:pPr>
        <w:spacing w:after="0" w:line="67" w:lineRule="exact"/>
        <w:rPr>
          <w:sz w:val="24"/>
          <w:szCs w:val="24"/>
          <w:color w:val="auto"/>
        </w:rPr>
      </w:pPr>
    </w:p>
    <w:p>
      <w:pPr>
        <w:spacing w:after="0" w:line="244" w:lineRule="exact"/>
        <w:rPr>
          <w:sz w:val="20"/>
          <w:szCs w:val="20"/>
          <w:color w:val="auto"/>
        </w:rPr>
      </w:pPr>
      <w:r>
        <w:rPr>
          <w:rFonts w:ascii="Calibri" w:cs="Calibri" w:eastAsia="Calibri" w:hAnsi="Calibri"/>
          <w:sz w:val="16"/>
          <w:szCs w:val="16"/>
          <w:color w:val="51555C"/>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9"/>
          <w:szCs w:val="19"/>
          <w:color w:val="51555C"/>
        </w:rPr>
        <w:t>☐</w:t>
      </w:r>
    </w:p>
    <w:p>
      <w:pPr>
        <w:spacing w:after="0" w:line="79" w:lineRule="exact"/>
        <w:rPr>
          <w:sz w:val="24"/>
          <w:szCs w:val="24"/>
          <w:color w:val="auto"/>
        </w:rPr>
      </w:pPr>
    </w:p>
    <w:p>
      <w:pPr>
        <w:spacing w:after="0"/>
        <w:rPr>
          <w:sz w:val="20"/>
          <w:szCs w:val="20"/>
          <w:color w:val="auto"/>
        </w:rPr>
      </w:pPr>
      <w:r>
        <w:rPr>
          <w:rFonts w:ascii="Calibri" w:cs="Calibri" w:eastAsia="Calibri" w:hAnsi="Calibri"/>
          <w:sz w:val="16"/>
          <w:szCs w:val="16"/>
          <w:color w:val="51555C"/>
        </w:rPr>
        <w:t>Indicate by check mark whether registrant is a shell company (as defned in Rule 12b-2 of the Exchange Act).</w:t>
      </w:r>
    </w:p>
    <w:p>
      <w:pPr>
        <w:spacing w:after="0" w:line="232" w:lineRule="exact"/>
        <w:rPr>
          <w:sz w:val="20"/>
          <w:szCs w:val="20"/>
          <w:color w:val="auto"/>
        </w:rPr>
      </w:pPr>
      <w:r>
        <w:rPr>
          <w:rFonts w:ascii="Calibri" w:cs="Calibri" w:eastAsia="Calibri" w:hAnsi="Calibri"/>
          <w:sz w:val="16"/>
          <w:szCs w:val="16"/>
          <w:color w:val="51555C"/>
        </w:rPr>
        <w:t xml:space="preserve">Yes </w:t>
      </w:r>
      <w:r>
        <w:rPr>
          <w:rFonts w:ascii="MS PGothic" w:cs="MS PGothic" w:eastAsia="MS PGothic" w:hAnsi="MS PGothic"/>
          <w:sz w:val="19"/>
          <w:szCs w:val="19"/>
          <w:color w:val="51555C"/>
        </w:rPr>
        <w:t>☐</w:t>
      </w:r>
      <w:r>
        <w:rPr>
          <w:rFonts w:ascii="Calibri" w:cs="Calibri" w:eastAsia="Calibri" w:hAnsi="Calibri"/>
          <w:sz w:val="16"/>
          <w:szCs w:val="16"/>
          <w:color w:val="51555C"/>
        </w:rPr>
        <w:t xml:space="preserve"> No </w:t>
      </w:r>
      <w:r>
        <w:rPr>
          <w:rFonts w:ascii="MS PGothic" w:cs="MS PGothic" w:eastAsia="MS PGothic" w:hAnsi="MS PGothic"/>
          <w:sz w:val="19"/>
          <w:szCs w:val="19"/>
          <w:color w:val="51555C"/>
        </w:rPr>
        <w:t>☑</w:t>
      </w:r>
    </w:p>
    <w:p>
      <w:pPr>
        <w:spacing w:after="0" w:line="126" w:lineRule="exact"/>
        <w:rPr>
          <w:sz w:val="24"/>
          <w:szCs w:val="24"/>
          <w:color w:val="auto"/>
        </w:rPr>
      </w:pPr>
    </w:p>
    <w:p>
      <w:pPr>
        <w:spacing w:after="0"/>
        <w:rPr>
          <w:sz w:val="20"/>
          <w:szCs w:val="20"/>
          <w:color w:val="auto"/>
        </w:rPr>
      </w:pPr>
      <w:r>
        <w:rPr>
          <w:rFonts w:ascii="Calibri" w:cs="Calibri" w:eastAsia="Calibri" w:hAnsi="Calibri"/>
          <w:sz w:val="16"/>
          <w:szCs w:val="16"/>
          <w:color w:val="51555C"/>
        </w:rPr>
        <w:t>The number of shares of the registrant’s Common Stock outstanding as of October 28, 2024 was 50,717,678.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40"/>
          <w:szCs w:val="40"/>
          <w:b w:val="1"/>
          <w:bCs w:val="1"/>
          <w:color w:val="50535A"/>
        </w:rPr>
        <w:t>TABLE OF CONTENTS</w:t>
      </w:r>
    </w:p>
    <w:p>
      <w:pPr>
        <w:spacing w:after="0" w:line="219" w:lineRule="exact"/>
        <w:rPr>
          <w:sz w:val="20"/>
          <w:szCs w:val="20"/>
          <w:color w:val="auto"/>
        </w:rPr>
      </w:pPr>
    </w:p>
    <w:p>
      <w:pPr>
        <w:ind w:left="20"/>
        <w:spacing w:after="0"/>
        <w:rPr>
          <w:sz w:val="20"/>
          <w:szCs w:val="20"/>
          <w:color w:val="auto"/>
        </w:rPr>
      </w:pPr>
      <w:r>
        <w:rPr>
          <w:rFonts w:ascii="Calibri" w:cs="Calibri" w:eastAsia="Calibri" w:hAnsi="Calibri"/>
          <w:sz w:val="20"/>
          <w:szCs w:val="20"/>
          <w:b w:val="1"/>
          <w:bCs w:val="1"/>
          <w:color w:val="004054"/>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06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16" w:lineRule="exact"/>
        <w:rPr>
          <w:sz w:val="20"/>
          <w:szCs w:val="20"/>
          <w:color w:val="auto"/>
        </w:rPr>
      </w:pPr>
    </w:p>
    <w:p>
      <w:pPr>
        <w:ind w:left="20"/>
        <w:spacing w:after="0"/>
        <w:tabs>
          <w:tab w:leader="none" w:pos="1060" w:val="left"/>
        </w:tabs>
        <w:rPr>
          <w:sz w:val="20"/>
          <w:szCs w:val="20"/>
          <w:color w:val="auto"/>
        </w:rPr>
      </w:pPr>
      <w:r>
        <w:rPr>
          <w:rFonts w:ascii="Calibri" w:cs="Calibri" w:eastAsia="Calibri" w:hAnsi="Calibri"/>
          <w:sz w:val="20"/>
          <w:szCs w:val="20"/>
          <w:b w:val="1"/>
          <w:bCs w:val="1"/>
          <w:color w:val="004054"/>
        </w:rPr>
        <w:t>PART I.</w:t>
      </w:r>
      <w:r>
        <w:rPr>
          <w:sz w:val="20"/>
          <w:szCs w:val="20"/>
          <w:color w:val="auto"/>
        </w:rPr>
        <w:tab/>
      </w:r>
      <w:r>
        <w:rPr>
          <w:rFonts w:ascii="Calibri" w:cs="Calibri" w:eastAsia="Calibri" w:hAnsi="Calibri"/>
          <w:sz w:val="19"/>
          <w:szCs w:val="19"/>
          <w:b w:val="1"/>
          <w:bCs w:val="1"/>
          <w:color w:val="004054"/>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06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94" w:lineRule="exact"/>
        <w:rPr>
          <w:sz w:val="20"/>
          <w:szCs w:val="20"/>
          <w:color w:val="auto"/>
        </w:rPr>
      </w:pPr>
    </w:p>
    <w:p>
      <w:pPr>
        <w:ind w:left="20"/>
        <w:spacing w:after="0"/>
        <w:tabs>
          <w:tab w:leader="none" w:pos="1060" w:val="left"/>
        </w:tabs>
        <w:rPr>
          <w:sz w:val="20"/>
          <w:szCs w:val="20"/>
          <w:color w:val="auto"/>
        </w:rPr>
      </w:pPr>
      <w:r>
        <w:rPr>
          <w:rFonts w:ascii="Calibri" w:cs="Calibri" w:eastAsia="Calibri" w:hAnsi="Calibri"/>
          <w:sz w:val="18"/>
          <w:szCs w:val="18"/>
          <w:color w:val="51555C"/>
        </w:rPr>
        <w:t>Item 1.</w:t>
      </w:r>
      <w:r>
        <w:rPr>
          <w:sz w:val="20"/>
          <w:szCs w:val="20"/>
          <w:color w:val="auto"/>
        </w:rPr>
        <w:tab/>
      </w:r>
      <w:r>
        <w:rPr>
          <w:rFonts w:ascii="Calibri" w:cs="Calibri" w:eastAsia="Calibri" w:hAnsi="Calibri"/>
          <w:sz w:val="17"/>
          <w:szCs w:val="17"/>
          <w:color w:val="51555C"/>
        </w:rPr>
        <w:t>Financial statements</w:t>
      </w:r>
    </w:p>
    <w:p>
      <w:pPr>
        <w:spacing w:after="0" w:line="50" w:lineRule="exact"/>
        <w:rPr>
          <w:sz w:val="20"/>
          <w:szCs w:val="20"/>
          <w:color w:val="auto"/>
        </w:rPr>
      </w:pPr>
    </w:p>
    <w:p>
      <w:pPr>
        <w:ind w:left="1240"/>
        <w:spacing w:after="0"/>
        <w:rPr>
          <w:sz w:val="20"/>
          <w:szCs w:val="20"/>
          <w:color w:val="auto"/>
        </w:rPr>
      </w:pPr>
      <w:r>
        <w:rPr>
          <w:rFonts w:ascii="Calibri" w:cs="Calibri" w:eastAsia="Calibri" w:hAnsi="Calibri"/>
          <w:sz w:val="18"/>
          <w:szCs w:val="18"/>
          <w:color w:val="51555C"/>
        </w:rPr>
        <w:t>Condensed Consolidated Balance Sheets (Unaudited)</w:t>
      </w:r>
    </w:p>
    <w:p>
      <w:pPr>
        <w:spacing w:after="0" w:line="109" w:lineRule="exact"/>
        <w:rPr>
          <w:sz w:val="20"/>
          <w:szCs w:val="20"/>
          <w:color w:val="auto"/>
        </w:rPr>
      </w:pPr>
    </w:p>
    <w:p>
      <w:pPr>
        <w:ind w:left="1240"/>
        <w:spacing w:after="0"/>
        <w:rPr>
          <w:sz w:val="20"/>
          <w:szCs w:val="20"/>
          <w:color w:val="auto"/>
        </w:rPr>
      </w:pPr>
      <w:r>
        <w:rPr>
          <w:rFonts w:ascii="Calibri" w:cs="Calibri" w:eastAsia="Calibri" w:hAnsi="Calibri"/>
          <w:sz w:val="17"/>
          <w:szCs w:val="17"/>
          <w:color w:val="51555C"/>
        </w:rPr>
        <w:t>Condensed Consolidated Statements of Comprehensive Income (Loss) (Unaudited)</w:t>
      </w:r>
    </w:p>
    <w:p>
      <w:pPr>
        <w:spacing w:after="0" w:line="112" w:lineRule="exact"/>
        <w:rPr>
          <w:sz w:val="20"/>
          <w:szCs w:val="20"/>
          <w:color w:val="auto"/>
        </w:rPr>
      </w:pPr>
    </w:p>
    <w:p>
      <w:pPr>
        <w:ind w:left="1240"/>
        <w:spacing w:after="0"/>
        <w:rPr>
          <w:sz w:val="20"/>
          <w:szCs w:val="20"/>
          <w:color w:val="auto"/>
        </w:rPr>
      </w:pPr>
      <w:r>
        <w:rPr>
          <w:rFonts w:ascii="Calibri" w:cs="Calibri" w:eastAsia="Calibri" w:hAnsi="Calibri"/>
          <w:sz w:val="18"/>
          <w:szCs w:val="18"/>
          <w:color w:val="51555C"/>
        </w:rPr>
        <w:t>Condensed Consolidated Statements of Cash Flows (Unaudited)</w:t>
      </w:r>
    </w:p>
    <w:p>
      <w:pPr>
        <w:spacing w:after="0" w:line="104" w:lineRule="exact"/>
        <w:rPr>
          <w:sz w:val="20"/>
          <w:szCs w:val="20"/>
          <w:color w:val="auto"/>
        </w:rPr>
      </w:pPr>
    </w:p>
    <w:p>
      <w:pPr>
        <w:ind w:left="1240"/>
        <w:spacing w:after="0"/>
        <w:rPr>
          <w:sz w:val="20"/>
          <w:szCs w:val="20"/>
          <w:color w:val="auto"/>
        </w:rPr>
      </w:pPr>
      <w:r>
        <w:rPr>
          <w:rFonts w:ascii="Calibri" w:cs="Calibri" w:eastAsia="Calibri" w:hAnsi="Calibri"/>
          <w:sz w:val="18"/>
          <w:szCs w:val="18"/>
          <w:color w:val="51555C"/>
        </w:rPr>
        <w:t>Condensed Consolidated Statements of Stockholders’ Equity (Unaudited)</w:t>
      </w:r>
    </w:p>
    <w:p>
      <w:pPr>
        <w:spacing w:after="0" w:line="104" w:lineRule="exact"/>
        <w:rPr>
          <w:sz w:val="20"/>
          <w:szCs w:val="20"/>
          <w:color w:val="auto"/>
        </w:rPr>
      </w:pPr>
    </w:p>
    <w:p>
      <w:pPr>
        <w:ind w:left="1240"/>
        <w:spacing w:after="0"/>
        <w:rPr>
          <w:sz w:val="20"/>
          <w:szCs w:val="20"/>
          <w:color w:val="auto"/>
        </w:rPr>
      </w:pPr>
      <w:r>
        <w:rPr>
          <w:rFonts w:ascii="Calibri" w:cs="Calibri" w:eastAsia="Calibri" w:hAnsi="Calibri"/>
          <w:sz w:val="18"/>
          <w:szCs w:val="18"/>
          <w:color w:val="51555C"/>
        </w:rPr>
        <w:t>Notes to Condensed Consolidated Financial Statements (Unaudited)</w:t>
      </w:r>
    </w:p>
    <w:p>
      <w:pPr>
        <w:spacing w:after="0" w:line="104" w:lineRule="exact"/>
        <w:rPr>
          <w:sz w:val="20"/>
          <w:szCs w:val="20"/>
          <w:color w:val="auto"/>
        </w:rPr>
      </w:pPr>
    </w:p>
    <w:p>
      <w:pPr>
        <w:ind w:left="20"/>
        <w:spacing w:after="0"/>
        <w:tabs>
          <w:tab w:leader="none" w:pos="1060" w:val="left"/>
        </w:tabs>
        <w:rPr>
          <w:sz w:val="20"/>
          <w:szCs w:val="20"/>
          <w:color w:val="auto"/>
        </w:rPr>
      </w:pPr>
      <w:r>
        <w:rPr>
          <w:rFonts w:ascii="Calibri" w:cs="Calibri" w:eastAsia="Calibri" w:hAnsi="Calibri"/>
          <w:sz w:val="18"/>
          <w:szCs w:val="18"/>
          <w:color w:val="51555C"/>
        </w:rPr>
        <w:t>Item 2.</w:t>
      </w:r>
      <w:r>
        <w:rPr>
          <w:sz w:val="20"/>
          <w:szCs w:val="20"/>
          <w:color w:val="auto"/>
        </w:rPr>
        <w:tab/>
      </w:r>
      <w:r>
        <w:rPr>
          <w:rFonts w:ascii="Calibri" w:cs="Calibri" w:eastAsia="Calibri" w:hAnsi="Calibri"/>
          <w:sz w:val="17"/>
          <w:szCs w:val="17"/>
          <w:color w:val="51555C"/>
        </w:rPr>
        <w:t>Management's discussion and analysis of fnancial conditon and results of operatons</w:t>
      </w:r>
    </w:p>
    <w:p>
      <w:pPr>
        <w:spacing w:after="0" w:line="104" w:lineRule="exact"/>
        <w:rPr>
          <w:sz w:val="20"/>
          <w:szCs w:val="20"/>
          <w:color w:val="auto"/>
        </w:rPr>
      </w:pPr>
    </w:p>
    <w:p>
      <w:pPr>
        <w:ind w:left="20"/>
        <w:spacing w:after="0"/>
        <w:tabs>
          <w:tab w:leader="none" w:pos="1060" w:val="left"/>
        </w:tabs>
        <w:rPr>
          <w:sz w:val="20"/>
          <w:szCs w:val="20"/>
          <w:color w:val="auto"/>
        </w:rPr>
      </w:pPr>
      <w:r>
        <w:rPr>
          <w:rFonts w:ascii="Calibri" w:cs="Calibri" w:eastAsia="Calibri" w:hAnsi="Calibri"/>
          <w:sz w:val="18"/>
          <w:szCs w:val="18"/>
          <w:color w:val="51555C"/>
        </w:rPr>
        <w:t>Item 3.</w:t>
      </w:r>
      <w:r>
        <w:rPr>
          <w:sz w:val="20"/>
          <w:szCs w:val="20"/>
          <w:color w:val="auto"/>
        </w:rPr>
        <w:tab/>
      </w:r>
      <w:r>
        <w:rPr>
          <w:rFonts w:ascii="Calibri" w:cs="Calibri" w:eastAsia="Calibri" w:hAnsi="Calibri"/>
          <w:sz w:val="17"/>
          <w:szCs w:val="17"/>
          <w:color w:val="51555C"/>
        </w:rPr>
        <w:t>Quanttatve and qualitatve disclosures about market risk</w:t>
      </w:r>
    </w:p>
    <w:p>
      <w:pPr>
        <w:spacing w:after="0" w:line="104" w:lineRule="exact"/>
        <w:rPr>
          <w:sz w:val="20"/>
          <w:szCs w:val="20"/>
          <w:color w:val="auto"/>
        </w:rPr>
      </w:pPr>
    </w:p>
    <w:p>
      <w:pPr>
        <w:ind w:left="20"/>
        <w:spacing w:after="0"/>
        <w:tabs>
          <w:tab w:leader="none" w:pos="1060" w:val="left"/>
        </w:tabs>
        <w:rPr>
          <w:sz w:val="20"/>
          <w:szCs w:val="20"/>
          <w:color w:val="auto"/>
        </w:rPr>
      </w:pPr>
      <w:r>
        <w:rPr>
          <w:rFonts w:ascii="Calibri" w:cs="Calibri" w:eastAsia="Calibri" w:hAnsi="Calibri"/>
          <w:sz w:val="18"/>
          <w:szCs w:val="18"/>
          <w:color w:val="51555C"/>
        </w:rPr>
        <w:t>Item 4.</w:t>
      </w:r>
      <w:r>
        <w:rPr>
          <w:sz w:val="20"/>
          <w:szCs w:val="20"/>
          <w:color w:val="auto"/>
        </w:rPr>
        <w:tab/>
      </w:r>
      <w:r>
        <w:rPr>
          <w:rFonts w:ascii="Calibri" w:cs="Calibri" w:eastAsia="Calibri" w:hAnsi="Calibri"/>
          <w:sz w:val="17"/>
          <w:szCs w:val="17"/>
          <w:color w:val="51555C"/>
        </w:rPr>
        <w:t>Controls and procedures</w:t>
      </w:r>
    </w:p>
    <w:p>
      <w:pPr>
        <w:spacing w:after="0" w:line="367" w:lineRule="exact"/>
        <w:rPr>
          <w:sz w:val="20"/>
          <w:szCs w:val="20"/>
          <w:color w:val="auto"/>
        </w:rPr>
      </w:pPr>
    </w:p>
    <w:p>
      <w:pPr>
        <w:ind w:left="20"/>
        <w:spacing w:after="0"/>
        <w:tabs>
          <w:tab w:leader="none" w:pos="1060" w:val="left"/>
        </w:tabs>
        <w:rPr>
          <w:sz w:val="20"/>
          <w:szCs w:val="20"/>
          <w:color w:val="auto"/>
        </w:rPr>
      </w:pPr>
      <w:r>
        <w:rPr>
          <w:rFonts w:ascii="Calibri" w:cs="Calibri" w:eastAsia="Calibri" w:hAnsi="Calibri"/>
          <w:sz w:val="20"/>
          <w:szCs w:val="20"/>
          <w:b w:val="1"/>
          <w:bCs w:val="1"/>
          <w:color w:val="004054"/>
        </w:rPr>
        <w:t>PART II.</w:t>
      </w:r>
      <w:r>
        <w:rPr>
          <w:sz w:val="20"/>
          <w:szCs w:val="20"/>
          <w:color w:val="auto"/>
        </w:rPr>
        <w:tab/>
      </w:r>
      <w:r>
        <w:rPr>
          <w:rFonts w:ascii="Calibri" w:cs="Calibri" w:eastAsia="Calibri" w:hAnsi="Calibri"/>
          <w:sz w:val="20"/>
          <w:szCs w:val="20"/>
          <w:b w:val="1"/>
          <w:bCs w:val="1"/>
          <w:color w:val="004054"/>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06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94" w:lineRule="exact"/>
        <w:rPr>
          <w:sz w:val="20"/>
          <w:szCs w:val="20"/>
          <w:color w:val="auto"/>
        </w:rPr>
      </w:pPr>
    </w:p>
    <w:p>
      <w:pPr>
        <w:ind w:left="20"/>
        <w:spacing w:after="0"/>
        <w:tabs>
          <w:tab w:leader="none" w:pos="1060" w:val="left"/>
        </w:tabs>
        <w:rPr>
          <w:sz w:val="20"/>
          <w:szCs w:val="20"/>
          <w:color w:val="auto"/>
        </w:rPr>
      </w:pPr>
      <w:r>
        <w:rPr>
          <w:rFonts w:ascii="Calibri" w:cs="Calibri" w:eastAsia="Calibri" w:hAnsi="Calibri"/>
          <w:sz w:val="18"/>
          <w:szCs w:val="18"/>
          <w:color w:val="51555C"/>
        </w:rPr>
        <w:t>Item 1.</w:t>
      </w:r>
      <w:r>
        <w:rPr>
          <w:sz w:val="20"/>
          <w:szCs w:val="20"/>
          <w:color w:val="auto"/>
        </w:rPr>
        <w:tab/>
      </w:r>
      <w:r>
        <w:rPr>
          <w:rFonts w:ascii="Calibri" w:cs="Calibri" w:eastAsia="Calibri" w:hAnsi="Calibri"/>
          <w:sz w:val="17"/>
          <w:szCs w:val="17"/>
          <w:color w:val="51555C"/>
        </w:rPr>
        <w:t>Legal proceedings</w:t>
      </w:r>
    </w:p>
    <w:p>
      <w:pPr>
        <w:spacing w:after="0" w:line="104" w:lineRule="exact"/>
        <w:rPr>
          <w:sz w:val="20"/>
          <w:szCs w:val="20"/>
          <w:color w:val="auto"/>
        </w:rPr>
      </w:pPr>
    </w:p>
    <w:p>
      <w:pPr>
        <w:ind w:left="20"/>
        <w:spacing w:after="0"/>
        <w:tabs>
          <w:tab w:leader="none" w:pos="1060" w:val="left"/>
        </w:tabs>
        <w:rPr>
          <w:sz w:val="20"/>
          <w:szCs w:val="20"/>
          <w:color w:val="auto"/>
        </w:rPr>
      </w:pPr>
      <w:r>
        <w:rPr>
          <w:rFonts w:ascii="Calibri" w:cs="Calibri" w:eastAsia="Calibri" w:hAnsi="Calibri"/>
          <w:sz w:val="18"/>
          <w:szCs w:val="18"/>
          <w:color w:val="51555C"/>
        </w:rPr>
        <w:t>Item 1A.</w:t>
      </w:r>
      <w:r>
        <w:rPr>
          <w:sz w:val="20"/>
          <w:szCs w:val="20"/>
          <w:color w:val="auto"/>
        </w:rPr>
        <w:tab/>
      </w:r>
      <w:r>
        <w:rPr>
          <w:rFonts w:ascii="Calibri" w:cs="Calibri" w:eastAsia="Calibri" w:hAnsi="Calibri"/>
          <w:sz w:val="17"/>
          <w:szCs w:val="17"/>
          <w:color w:val="51555C"/>
        </w:rPr>
        <w:t>Risk factors</w:t>
      </w:r>
    </w:p>
    <w:p>
      <w:pPr>
        <w:spacing w:after="0" w:line="104" w:lineRule="exact"/>
        <w:rPr>
          <w:sz w:val="20"/>
          <w:szCs w:val="20"/>
          <w:color w:val="auto"/>
        </w:rPr>
      </w:pPr>
    </w:p>
    <w:p>
      <w:pPr>
        <w:ind w:left="20"/>
        <w:spacing w:after="0"/>
        <w:tabs>
          <w:tab w:leader="none" w:pos="1060" w:val="left"/>
        </w:tabs>
        <w:rPr>
          <w:sz w:val="20"/>
          <w:szCs w:val="20"/>
          <w:color w:val="auto"/>
        </w:rPr>
      </w:pPr>
      <w:r>
        <w:rPr>
          <w:rFonts w:ascii="Calibri" w:cs="Calibri" w:eastAsia="Calibri" w:hAnsi="Calibri"/>
          <w:sz w:val="18"/>
          <w:szCs w:val="18"/>
          <w:color w:val="51555C"/>
        </w:rPr>
        <w:t>Item 2.</w:t>
      </w:r>
      <w:r>
        <w:rPr>
          <w:sz w:val="20"/>
          <w:szCs w:val="20"/>
          <w:color w:val="auto"/>
        </w:rPr>
        <w:tab/>
      </w:r>
      <w:r>
        <w:rPr>
          <w:rFonts w:ascii="Calibri" w:cs="Calibri" w:eastAsia="Calibri" w:hAnsi="Calibri"/>
          <w:sz w:val="17"/>
          <w:szCs w:val="17"/>
          <w:color w:val="51555C"/>
        </w:rPr>
        <w:t>Unregistered sales of equity securites and use of proceeds</w:t>
      </w:r>
    </w:p>
    <w:p>
      <w:pPr>
        <w:spacing w:after="0" w:line="158" w:lineRule="exact"/>
        <w:rPr>
          <w:sz w:val="20"/>
          <w:szCs w:val="20"/>
          <w:color w:val="auto"/>
        </w:rPr>
      </w:pPr>
    </w:p>
    <w:p>
      <w:pPr>
        <w:ind w:left="20"/>
        <w:spacing w:after="0"/>
        <w:tabs>
          <w:tab w:leader="none" w:pos="1060" w:val="left"/>
        </w:tabs>
        <w:rPr>
          <w:sz w:val="20"/>
          <w:szCs w:val="20"/>
          <w:color w:val="auto"/>
        </w:rPr>
      </w:pPr>
      <w:r>
        <w:rPr>
          <w:rFonts w:ascii="Calibri" w:cs="Calibri" w:eastAsia="Calibri" w:hAnsi="Calibri"/>
          <w:sz w:val="18"/>
          <w:szCs w:val="18"/>
          <w:color w:val="51555C"/>
        </w:rPr>
        <w:t>Item 5.</w:t>
      </w:r>
      <w:r>
        <w:rPr>
          <w:sz w:val="20"/>
          <w:szCs w:val="20"/>
          <w:color w:val="auto"/>
        </w:rPr>
        <w:tab/>
      </w:r>
      <w:r>
        <w:rPr>
          <w:rFonts w:ascii="Calibri" w:cs="Calibri" w:eastAsia="Calibri" w:hAnsi="Calibri"/>
          <w:sz w:val="18"/>
          <w:szCs w:val="18"/>
          <w:color w:val="51555C"/>
        </w:rPr>
        <w:t>Other informaton</w:t>
      </w:r>
    </w:p>
    <w:p>
      <w:pPr>
        <w:spacing w:after="0" w:line="50" w:lineRule="exact"/>
        <w:rPr>
          <w:sz w:val="20"/>
          <w:szCs w:val="20"/>
          <w:color w:val="auto"/>
        </w:rPr>
      </w:pPr>
    </w:p>
    <w:p>
      <w:pPr>
        <w:ind w:left="20"/>
        <w:spacing w:after="0"/>
        <w:tabs>
          <w:tab w:leader="none" w:pos="1060" w:val="left"/>
        </w:tabs>
        <w:rPr>
          <w:sz w:val="20"/>
          <w:szCs w:val="20"/>
          <w:color w:val="auto"/>
        </w:rPr>
      </w:pPr>
      <w:r>
        <w:rPr>
          <w:rFonts w:ascii="Calibri" w:cs="Calibri" w:eastAsia="Calibri" w:hAnsi="Calibri"/>
          <w:sz w:val="18"/>
          <w:szCs w:val="18"/>
          <w:color w:val="51555C"/>
        </w:rPr>
        <w:t>Item 6.</w:t>
      </w:r>
      <w:r>
        <w:rPr>
          <w:sz w:val="20"/>
          <w:szCs w:val="20"/>
          <w:color w:val="auto"/>
        </w:rPr>
        <w:tab/>
      </w:r>
      <w:r>
        <w:rPr>
          <w:rFonts w:ascii="Calibri" w:cs="Calibri" w:eastAsia="Calibri" w:hAnsi="Calibri"/>
          <w:sz w:val="17"/>
          <w:szCs w:val="17"/>
          <w:color w:val="51555C"/>
        </w:rPr>
        <w:t>Exhibits</w:t>
      </w:r>
    </w:p>
    <w:p>
      <w:pPr>
        <w:spacing w:after="0" w:line="367" w:lineRule="exact"/>
        <w:rPr>
          <w:sz w:val="20"/>
          <w:szCs w:val="20"/>
          <w:color w:val="auto"/>
        </w:rPr>
      </w:pPr>
    </w:p>
    <w:p>
      <w:pPr>
        <w:ind w:left="20"/>
        <w:spacing w:after="0"/>
        <w:rPr>
          <w:sz w:val="20"/>
          <w:szCs w:val="20"/>
          <w:color w:val="auto"/>
        </w:rPr>
      </w:pPr>
      <w:r>
        <w:rPr>
          <w:rFonts w:ascii="Calibri" w:cs="Calibri" w:eastAsia="Calibri" w:hAnsi="Calibri"/>
          <w:sz w:val="20"/>
          <w:szCs w:val="20"/>
          <w:b w:val="1"/>
          <w:bCs w:val="1"/>
          <w:color w:val="004054"/>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06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004054"/>
        </w:rPr>
        <w:t>2</w:t>
      </w:r>
    </w:p>
    <w:p>
      <w:pPr>
        <w:spacing w:after="0" w:line="3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004054"/>
        </w:rPr>
        <w:t>3</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alibri" w:cs="Calibri" w:eastAsia="Calibri" w:hAnsi="Calibri"/>
          <w:sz w:val="18"/>
          <w:szCs w:val="18"/>
          <w:color w:val="auto"/>
        </w:rPr>
        <w:t>3</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4</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5</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6</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8</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26</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50</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50</w:t>
      </w:r>
    </w:p>
    <w:p>
      <w:pPr>
        <w:spacing w:after="0" w:line="32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004054"/>
        </w:rPr>
        <w:t>51</w:t>
      </w:r>
    </w:p>
    <w:p>
      <w:pPr>
        <w:spacing w:after="0" w:line="170" w:lineRule="exact"/>
        <w:rPr>
          <w:sz w:val="20"/>
          <w:szCs w:val="20"/>
          <w:color w:val="auto"/>
        </w:rPr>
      </w:pPr>
    </w:p>
    <w:p>
      <w:pPr>
        <w:spacing w:after="0"/>
        <w:rPr>
          <w:sz w:val="20"/>
          <w:szCs w:val="20"/>
          <w:color w:val="auto"/>
        </w:rPr>
      </w:pPr>
      <w:r>
        <w:rPr>
          <w:rFonts w:ascii="Calibri" w:cs="Calibri" w:eastAsia="Calibri" w:hAnsi="Calibri"/>
          <w:sz w:val="18"/>
          <w:szCs w:val="18"/>
          <w:color w:val="auto"/>
        </w:rPr>
        <w:t>51</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51</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53</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54</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55</w:t>
      </w:r>
    </w:p>
    <w:p>
      <w:pPr>
        <w:spacing w:after="0" w:line="32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004054"/>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845185</wp:posOffset>
            </wp:positionV>
            <wp:extent cx="67691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10020" w:space="720"/>
            <w:col w:w="500"/>
          </w:cols>
          <w:pgMar w:left="320" w:top="10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6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880" w:type="dxa"/>
            <w:vAlign w:val="bottom"/>
          </w:tcPr>
          <w:p>
            <w:pPr>
              <w:jc w:val="right"/>
              <w:spacing w:after="0"/>
              <w:rPr>
                <w:sz w:val="20"/>
                <w:szCs w:val="20"/>
                <w:color w:val="auto"/>
              </w:rPr>
            </w:pPr>
            <w:r>
              <w:rPr>
                <w:rFonts w:ascii="Calibri" w:cs="Calibri" w:eastAsia="Calibri" w:hAnsi="Calibri"/>
                <w:sz w:val="14"/>
                <w:szCs w:val="14"/>
                <w:color w:val="51555C"/>
              </w:rPr>
              <w:t>1</w:t>
            </w:r>
          </w:p>
        </w:tc>
      </w:tr>
      <w:tr>
        <w:trPr>
          <w:trHeight w:val="364"/>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80" w:right="780"/>
        <w:spacing w:after="0" w:line="232" w:lineRule="auto"/>
        <w:rPr>
          <w:sz w:val="20"/>
          <w:szCs w:val="20"/>
          <w:color w:val="auto"/>
        </w:rPr>
      </w:pPr>
      <w:r>
        <w:rPr>
          <w:rFonts w:ascii="Calibri" w:cs="Calibri" w:eastAsia="Calibri" w:hAnsi="Calibri"/>
          <w:sz w:val="40"/>
          <w:szCs w:val="40"/>
          <w:b w:val="1"/>
          <w:bCs w:val="1"/>
          <w:color w:val="50535A"/>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-412115</wp:posOffset>
            </wp:positionV>
            <wp:extent cx="248285" cy="248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2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This Quarterly Report on Form 10-Q, including the documents incorporated herein by reference, contains forward-looking statements that antcipate results based on our estmates, assumptons and plans that are subject to uncertainty. These "forward-looking statements" are made subject to the safe-harbor provisions of the Private Securites Litgaton Reform Act of 1995, Secton 27A of the Securites Act of 1933, as amended, and Secton 21E of the Securites Exchange Act of 1934, as amended. Forward-looking statements consist of, among other things, trend analyses, statements regarding future events, future fnancial performance, our antcipated growth, the efect of general economic and market conditons, our business strategy and our plan to build and grow our domestc and internatonal businesses, our operatng results, our ability to successfully integrate acquired businesses and technologies, the efect of foreign currency exchange rate and interest rate fuctuatons on our fnancial results, the impact of expensing stock-based compensaton, the sufciency of our capital resources, our ability to meet our ongoing debt and obligatons as they become due, cybersecurity and data protecton risks and related liabilites, and current or potental legal proceedings involving us, all of which are based on current expectatons, estmates, and forecasts, and the beliefs and assumptons of our management. Words such as “believes,” “seeks,” “expects,” “may,” “might,” “should,” “intends,” “could,” “would,” “likely,” “will,” “targets,” “plans,” “antcipates,” “aims,” “projects,” “estmates” or any variatons of such words and similar expressions are also intended to identfy such forward-looking statements. These forward-looking statements are subject to risks, uncertaintes and assumptons that are difcult to predict. Accordingly, they should not be viewed as assurances of future performance, and actual results may difer materially and adversely from those expressed in any forward-looking statements.</w:t>
      </w:r>
    </w:p>
    <w:p>
      <w:pPr>
        <w:spacing w:after="0" w:line="17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Important factors that could cause actual results to difer materially from our expectatons expressed in forward-looking statements include, but are not limited to, those summarized under “Part II, Item 1A. Risk factors” and elsewhere in this report, in our Annual Report on Form 10-K for the year ended December 31, 2023 and in our other flings made with the United States Securites &amp; Exchange Commission ("SEC"). Forward-looking statements represent our management's beliefs and assumptons only as of the date of this Quarterly Report on Form 10-Q. We undertake no obligaton to update or revise any forward-looking statements, or to update the reasons actual results could difer materially from those antcipated in any forward-looking statement, whether as a result of new informaton, future events or otherwise.</w:t>
      </w:r>
    </w:p>
    <w:p>
      <w:pPr>
        <w:spacing w:after="0" w:line="341" w:lineRule="exact"/>
        <w:rPr>
          <w:sz w:val="20"/>
          <w:szCs w:val="20"/>
          <w:color w:val="auto"/>
        </w:rPr>
      </w:pPr>
    </w:p>
    <w:p>
      <w:pPr>
        <w:ind w:left="20"/>
        <w:spacing w:after="0"/>
        <w:tabs>
          <w:tab w:leader="none" w:pos="379" w:val="left"/>
        </w:tabs>
        <w:rPr>
          <w:sz w:val="20"/>
          <w:szCs w:val="20"/>
          <w:color w:val="auto"/>
        </w:rPr>
      </w:pPr>
      <w:r>
        <w:rPr>
          <w:rFonts w:ascii="Calibri" w:cs="Calibri" w:eastAsia="Calibri" w:hAnsi="Calibri"/>
          <w:sz w:val="14"/>
          <w:szCs w:val="14"/>
          <w:color w:val="51555C"/>
        </w:rPr>
        <w:t>2</w:t>
      </w:r>
      <w:r>
        <w:rPr>
          <w:sz w:val="20"/>
          <w:szCs w:val="20"/>
          <w:color w:val="auto"/>
        </w:rPr>
        <w:tab/>
      </w:r>
      <w:r>
        <w:rPr>
          <w:sz w:val="1"/>
          <w:szCs w:val="1"/>
          <w:color w:val="auto"/>
        </w:rPr>
        <w:drawing>
          <wp:inline distT="0" distB="0" distL="0" distR="0">
            <wp:extent cx="676910" cy="1714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ind w:left="140"/>
        <w:spacing w:after="0"/>
        <w:rPr>
          <w:sz w:val="20"/>
          <w:szCs w:val="20"/>
          <w:color w:val="auto"/>
        </w:rPr>
      </w:pPr>
      <w:r>
        <w:rPr>
          <w:sz w:val="1"/>
          <w:szCs w:val="1"/>
          <w:color w:val="auto"/>
        </w:rPr>
        <w:drawing>
          <wp:inline distT="0" distB="0" distL="0" distR="0">
            <wp:extent cx="248285" cy="2489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Calibri" w:cs="Calibri" w:eastAsia="Calibri" w:hAnsi="Calibri"/>
          <w:sz w:val="40"/>
          <w:szCs w:val="40"/>
          <w:b w:val="1"/>
          <w:bCs w:val="1"/>
          <w:color w:val="50535A"/>
        </w:rPr>
        <w:t xml:space="preserve"> PART I. FINANCIAL INFORMATION</w:t>
      </w:r>
    </w:p>
    <w:p>
      <w:pPr>
        <w:spacing w:after="0" w:line="387"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 FINANCIAL STATEMENTS</w:t>
      </w:r>
    </w:p>
    <w:p>
      <w:pPr>
        <w:spacing w:after="0" w:line="213"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Condensed Consolidated Balance Sheets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50" w:type="dxa"/>
            <w:vAlign w:val="bottom"/>
            <w:shd w:val="clear" w:color="auto" w:fill="004054"/>
          </w:tcPr>
          <w:p>
            <w:pPr>
              <w:spacing w:after="0"/>
              <w:rPr>
                <w:sz w:val="16"/>
                <w:szCs w:val="16"/>
                <w:color w:val="auto"/>
              </w:rPr>
            </w:pPr>
          </w:p>
        </w:tc>
        <w:tc>
          <w:tcPr>
            <w:tcW w:w="16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16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r>
      <w:tr>
        <w:trPr>
          <w:trHeight w:val="170"/>
        </w:trPr>
        <w:tc>
          <w:tcPr>
            <w:tcW w:w="795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 except per share amounts)</w:t>
            </w:r>
          </w:p>
        </w:tc>
        <w:tc>
          <w:tcPr>
            <w:tcW w:w="16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6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r>
      <w:tr>
        <w:trPr>
          <w:trHeight w:val="74"/>
        </w:trPr>
        <w:tc>
          <w:tcPr>
            <w:tcW w:w="7950" w:type="dxa"/>
            <w:vAlign w:val="bottom"/>
            <w:shd w:val="clear" w:color="auto" w:fill="004054"/>
          </w:tcPr>
          <w:p>
            <w:pPr>
              <w:spacing w:after="0"/>
              <w:rPr>
                <w:sz w:val="6"/>
                <w:szCs w:val="6"/>
                <w:color w:val="auto"/>
              </w:rPr>
            </w:pPr>
          </w:p>
        </w:tc>
        <w:tc>
          <w:tcPr>
            <w:tcW w:w="1640" w:type="dxa"/>
            <w:vAlign w:val="bottom"/>
            <w:shd w:val="clear" w:color="auto" w:fill="004054"/>
          </w:tcPr>
          <w:p>
            <w:pPr>
              <w:spacing w:after="0"/>
              <w:rPr>
                <w:sz w:val="6"/>
                <w:szCs w:val="6"/>
                <w:color w:val="auto"/>
              </w:rPr>
            </w:pPr>
          </w:p>
        </w:tc>
        <w:tc>
          <w:tcPr>
            <w:tcW w:w="163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ectPr>
          <w:pgSz w:w="11900" w:h="16838" w:orient="portrait"/>
          <w:cols w:equalWidth="0" w:num="1">
            <w:col w:w="11240"/>
          </w:cols>
          <w:pgMar w:left="320" w:top="940" w:right="339" w:bottom="1054" w:gutter="0" w:footer="0" w:header="0"/>
        </w:sectPr>
      </w:pPr>
    </w:p>
    <w:p>
      <w:pPr>
        <w:spacing w:after="0" w:line="7"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Assets</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Cash and cash equivalents</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282575"/>
                    </a:xfrm>
                    <a:prstGeom prst="rect">
                      <a:avLst/>
                    </a:prstGeom>
                    <a:noFill/>
                  </pic:spPr>
                </pic:pic>
              </a:graphicData>
            </a:graphic>
          </wp:anchor>
        </w:drawing>
      </w:r>
    </w:p>
    <w:p>
      <w:pPr>
        <w:spacing w:after="0" w:line="30" w:lineRule="exact"/>
        <w:rPr>
          <w:sz w:val="20"/>
          <w:szCs w:val="20"/>
          <w:color w:val="auto"/>
        </w:rPr>
      </w:pPr>
    </w:p>
    <w:p>
      <w:pPr>
        <w:ind w:left="460" w:right="120"/>
        <w:spacing w:after="0" w:line="246" w:lineRule="auto"/>
        <w:rPr>
          <w:sz w:val="20"/>
          <w:szCs w:val="20"/>
          <w:color w:val="auto"/>
        </w:rPr>
      </w:pPr>
      <w:r>
        <w:rPr>
          <w:rFonts w:ascii="Calibri" w:cs="Calibri" w:eastAsia="Calibri" w:hAnsi="Calibri"/>
          <w:sz w:val="16"/>
          <w:szCs w:val="16"/>
          <w:color w:val="51555C"/>
        </w:rPr>
        <w:t>Accounts receivable, net of allowance of $6,307 and $6,907 at September 30, 2024 and December 31, 2023, respectvely</w:t>
      </w:r>
    </w:p>
    <w:p>
      <w:pPr>
        <w:spacing w:after="0" w:line="43"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Customer funds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Prepaid expenses and other current assets</w:t>
      </w:r>
    </w:p>
    <w:p>
      <w:pPr>
        <w:spacing w:after="0" w:line="48" w:lineRule="exact"/>
        <w:rPr>
          <w:sz w:val="20"/>
          <w:szCs w:val="20"/>
          <w:color w:val="auto"/>
        </w:rPr>
      </w:pPr>
    </w:p>
    <w:p>
      <w:pPr>
        <w:ind w:left="680"/>
        <w:spacing w:after="0"/>
        <w:rPr>
          <w:sz w:val="20"/>
          <w:szCs w:val="20"/>
          <w:color w:val="auto"/>
        </w:rPr>
      </w:pPr>
      <w:r>
        <w:rPr>
          <w:rFonts w:ascii="Calibri" w:cs="Calibri" w:eastAsia="Calibri" w:hAnsi="Calibri"/>
          <w:sz w:val="16"/>
          <w:szCs w:val="16"/>
          <w:color w:val="51555C"/>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1"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Property and equipment, net</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Operatng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Sofware and content development costs, net</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Intangible assets, net</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8" w:lineRule="exact"/>
        <w:rPr>
          <w:sz w:val="20"/>
          <w:szCs w:val="20"/>
          <w:color w:val="auto"/>
        </w:rPr>
      </w:pPr>
    </w:p>
    <w:p>
      <w:pPr>
        <w:ind w:left="900"/>
        <w:spacing w:after="0"/>
        <w:rPr>
          <w:sz w:val="20"/>
          <w:szCs w:val="20"/>
          <w:color w:val="auto"/>
        </w:rPr>
      </w:pPr>
      <w:r>
        <w:rPr>
          <w:rFonts w:ascii="Calibri" w:cs="Calibri" w:eastAsia="Calibri" w:hAnsi="Calibri"/>
          <w:sz w:val="16"/>
          <w:szCs w:val="16"/>
          <w:b w:val="1"/>
          <w:bCs w:val="1"/>
          <w:color w:val="51555C"/>
        </w:rPr>
        <w:t>Total assets</w:t>
      </w:r>
    </w:p>
    <w:p>
      <w:pPr>
        <w:spacing w:after="0" w:line="61"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Liabilites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Current liabilites:</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Accrued expenses and other current liabilites</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Due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Debt, current porton</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Deferred revenue, current porton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8" w:lineRule="exact"/>
        <w:rPr>
          <w:sz w:val="20"/>
          <w:szCs w:val="20"/>
          <w:color w:val="auto"/>
        </w:rPr>
      </w:pPr>
    </w:p>
    <w:p>
      <w:pPr>
        <w:ind w:left="680"/>
        <w:spacing w:after="0"/>
        <w:rPr>
          <w:sz w:val="20"/>
          <w:szCs w:val="20"/>
          <w:color w:val="auto"/>
        </w:rPr>
      </w:pPr>
      <w:r>
        <w:rPr>
          <w:rFonts w:ascii="Calibri" w:cs="Calibri" w:eastAsia="Calibri" w:hAnsi="Calibri"/>
          <w:sz w:val="16"/>
          <w:szCs w:val="16"/>
          <w:color w:val="51555C"/>
        </w:rPr>
        <w:t>Total current liabilites</w:t>
      </w:r>
    </w:p>
    <w:p>
      <w:pPr>
        <w:spacing w:after="0" w:line="61"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Debt, net of current porton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Deferred tax liability</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Deferred revenue, net of current porton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Operatng lease liabilites, net of current porton</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Other liabilites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8" w:lineRule="exact"/>
        <w:rPr>
          <w:sz w:val="20"/>
          <w:szCs w:val="20"/>
          <w:color w:val="auto"/>
        </w:rPr>
      </w:pPr>
    </w:p>
    <w:p>
      <w:pPr>
        <w:ind w:left="900"/>
        <w:spacing w:after="0"/>
        <w:rPr>
          <w:sz w:val="20"/>
          <w:szCs w:val="20"/>
          <w:color w:val="auto"/>
        </w:rPr>
      </w:pPr>
      <w:r>
        <w:rPr>
          <w:rFonts w:ascii="Calibri" w:cs="Calibri" w:eastAsia="Calibri" w:hAnsi="Calibri"/>
          <w:sz w:val="16"/>
          <w:szCs w:val="16"/>
          <w:b w:val="1"/>
          <w:bCs w:val="1"/>
          <w:color w:val="51555C"/>
        </w:rPr>
        <w:t>Total liabilites</w:t>
      </w:r>
    </w:p>
    <w:p>
      <w:pPr>
        <w:spacing w:after="0" w:line="61"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Commitments and contngencies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Stockholders’ equity:</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Preferred stock; 20,000,000 shares authorized, none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402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402590"/>
                    </a:xfrm>
                    <a:prstGeom prst="rect">
                      <a:avLst/>
                    </a:prstGeom>
                    <a:noFill/>
                  </pic:spPr>
                </pic:pic>
              </a:graphicData>
            </a:graphic>
          </wp:anchor>
        </w:drawing>
      </w:r>
    </w:p>
    <w:p>
      <w:pPr>
        <w:spacing w:after="0" w:line="29" w:lineRule="exact"/>
        <w:rPr>
          <w:sz w:val="20"/>
          <w:szCs w:val="20"/>
          <w:color w:val="auto"/>
        </w:rPr>
      </w:pPr>
    </w:p>
    <w:p>
      <w:pPr>
        <w:ind w:left="460"/>
        <w:spacing w:after="0" w:line="239" w:lineRule="auto"/>
        <w:rPr>
          <w:sz w:val="20"/>
          <w:szCs w:val="20"/>
          <w:color w:val="auto"/>
        </w:rPr>
      </w:pPr>
      <w:r>
        <w:rPr>
          <w:rFonts w:ascii="Calibri" w:cs="Calibri" w:eastAsia="Calibri" w:hAnsi="Calibri"/>
          <w:sz w:val="16"/>
          <w:szCs w:val="16"/>
          <w:color w:val="51555C"/>
        </w:rPr>
        <w:t>Common stock, $0.001 par value; 180,000,000 shares authorized, 70,955,940 and 69,188,304 shares issued at September 30, 2024 and December 31, 2023, respectvely; 50,869,218 and 53,625,440 shares outstanding at September 30, 2024 and December 31, 2023, respectvely</w:t>
      </w:r>
    </w:p>
    <w:p>
      <w:pPr>
        <w:spacing w:after="0" w:line="49"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Additonal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282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282575"/>
                    </a:xfrm>
                    <a:prstGeom prst="rect">
                      <a:avLst/>
                    </a:prstGeom>
                    <a:noFill/>
                  </pic:spPr>
                </pic:pic>
              </a:graphicData>
            </a:graphic>
          </wp:anchor>
        </w:drawing>
      </w:r>
    </w:p>
    <w:p>
      <w:pPr>
        <w:spacing w:after="0" w:line="29" w:lineRule="exact"/>
        <w:rPr>
          <w:sz w:val="20"/>
          <w:szCs w:val="20"/>
          <w:color w:val="auto"/>
        </w:rPr>
      </w:pPr>
    </w:p>
    <w:p>
      <w:pPr>
        <w:ind w:left="460" w:right="220"/>
        <w:spacing w:after="0" w:line="246" w:lineRule="auto"/>
        <w:rPr>
          <w:sz w:val="20"/>
          <w:szCs w:val="20"/>
          <w:color w:val="auto"/>
        </w:rPr>
      </w:pPr>
      <w:r>
        <w:rPr>
          <w:rFonts w:ascii="Calibri" w:cs="Calibri" w:eastAsia="Calibri" w:hAnsi="Calibri"/>
          <w:sz w:val="16"/>
          <w:szCs w:val="16"/>
          <w:color w:val="51555C"/>
        </w:rPr>
        <w:t>Treasury stock, at cost; 20,086,722 and 15,562,864 shares at September 30, 2024 and December 31, 2023, respectvely</w:t>
      </w:r>
    </w:p>
    <w:p>
      <w:pPr>
        <w:spacing w:after="0" w:line="43"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Retained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jc w:val="right"/>
              <w:ind w:right="339"/>
              <w:spacing w:after="0"/>
              <w:rPr>
                <w:sz w:val="20"/>
                <w:szCs w:val="20"/>
                <w:color w:val="auto"/>
              </w:rPr>
            </w:pPr>
            <w:r>
              <w:rPr>
                <w:rFonts w:ascii="Calibri" w:cs="Calibri" w:eastAsia="Calibri" w:hAnsi="Calibri"/>
                <w:sz w:val="16"/>
                <w:szCs w:val="16"/>
                <w:color w:val="51555C"/>
                <w:w w:val="97"/>
              </w:rPr>
              <w:t>$</w:t>
            </w: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34,633</w:t>
            </w:r>
          </w:p>
        </w:tc>
        <w:tc>
          <w:tcPr>
            <w:tcW w:w="500" w:type="dxa"/>
            <w:vAlign w:val="bottom"/>
          </w:tcPr>
          <w:p>
            <w:pPr>
              <w:jc w:val="right"/>
              <w:ind w:right="319"/>
              <w:spacing w:after="0"/>
              <w:rPr>
                <w:sz w:val="20"/>
                <w:szCs w:val="20"/>
                <w:color w:val="auto"/>
              </w:rPr>
            </w:pPr>
            <w:r>
              <w:rPr>
                <w:rFonts w:ascii="Calibri" w:cs="Calibri" w:eastAsia="Calibri" w:hAnsi="Calibri"/>
                <w:sz w:val="16"/>
                <w:szCs w:val="16"/>
                <w:color w:val="51555C"/>
                <w:w w:val="97"/>
              </w:rPr>
              <w:t>$</w:t>
            </w: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31,251</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428,095</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697,006</w:t>
            </w:r>
          </w:p>
        </w:tc>
      </w:tr>
      <w:tr>
        <w:trPr>
          <w:trHeight w:val="446"/>
        </w:trPr>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97,988</w:t>
            </w:r>
          </w:p>
        </w:tc>
        <w:tc>
          <w:tcPr>
            <w:tcW w:w="5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101,862</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7,343</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353</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87,499</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99,285</w:t>
            </w:r>
          </w:p>
        </w:tc>
      </w:tr>
      <w:tr>
        <w:trPr>
          <w:trHeight w:val="41"/>
        </w:trPr>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r>
      <w:tr>
        <w:trPr>
          <w:trHeight w:val="196"/>
        </w:trPr>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655,558</w:t>
            </w:r>
          </w:p>
        </w:tc>
        <w:tc>
          <w:tcPr>
            <w:tcW w:w="5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929,757</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95,053</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98,689</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27,522</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36,927</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169,507</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160,194</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1,056,882</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1,053,738</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536,008</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581,937</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60,444</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51,037</w:t>
            </w:r>
          </w:p>
        </w:tc>
      </w:tr>
      <w:tr>
        <w:trPr>
          <w:trHeight w:val="41"/>
        </w:trPr>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r>
      <w:tr>
        <w:trPr>
          <w:trHeight w:val="195"/>
        </w:trPr>
        <w:tc>
          <w:tcPr>
            <w:tcW w:w="520" w:type="dxa"/>
            <w:vAlign w:val="bottom"/>
          </w:tcPr>
          <w:p>
            <w:pPr>
              <w:jc w:val="right"/>
              <w:ind w:right="339"/>
              <w:spacing w:after="0"/>
              <w:rPr>
                <w:sz w:val="20"/>
                <w:szCs w:val="20"/>
                <w:color w:val="auto"/>
              </w:rPr>
            </w:pPr>
            <w:r>
              <w:rPr>
                <w:rFonts w:ascii="Calibri" w:cs="Calibri" w:eastAsia="Calibri" w:hAnsi="Calibri"/>
                <w:sz w:val="16"/>
                <w:szCs w:val="16"/>
                <w:color w:val="51555C"/>
                <w:w w:val="97"/>
              </w:rPr>
              <w:t>$</w:t>
            </w: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2,600,974</w:t>
            </w:r>
          </w:p>
        </w:tc>
        <w:tc>
          <w:tcPr>
            <w:tcW w:w="500" w:type="dxa"/>
            <w:vAlign w:val="bottom"/>
          </w:tcPr>
          <w:p>
            <w:pPr>
              <w:jc w:val="right"/>
              <w:ind w:right="319"/>
              <w:spacing w:after="0"/>
              <w:rPr>
                <w:sz w:val="20"/>
                <w:szCs w:val="20"/>
                <w:color w:val="auto"/>
              </w:rPr>
            </w:pPr>
            <w:r>
              <w:rPr>
                <w:rFonts w:ascii="Calibri" w:cs="Calibri" w:eastAsia="Calibri" w:hAnsi="Calibri"/>
                <w:sz w:val="16"/>
                <w:szCs w:val="16"/>
                <w:color w:val="51555C"/>
                <w:w w:val="97"/>
              </w:rPr>
              <w:t>$</w:t>
            </w: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2,912,279</w:t>
            </w:r>
          </w:p>
        </w:tc>
      </w:tr>
      <w:tr>
        <w:trPr>
          <w:trHeight w:val="41"/>
        </w:trPr>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r>
      <w:tr>
        <w:trPr>
          <w:trHeight w:val="668"/>
        </w:trPr>
        <w:tc>
          <w:tcPr>
            <w:tcW w:w="520" w:type="dxa"/>
            <w:vAlign w:val="bottom"/>
          </w:tcPr>
          <w:p>
            <w:pPr>
              <w:jc w:val="right"/>
              <w:ind w:right="339"/>
              <w:spacing w:after="0"/>
              <w:rPr>
                <w:sz w:val="20"/>
                <w:szCs w:val="20"/>
                <w:color w:val="auto"/>
              </w:rPr>
            </w:pPr>
            <w:r>
              <w:rPr>
                <w:rFonts w:ascii="Calibri" w:cs="Calibri" w:eastAsia="Calibri" w:hAnsi="Calibri"/>
                <w:sz w:val="16"/>
                <w:szCs w:val="16"/>
                <w:color w:val="51555C"/>
                <w:w w:val="97"/>
              </w:rPr>
              <w:t>$</w:t>
            </w: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43,983</w:t>
            </w:r>
          </w:p>
        </w:tc>
        <w:tc>
          <w:tcPr>
            <w:tcW w:w="500" w:type="dxa"/>
            <w:vAlign w:val="bottom"/>
          </w:tcPr>
          <w:p>
            <w:pPr>
              <w:jc w:val="right"/>
              <w:ind w:right="319"/>
              <w:spacing w:after="0"/>
              <w:rPr>
                <w:sz w:val="20"/>
                <w:szCs w:val="20"/>
                <w:color w:val="auto"/>
              </w:rPr>
            </w:pPr>
            <w:r>
              <w:rPr>
                <w:rFonts w:ascii="Calibri" w:cs="Calibri" w:eastAsia="Calibri" w:hAnsi="Calibri"/>
                <w:sz w:val="16"/>
                <w:szCs w:val="16"/>
                <w:color w:val="51555C"/>
                <w:w w:val="97"/>
              </w:rPr>
              <w:t>$</w:t>
            </w: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25,184</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48,745</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64,322</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434,093</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695,842</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23,830</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19,259</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411,554</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392,530</w:t>
            </w:r>
          </w:p>
        </w:tc>
      </w:tr>
      <w:tr>
        <w:trPr>
          <w:trHeight w:val="41"/>
        </w:trPr>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r>
      <w:tr>
        <w:trPr>
          <w:trHeight w:val="195"/>
        </w:trPr>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962,205</w:t>
            </w:r>
          </w:p>
        </w:tc>
        <w:tc>
          <w:tcPr>
            <w:tcW w:w="5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1,197,137</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977,019</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760,405</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68,196</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93,292</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1,705</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2,397</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35,218</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40,085</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12,304</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10,258</w:t>
            </w:r>
          </w:p>
        </w:tc>
      </w:tr>
      <w:tr>
        <w:trPr>
          <w:trHeight w:val="41"/>
        </w:trPr>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r>
      <w:tr>
        <w:trPr>
          <w:trHeight w:val="195"/>
        </w:trPr>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2,056,647</w:t>
            </w:r>
          </w:p>
        </w:tc>
        <w:tc>
          <w:tcPr>
            <w:tcW w:w="5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2,103,574</w:t>
            </w:r>
          </w:p>
        </w:tc>
      </w:tr>
      <w:tr>
        <w:trPr>
          <w:trHeight w:val="41"/>
        </w:trPr>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r>
      <w:tr>
        <w:trPr>
          <w:trHeight w:val="668"/>
        </w:trPr>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5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634"/>
        </w:trPr>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71</w:t>
            </w:r>
          </w:p>
        </w:tc>
        <w:tc>
          <w:tcPr>
            <w:tcW w:w="5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69</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1,227,198</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1,203,012</w:t>
            </w:r>
          </w:p>
        </w:tc>
      </w:tr>
      <w:tr>
        <w:trPr>
          <w:trHeight w:val="445"/>
        </w:trPr>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(922,516)</w:t>
            </w:r>
          </w:p>
        </w:tc>
        <w:tc>
          <w:tcPr>
            <w:tcW w:w="5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(591,557)</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(6,887)</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(1,688)</w:t>
            </w:r>
          </w:p>
        </w:tc>
      </w:tr>
      <w:tr>
        <w:trPr>
          <w:trHeight w:val="243"/>
        </w:trPr>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246,461</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198,869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20745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7660" w:space="280"/>
            <w:col w:w="3300"/>
          </w:cols>
          <w:pgMar w:left="320" w:top="940" w:right="339" w:bottom="1054"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940" w:type="dxa"/>
            <w:vAlign w:val="bottom"/>
          </w:tcPr>
          <w:p>
            <w:pPr>
              <w:ind w:left="900"/>
              <w:spacing w:after="0"/>
              <w:rPr>
                <w:sz w:val="20"/>
                <w:szCs w:val="20"/>
                <w:color w:val="auto"/>
              </w:rPr>
            </w:pPr>
            <w:r>
              <w:rPr>
                <w:rFonts w:ascii="Calibri" w:cs="Calibri" w:eastAsia="Calibri" w:hAnsi="Calibri"/>
                <w:sz w:val="16"/>
                <w:szCs w:val="16"/>
                <w:b w:val="1"/>
                <w:bCs w:val="1"/>
                <w:color w:val="51555C"/>
              </w:rPr>
              <w:t>Total stockholders’ equity</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51555C"/>
              </w:rPr>
              <w:t>544,327</w:t>
            </w: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808,705</w:t>
            </w:r>
          </w:p>
        </w:tc>
      </w:tr>
      <w:tr>
        <w:trPr>
          <w:trHeight w:val="41"/>
        </w:trPr>
        <w:tc>
          <w:tcPr>
            <w:tcW w:w="7940" w:type="dxa"/>
            <w:vAlign w:val="bottom"/>
            <w:tcBorders>
              <w:bottom w:val="single" w:sz="8" w:color="EBFBFF"/>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00" w:type="dxa"/>
            <w:vAlign w:val="bottom"/>
            <w:tcBorders>
              <w:bottom w:val="single" w:sz="8" w:color="51555C"/>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r>
      <w:tr>
        <w:trPr>
          <w:trHeight w:val="216"/>
        </w:trPr>
        <w:tc>
          <w:tcPr>
            <w:tcW w:w="7940" w:type="dxa"/>
            <w:vAlign w:val="bottom"/>
            <w:tcBorders>
              <w:bottom w:val="single" w:sz="8" w:color="EBFBFF"/>
            </w:tcBorders>
            <w:shd w:val="clear" w:color="auto" w:fill="EBFBFF"/>
          </w:tcPr>
          <w:p>
            <w:pPr>
              <w:ind w:left="900"/>
              <w:spacing w:after="0" w:line="182" w:lineRule="exact"/>
              <w:rPr>
                <w:sz w:val="20"/>
                <w:szCs w:val="20"/>
                <w:color w:val="auto"/>
              </w:rPr>
            </w:pPr>
            <w:r>
              <w:rPr>
                <w:rFonts w:ascii="Calibri" w:cs="Calibri" w:eastAsia="Calibri" w:hAnsi="Calibri"/>
                <w:sz w:val="16"/>
                <w:szCs w:val="16"/>
                <w:b w:val="1"/>
                <w:bCs w:val="1"/>
                <w:color w:val="51555C"/>
              </w:rPr>
              <w:t>Total liabilites and stockholders’ equity</w:t>
            </w:r>
          </w:p>
        </w:tc>
        <w:tc>
          <w:tcPr>
            <w:tcW w:w="520" w:type="dxa"/>
            <w:vAlign w:val="bottom"/>
            <w:tcBorders>
              <w:bottom w:val="single" w:sz="8" w:color="EBFBFF"/>
            </w:tcBorders>
            <w:shd w:val="clear" w:color="auto" w:fill="EBFBFF"/>
          </w:tcPr>
          <w:p>
            <w:pPr>
              <w:jc w:val="right"/>
              <w:ind w:right="339"/>
              <w:spacing w:after="0"/>
              <w:rPr>
                <w:sz w:val="20"/>
                <w:szCs w:val="20"/>
                <w:color w:val="auto"/>
              </w:rPr>
            </w:pPr>
            <w:r>
              <w:rPr>
                <w:rFonts w:ascii="Calibri" w:cs="Calibri" w:eastAsia="Calibri" w:hAnsi="Calibri"/>
                <w:sz w:val="16"/>
                <w:szCs w:val="16"/>
                <w:color w:val="51555C"/>
                <w:w w:val="97"/>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2,600,974</w:t>
            </w:r>
          </w:p>
        </w:tc>
        <w:tc>
          <w:tcPr>
            <w:tcW w:w="520" w:type="dxa"/>
            <w:vAlign w:val="bottom"/>
            <w:tcBorders>
              <w:bottom w:val="single" w:sz="8" w:color="EBFBFF"/>
            </w:tcBorders>
            <w:shd w:val="clear" w:color="auto" w:fill="EBFBFF"/>
          </w:tcPr>
          <w:p>
            <w:pPr>
              <w:jc w:val="right"/>
              <w:ind w:right="319"/>
              <w:spacing w:after="0"/>
              <w:rPr>
                <w:sz w:val="20"/>
                <w:szCs w:val="20"/>
                <w:color w:val="auto"/>
              </w:rPr>
            </w:pPr>
            <w:r>
              <w:rPr>
                <w:rFonts w:ascii="Calibri" w:cs="Calibri" w:eastAsia="Calibri" w:hAnsi="Calibri"/>
                <w:sz w:val="16"/>
                <w:szCs w:val="16"/>
                <w:color w:val="51555C"/>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2,912,279</w:t>
            </w:r>
          </w:p>
        </w:tc>
      </w:tr>
      <w:tr>
        <w:trPr>
          <w:trHeight w:val="20"/>
        </w:trPr>
        <w:tc>
          <w:tcPr>
            <w:tcW w:w="7940" w:type="dxa"/>
            <w:vAlign w:val="bottom"/>
            <w:shd w:val="clear" w:color="auto" w:fill="0CD973"/>
          </w:tcPr>
          <w:p>
            <w:pPr>
              <w:spacing w:after="0" w:line="20" w:lineRule="exact"/>
              <w:rPr>
                <w:sz w:val="1"/>
                <w:szCs w:val="1"/>
                <w:color w:val="auto"/>
              </w:rPr>
            </w:pPr>
          </w:p>
        </w:tc>
        <w:tc>
          <w:tcPr>
            <w:tcW w:w="520" w:type="dxa"/>
            <w:vAlign w:val="bottom"/>
            <w:shd w:val="clear" w:color="auto" w:fill="0CD973"/>
          </w:tcPr>
          <w:p>
            <w:pPr>
              <w:spacing w:after="0" w:line="20" w:lineRule="exact"/>
              <w:rPr>
                <w:sz w:val="1"/>
                <w:szCs w:val="1"/>
                <w:color w:val="auto"/>
              </w:rPr>
            </w:pPr>
          </w:p>
        </w:tc>
        <w:tc>
          <w:tcPr>
            <w:tcW w:w="1100" w:type="dxa"/>
            <w:vAlign w:val="bottom"/>
            <w:shd w:val="clear" w:color="auto" w:fill="0CD973"/>
          </w:tcPr>
          <w:p>
            <w:pPr>
              <w:spacing w:after="0" w:line="20" w:lineRule="exact"/>
              <w:rPr>
                <w:sz w:val="1"/>
                <w:szCs w:val="1"/>
                <w:color w:val="auto"/>
              </w:rPr>
            </w:pPr>
          </w:p>
        </w:tc>
        <w:tc>
          <w:tcPr>
            <w:tcW w:w="520" w:type="dxa"/>
            <w:vAlign w:val="bottom"/>
            <w:shd w:val="clear" w:color="auto" w:fill="0CD973"/>
          </w:tcPr>
          <w:p>
            <w:pPr>
              <w:spacing w:after="0" w:line="20" w:lineRule="exact"/>
              <w:rPr>
                <w:sz w:val="1"/>
                <w:szCs w:val="1"/>
                <w:color w:val="auto"/>
              </w:rPr>
            </w:pPr>
          </w:p>
        </w:tc>
        <w:tc>
          <w:tcPr>
            <w:tcW w:w="1140" w:type="dxa"/>
            <w:vAlign w:val="bottom"/>
            <w:shd w:val="clear" w:color="auto" w:fill="0CD973"/>
          </w:tcPr>
          <w:p>
            <w:pPr>
              <w:spacing w:after="0" w:line="20" w:lineRule="exact"/>
              <w:rPr>
                <w:sz w:val="1"/>
                <w:szCs w:val="1"/>
                <w:color w:val="auto"/>
              </w:rPr>
            </w:pPr>
          </w:p>
        </w:tc>
      </w:tr>
    </w:tbl>
    <w:p>
      <w:pPr>
        <w:spacing w:after="0" w:line="47"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color w:val="51555C"/>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308610</wp:posOffset>
            </wp:positionV>
            <wp:extent cx="67691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6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880" w:type="dxa"/>
            <w:vAlign w:val="bottom"/>
          </w:tcPr>
          <w:p>
            <w:pPr>
              <w:jc w:val="right"/>
              <w:spacing w:after="0"/>
              <w:rPr>
                <w:sz w:val="20"/>
                <w:szCs w:val="20"/>
                <w:color w:val="auto"/>
              </w:rPr>
            </w:pPr>
            <w:r>
              <w:rPr>
                <w:rFonts w:ascii="Calibri" w:cs="Calibri" w:eastAsia="Calibri" w:hAnsi="Calibri"/>
                <w:sz w:val="14"/>
                <w:szCs w:val="14"/>
                <w:color w:val="51555C"/>
              </w:rPr>
              <w:t>3</w:t>
            </w:r>
          </w:p>
        </w:tc>
      </w:tr>
      <w:tr>
        <w:trPr>
          <w:trHeight w:val="364"/>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0" w:right="339" w:bottom="1054" w:gutter="0" w:footer="0" w:header="0"/>
          <w:type w:val="continuous"/>
        </w:sectPr>
      </w:pPr>
    </w:p>
    <w:bookmarkStart w:id="4" w:name="page5"/>
    <w:bookmarkEnd w:id="4"/>
    <w:p>
      <w:pPr>
        <w:spacing w:after="0" w:line="23"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Condensed Consolidated Statements of Comprehensive Income (Loss)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0" w:type="dxa"/>
            <w:vAlign w:val="bottom"/>
            <w:tcBorders>
              <w:top w:val="single" w:sz="8" w:color="004054"/>
            </w:tcBorders>
            <w:shd w:val="clear" w:color="auto" w:fill="004054"/>
          </w:tcPr>
          <w:p>
            <w:pPr>
              <w:spacing w:after="0"/>
              <w:rPr>
                <w:sz w:val="16"/>
                <w:szCs w:val="16"/>
                <w:color w:val="auto"/>
              </w:rPr>
            </w:pPr>
          </w:p>
        </w:tc>
        <w:tc>
          <w:tcPr>
            <w:tcW w:w="5760" w:type="dxa"/>
            <w:vAlign w:val="bottom"/>
            <w:tcBorders>
              <w:top w:val="single" w:sz="8" w:color="004054"/>
            </w:tcBorders>
            <w:shd w:val="clear" w:color="auto" w:fill="004054"/>
          </w:tcPr>
          <w:p>
            <w:pPr>
              <w:spacing w:after="0"/>
              <w:rPr>
                <w:sz w:val="16"/>
                <w:szCs w:val="16"/>
                <w:color w:val="auto"/>
              </w:rPr>
            </w:pPr>
          </w:p>
        </w:tc>
        <w:tc>
          <w:tcPr>
            <w:tcW w:w="300" w:type="dxa"/>
            <w:vAlign w:val="bottom"/>
            <w:tcBorders>
              <w:top w:val="single" w:sz="8" w:color="004054"/>
            </w:tcBorders>
            <w:shd w:val="clear" w:color="auto" w:fill="004054"/>
          </w:tcPr>
          <w:p>
            <w:pPr>
              <w:spacing w:after="0"/>
              <w:rPr>
                <w:sz w:val="16"/>
                <w:szCs w:val="16"/>
                <w:color w:val="auto"/>
              </w:rPr>
            </w:pPr>
          </w:p>
        </w:tc>
        <w:tc>
          <w:tcPr>
            <w:tcW w:w="1000" w:type="dxa"/>
            <w:vAlign w:val="bottom"/>
            <w:tcBorders>
              <w:top w:val="single" w:sz="8" w:color="004054"/>
            </w:tcBorders>
            <w:shd w:val="clear" w:color="auto" w:fill="004054"/>
          </w:tcPr>
          <w:p>
            <w:pPr>
              <w:spacing w:after="0"/>
              <w:rPr>
                <w:sz w:val="16"/>
                <w:szCs w:val="16"/>
                <w:color w:val="auto"/>
              </w:rPr>
            </w:pPr>
          </w:p>
        </w:tc>
        <w:tc>
          <w:tcPr>
            <w:tcW w:w="1320" w:type="dxa"/>
            <w:vAlign w:val="bottom"/>
            <w:tcBorders>
              <w:top w:val="single" w:sz="8" w:color="004054"/>
              <w:right w:val="single" w:sz="8" w:color="004054"/>
            </w:tcBorders>
            <w:gridSpan w:val="2"/>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Three months ended</w:t>
            </w:r>
          </w:p>
        </w:tc>
        <w:tc>
          <w:tcPr>
            <w:tcW w:w="80" w:type="dxa"/>
            <w:vAlign w:val="bottom"/>
            <w:tcBorders>
              <w:top w:val="single" w:sz="8" w:color="004054"/>
            </w:tcBorders>
          </w:tcPr>
          <w:p>
            <w:pPr>
              <w:spacing w:after="0"/>
              <w:rPr>
                <w:sz w:val="16"/>
                <w:szCs w:val="16"/>
                <w:color w:val="auto"/>
              </w:rPr>
            </w:pPr>
          </w:p>
        </w:tc>
        <w:tc>
          <w:tcPr>
            <w:tcW w:w="380" w:type="dxa"/>
            <w:vAlign w:val="bottom"/>
            <w:tcBorders>
              <w:top w:val="single" w:sz="8" w:color="004054"/>
            </w:tcBorders>
            <w:shd w:val="clear" w:color="auto" w:fill="004054"/>
          </w:tcPr>
          <w:p>
            <w:pPr>
              <w:spacing w:after="0"/>
              <w:rPr>
                <w:sz w:val="16"/>
                <w:szCs w:val="16"/>
                <w:color w:val="auto"/>
              </w:rPr>
            </w:pPr>
          </w:p>
        </w:tc>
        <w:tc>
          <w:tcPr>
            <w:tcW w:w="920" w:type="dxa"/>
            <w:vAlign w:val="bottom"/>
            <w:tcBorders>
              <w:top w:val="single" w:sz="8" w:color="004054"/>
            </w:tcBorders>
            <w:shd w:val="clear" w:color="auto" w:fill="004054"/>
          </w:tcPr>
          <w:p>
            <w:pPr>
              <w:spacing w:after="0"/>
              <w:rPr>
                <w:sz w:val="16"/>
                <w:szCs w:val="16"/>
                <w:color w:val="auto"/>
              </w:rPr>
            </w:pPr>
          </w:p>
        </w:tc>
        <w:tc>
          <w:tcPr>
            <w:tcW w:w="100" w:type="dxa"/>
            <w:vAlign w:val="bottom"/>
            <w:tcBorders>
              <w:top w:val="single" w:sz="8" w:color="004054"/>
            </w:tcBorders>
            <w:shd w:val="clear" w:color="auto" w:fill="004054"/>
          </w:tcPr>
          <w:p>
            <w:pPr>
              <w:spacing w:after="0"/>
              <w:rPr>
                <w:sz w:val="16"/>
                <w:szCs w:val="16"/>
                <w:color w:val="auto"/>
              </w:rPr>
            </w:pPr>
          </w:p>
        </w:tc>
        <w:tc>
          <w:tcPr>
            <w:tcW w:w="1200" w:type="dxa"/>
            <w:vAlign w:val="bottom"/>
            <w:tcBorders>
              <w:top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c>
          <w:tcPr>
            <w:tcW w:w="20" w:type="dxa"/>
            <w:vAlign w:val="bottom"/>
            <w:tcBorders>
              <w:top w:val="single" w:sz="8" w:color="004054"/>
            </w:tcBorders>
            <w:shd w:val="clear" w:color="auto" w:fill="004054"/>
          </w:tcPr>
          <w:p>
            <w:pPr>
              <w:spacing w:after="0"/>
              <w:rPr>
                <w:sz w:val="16"/>
                <w:szCs w:val="16"/>
                <w:color w:val="auto"/>
              </w:rPr>
            </w:pPr>
          </w:p>
        </w:tc>
      </w:tr>
      <w:tr>
        <w:trPr>
          <w:trHeight w:val="170"/>
        </w:trPr>
        <w:tc>
          <w:tcPr>
            <w:tcW w:w="180" w:type="dxa"/>
            <w:vAlign w:val="bottom"/>
            <w:shd w:val="clear" w:color="auto" w:fill="004054"/>
          </w:tcPr>
          <w:p>
            <w:pPr>
              <w:spacing w:after="0"/>
              <w:rPr>
                <w:sz w:val="14"/>
                <w:szCs w:val="14"/>
                <w:color w:val="auto"/>
              </w:rPr>
            </w:pPr>
          </w:p>
        </w:tc>
        <w:tc>
          <w:tcPr>
            <w:tcW w:w="5760" w:type="dxa"/>
            <w:vAlign w:val="bottom"/>
            <w:shd w:val="clear" w:color="auto" w:fill="004054"/>
          </w:tcPr>
          <w:p>
            <w:pPr>
              <w:spacing w:after="0"/>
              <w:rPr>
                <w:sz w:val="14"/>
                <w:szCs w:val="14"/>
                <w:color w:val="auto"/>
              </w:rPr>
            </w:pPr>
          </w:p>
        </w:tc>
        <w:tc>
          <w:tcPr>
            <w:tcW w:w="300" w:type="dxa"/>
            <w:vAlign w:val="bottom"/>
            <w:shd w:val="clear" w:color="auto" w:fill="004054"/>
          </w:tcPr>
          <w:p>
            <w:pPr>
              <w:spacing w:after="0"/>
              <w:rPr>
                <w:sz w:val="14"/>
                <w:szCs w:val="14"/>
                <w:color w:val="auto"/>
              </w:rPr>
            </w:pPr>
          </w:p>
        </w:tc>
        <w:tc>
          <w:tcPr>
            <w:tcW w:w="1000" w:type="dxa"/>
            <w:vAlign w:val="bottom"/>
            <w:shd w:val="clear" w:color="auto" w:fill="004054"/>
          </w:tcPr>
          <w:p>
            <w:pPr>
              <w:spacing w:after="0"/>
              <w:rPr>
                <w:sz w:val="14"/>
                <w:szCs w:val="14"/>
                <w:color w:val="auto"/>
              </w:rPr>
            </w:pPr>
          </w:p>
        </w:tc>
        <w:tc>
          <w:tcPr>
            <w:tcW w:w="260" w:type="dxa"/>
            <w:vAlign w:val="bottom"/>
            <w:shd w:val="clear" w:color="auto" w:fill="004054"/>
          </w:tcPr>
          <w:p>
            <w:pPr>
              <w:spacing w:after="0"/>
              <w:rPr>
                <w:sz w:val="14"/>
                <w:szCs w:val="14"/>
                <w:color w:val="auto"/>
              </w:rPr>
            </w:pPr>
          </w:p>
        </w:tc>
        <w:tc>
          <w:tcPr>
            <w:tcW w:w="106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80" w:type="dxa"/>
            <w:vAlign w:val="bottom"/>
          </w:tcPr>
          <w:p>
            <w:pPr>
              <w:spacing w:after="0"/>
              <w:rPr>
                <w:sz w:val="14"/>
                <w:szCs w:val="14"/>
                <w:color w:val="auto"/>
              </w:rPr>
            </w:pPr>
          </w:p>
        </w:tc>
        <w:tc>
          <w:tcPr>
            <w:tcW w:w="380" w:type="dxa"/>
            <w:vAlign w:val="bottom"/>
            <w:shd w:val="clear" w:color="auto" w:fill="004054"/>
          </w:tcPr>
          <w:p>
            <w:pPr>
              <w:spacing w:after="0"/>
              <w:rPr>
                <w:sz w:val="14"/>
                <w:szCs w:val="14"/>
                <w:color w:val="auto"/>
              </w:rPr>
            </w:pPr>
          </w:p>
        </w:tc>
        <w:tc>
          <w:tcPr>
            <w:tcW w:w="920" w:type="dxa"/>
            <w:vAlign w:val="bottom"/>
            <w:shd w:val="clear" w:color="auto" w:fill="004054"/>
          </w:tcPr>
          <w:p>
            <w:pPr>
              <w:spacing w:after="0"/>
              <w:rPr>
                <w:sz w:val="14"/>
                <w:szCs w:val="14"/>
                <w:color w:val="auto"/>
              </w:rPr>
            </w:pPr>
          </w:p>
        </w:tc>
        <w:tc>
          <w:tcPr>
            <w:tcW w:w="100" w:type="dxa"/>
            <w:vAlign w:val="bottom"/>
            <w:shd w:val="clear" w:color="auto" w:fill="004054"/>
          </w:tcPr>
          <w:p>
            <w:pPr>
              <w:spacing w:after="0"/>
              <w:rPr>
                <w:sz w:val="14"/>
                <w:szCs w:val="14"/>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20" w:type="dxa"/>
            <w:vAlign w:val="bottom"/>
            <w:shd w:val="clear" w:color="auto" w:fill="004054"/>
          </w:tcPr>
          <w:p>
            <w:pPr>
              <w:spacing w:after="0"/>
              <w:rPr>
                <w:sz w:val="14"/>
                <w:szCs w:val="14"/>
                <w:color w:val="auto"/>
              </w:rPr>
            </w:pPr>
          </w:p>
        </w:tc>
      </w:tr>
      <w:tr>
        <w:trPr>
          <w:trHeight w:val="243"/>
        </w:trPr>
        <w:tc>
          <w:tcPr>
            <w:tcW w:w="5940" w:type="dxa"/>
            <w:vAlign w:val="bottom"/>
            <w:gridSpan w:val="2"/>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 except per share amounts)</w:t>
            </w:r>
          </w:p>
        </w:tc>
        <w:tc>
          <w:tcPr>
            <w:tcW w:w="300" w:type="dxa"/>
            <w:vAlign w:val="bottom"/>
            <w:shd w:val="clear" w:color="auto" w:fill="004054"/>
          </w:tcPr>
          <w:p>
            <w:pPr>
              <w:spacing w:after="0"/>
              <w:rPr>
                <w:sz w:val="21"/>
                <w:szCs w:val="21"/>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60" w:type="dxa"/>
            <w:vAlign w:val="bottom"/>
            <w:shd w:val="clear" w:color="auto" w:fill="004054"/>
          </w:tcPr>
          <w:p>
            <w:pPr>
              <w:spacing w:after="0"/>
              <w:rPr>
                <w:sz w:val="21"/>
                <w:szCs w:val="21"/>
                <w:color w:val="auto"/>
              </w:rPr>
            </w:pPr>
          </w:p>
        </w:tc>
        <w:tc>
          <w:tcPr>
            <w:tcW w:w="106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80" w:type="dxa"/>
            <w:vAlign w:val="bottom"/>
          </w:tcPr>
          <w:p>
            <w:pPr>
              <w:spacing w:after="0"/>
              <w:rPr>
                <w:sz w:val="21"/>
                <w:szCs w:val="21"/>
                <w:color w:val="auto"/>
              </w:rPr>
            </w:pPr>
          </w:p>
        </w:tc>
        <w:tc>
          <w:tcPr>
            <w:tcW w:w="380" w:type="dxa"/>
            <w:vAlign w:val="bottom"/>
            <w:shd w:val="clear" w:color="auto" w:fill="004054"/>
          </w:tcPr>
          <w:p>
            <w:pPr>
              <w:spacing w:after="0"/>
              <w:rPr>
                <w:sz w:val="21"/>
                <w:szCs w:val="21"/>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00" w:type="dxa"/>
            <w:vAlign w:val="bottom"/>
            <w:shd w:val="clear" w:color="auto" w:fill="004054"/>
          </w:tcPr>
          <w:p>
            <w:pPr>
              <w:spacing w:after="0"/>
              <w:rPr>
                <w:sz w:val="21"/>
                <w:szCs w:val="21"/>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21"/>
                <w:szCs w:val="21"/>
                <w:color w:val="auto"/>
              </w:rPr>
            </w:pPr>
          </w:p>
        </w:tc>
      </w:tr>
      <w:tr>
        <w:trPr>
          <w:trHeight w:val="60"/>
        </w:trPr>
        <w:tc>
          <w:tcPr>
            <w:tcW w:w="5940" w:type="dxa"/>
            <w:vAlign w:val="bottom"/>
            <w:tcBorders>
              <w:bottom w:val="single" w:sz="8" w:color="004054"/>
            </w:tcBorders>
            <w:gridSpan w:val="2"/>
            <w:shd w:val="clear" w:color="auto" w:fill="004054"/>
          </w:tcPr>
          <w:p>
            <w:pPr>
              <w:spacing w:after="0"/>
              <w:rPr>
                <w:sz w:val="5"/>
                <w:szCs w:val="5"/>
                <w:color w:val="auto"/>
              </w:rPr>
            </w:pPr>
          </w:p>
        </w:tc>
        <w:tc>
          <w:tcPr>
            <w:tcW w:w="300" w:type="dxa"/>
            <w:vAlign w:val="bottom"/>
            <w:tcBorders>
              <w:bottom w:val="single" w:sz="8" w:color="004054"/>
            </w:tcBorders>
            <w:shd w:val="clear" w:color="auto" w:fill="004054"/>
          </w:tcPr>
          <w:p>
            <w:pPr>
              <w:spacing w:after="0"/>
              <w:rPr>
                <w:sz w:val="5"/>
                <w:szCs w:val="5"/>
                <w:color w:val="auto"/>
              </w:rPr>
            </w:pPr>
          </w:p>
        </w:tc>
        <w:tc>
          <w:tcPr>
            <w:tcW w:w="1000" w:type="dxa"/>
            <w:vAlign w:val="bottom"/>
            <w:tcBorders>
              <w:bottom w:val="single" w:sz="8" w:color="004054"/>
            </w:tcBorders>
            <w:shd w:val="clear" w:color="auto" w:fill="004054"/>
          </w:tcPr>
          <w:p>
            <w:pPr>
              <w:spacing w:after="0"/>
              <w:rPr>
                <w:sz w:val="5"/>
                <w:szCs w:val="5"/>
                <w:color w:val="auto"/>
              </w:rPr>
            </w:pPr>
          </w:p>
        </w:tc>
        <w:tc>
          <w:tcPr>
            <w:tcW w:w="260" w:type="dxa"/>
            <w:vAlign w:val="bottom"/>
            <w:tcBorders>
              <w:bottom w:val="single" w:sz="8" w:color="004054"/>
            </w:tcBorders>
            <w:shd w:val="clear" w:color="auto" w:fill="004054"/>
          </w:tcPr>
          <w:p>
            <w:pPr>
              <w:spacing w:after="0"/>
              <w:rPr>
                <w:sz w:val="5"/>
                <w:szCs w:val="5"/>
                <w:color w:val="auto"/>
              </w:rPr>
            </w:pPr>
          </w:p>
        </w:tc>
        <w:tc>
          <w:tcPr>
            <w:tcW w:w="1060" w:type="dxa"/>
            <w:vAlign w:val="bottom"/>
            <w:tcBorders>
              <w:bottom w:val="single" w:sz="8" w:color="004054"/>
              <w:right w:val="single" w:sz="8" w:color="004054"/>
            </w:tcBorders>
            <w:shd w:val="clear" w:color="auto" w:fill="004054"/>
          </w:tcPr>
          <w:p>
            <w:pPr>
              <w:spacing w:after="0"/>
              <w:rPr>
                <w:sz w:val="5"/>
                <w:szCs w:val="5"/>
                <w:color w:val="auto"/>
              </w:rPr>
            </w:pPr>
          </w:p>
        </w:tc>
        <w:tc>
          <w:tcPr>
            <w:tcW w:w="80" w:type="dxa"/>
            <w:vAlign w:val="bottom"/>
            <w:tcBorders>
              <w:bottom w:val="single" w:sz="8" w:color="EBFBFF"/>
            </w:tcBorders>
          </w:tcPr>
          <w:p>
            <w:pPr>
              <w:spacing w:after="0"/>
              <w:rPr>
                <w:sz w:val="5"/>
                <w:szCs w:val="5"/>
                <w:color w:val="auto"/>
              </w:rPr>
            </w:pPr>
          </w:p>
        </w:tc>
        <w:tc>
          <w:tcPr>
            <w:tcW w:w="380" w:type="dxa"/>
            <w:vAlign w:val="bottom"/>
            <w:tcBorders>
              <w:bottom w:val="single" w:sz="8" w:color="004054"/>
            </w:tcBorders>
            <w:shd w:val="clear" w:color="auto" w:fill="004054"/>
          </w:tcPr>
          <w:p>
            <w:pPr>
              <w:spacing w:after="0"/>
              <w:rPr>
                <w:sz w:val="5"/>
                <w:szCs w:val="5"/>
                <w:color w:val="auto"/>
              </w:rPr>
            </w:pPr>
          </w:p>
        </w:tc>
        <w:tc>
          <w:tcPr>
            <w:tcW w:w="920" w:type="dxa"/>
            <w:vAlign w:val="bottom"/>
            <w:tcBorders>
              <w:bottom w:val="single" w:sz="8" w:color="004054"/>
            </w:tcBorders>
            <w:shd w:val="clear" w:color="auto" w:fill="004054"/>
          </w:tcPr>
          <w:p>
            <w:pPr>
              <w:spacing w:after="0"/>
              <w:rPr>
                <w:sz w:val="5"/>
                <w:szCs w:val="5"/>
                <w:color w:val="auto"/>
              </w:rPr>
            </w:pPr>
          </w:p>
        </w:tc>
        <w:tc>
          <w:tcPr>
            <w:tcW w:w="100" w:type="dxa"/>
            <w:vAlign w:val="bottom"/>
            <w:tcBorders>
              <w:bottom w:val="single" w:sz="8" w:color="004054"/>
            </w:tcBorders>
            <w:shd w:val="clear" w:color="auto" w:fill="004054"/>
          </w:tcPr>
          <w:p>
            <w:pPr>
              <w:spacing w:after="0"/>
              <w:rPr>
                <w:sz w:val="5"/>
                <w:szCs w:val="5"/>
                <w:color w:val="auto"/>
              </w:rPr>
            </w:pPr>
          </w:p>
        </w:tc>
        <w:tc>
          <w:tcPr>
            <w:tcW w:w="120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r>
      <w:tr>
        <w:trPr>
          <w:trHeight w:val="217"/>
        </w:trPr>
        <w:tc>
          <w:tcPr>
            <w:tcW w:w="5940" w:type="dxa"/>
            <w:vAlign w:val="bottom"/>
            <w:tcBorders>
              <w:bottom w:val="single" w:sz="8" w:color="EBFBFF"/>
            </w:tcBorders>
            <w:gridSpan w:val="2"/>
            <w:shd w:val="clear" w:color="auto" w:fill="EBFBFF"/>
          </w:tcPr>
          <w:p>
            <w:pPr>
              <w:ind w:left="20"/>
              <w:spacing w:after="0"/>
              <w:rPr>
                <w:sz w:val="20"/>
                <w:szCs w:val="20"/>
                <w:color w:val="auto"/>
              </w:rPr>
            </w:pPr>
            <w:r>
              <w:rPr>
                <w:rFonts w:ascii="Calibri" w:cs="Calibri" w:eastAsia="Calibri" w:hAnsi="Calibri"/>
                <w:sz w:val="16"/>
                <w:szCs w:val="16"/>
                <w:b w:val="1"/>
                <w:bCs w:val="1"/>
                <w:color w:val="51555C"/>
              </w:rPr>
              <w:t>Revenue</w:t>
            </w:r>
          </w:p>
        </w:tc>
        <w:tc>
          <w:tcPr>
            <w:tcW w:w="30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tcBorders>
            <w:shd w:val="clear" w:color="auto" w:fill="EBFBFF"/>
          </w:tcPr>
          <w:p>
            <w:pPr>
              <w:spacing w:after="0"/>
              <w:rPr>
                <w:sz w:val="18"/>
                <w:szCs w:val="18"/>
                <w:color w:val="auto"/>
              </w:rPr>
            </w:pPr>
          </w:p>
        </w:tc>
        <w:tc>
          <w:tcPr>
            <w:tcW w:w="2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right w:val="single" w:sz="8" w:color="EBFBFF"/>
            </w:tcBorders>
            <w:shd w:val="clear" w:color="auto" w:fill="EBFBFF"/>
          </w:tcPr>
          <w:p>
            <w:pPr>
              <w:spacing w:after="0"/>
              <w:rPr>
                <w:sz w:val="18"/>
                <w:szCs w:val="18"/>
                <w:color w:val="auto"/>
              </w:rPr>
            </w:pPr>
          </w:p>
        </w:tc>
        <w:tc>
          <w:tcPr>
            <w:tcW w:w="80" w:type="dxa"/>
            <w:vAlign w:val="bottom"/>
            <w:tcBorders>
              <w:bottom w:val="single" w:sz="8" w:color="EBFBFF"/>
            </w:tcBorders>
            <w:shd w:val="clear" w:color="auto" w:fill="EBFBFF"/>
          </w:tcPr>
          <w:p>
            <w:pPr>
              <w:spacing w:after="0"/>
              <w:rPr>
                <w:sz w:val="18"/>
                <w:szCs w:val="18"/>
                <w:color w:val="auto"/>
              </w:rPr>
            </w:pPr>
          </w:p>
        </w:tc>
        <w:tc>
          <w:tcPr>
            <w:tcW w:w="38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spacing w:after="0"/>
              <w:rPr>
                <w:sz w:val="18"/>
                <w:szCs w:val="18"/>
                <w:color w:val="auto"/>
              </w:rPr>
            </w:pPr>
          </w:p>
        </w:tc>
        <w:tc>
          <w:tcPr>
            <w:tcW w:w="100" w:type="dxa"/>
            <w:vAlign w:val="bottom"/>
            <w:tcBorders>
              <w:bottom w:val="single" w:sz="8" w:color="EBFBFF"/>
            </w:tcBorders>
            <w:shd w:val="clear" w:color="auto" w:fill="EBFBFF"/>
          </w:tcPr>
          <w:p>
            <w:pPr>
              <w:spacing w:after="0"/>
              <w:rPr>
                <w:sz w:val="18"/>
                <w:szCs w:val="18"/>
                <w:color w:val="auto"/>
              </w:rPr>
            </w:pPr>
          </w:p>
        </w:tc>
        <w:tc>
          <w:tcPr>
            <w:tcW w:w="1200" w:type="dxa"/>
            <w:vAlign w:val="bottom"/>
            <w:tcBorders>
              <w:bottom w:val="single" w:sz="8" w:color="EBFBFF"/>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5760" w:type="dxa"/>
            <w:vAlign w:val="bottom"/>
          </w:tcPr>
          <w:p>
            <w:pPr>
              <w:ind w:left="60"/>
              <w:spacing w:after="0"/>
              <w:rPr>
                <w:sz w:val="20"/>
                <w:szCs w:val="20"/>
                <w:color w:val="auto"/>
              </w:rPr>
            </w:pPr>
            <w:r>
              <w:rPr>
                <w:rFonts w:ascii="Calibri" w:cs="Calibri" w:eastAsia="Calibri" w:hAnsi="Calibri"/>
                <w:sz w:val="16"/>
                <w:szCs w:val="16"/>
                <w:color w:val="51555C"/>
              </w:rPr>
              <w:t>Recurring</w:t>
            </w:r>
          </w:p>
        </w:tc>
        <w:tc>
          <w:tcPr>
            <w:tcW w:w="300" w:type="dxa"/>
            <w:vAlign w:val="bottom"/>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280,018</w:t>
            </w:r>
          </w:p>
        </w:tc>
        <w:tc>
          <w:tcPr>
            <w:tcW w:w="260" w:type="dxa"/>
            <w:vAlign w:val="bottom"/>
          </w:tcPr>
          <w:p>
            <w:pPr>
              <w:jc w:val="right"/>
              <w:ind w:right="80"/>
              <w:spacing w:after="0"/>
              <w:rPr>
                <w:sz w:val="20"/>
                <w:szCs w:val="20"/>
                <w:color w:val="auto"/>
              </w:rPr>
            </w:pPr>
            <w:r>
              <w:rPr>
                <w:rFonts w:ascii="Calibri" w:cs="Calibri" w:eastAsia="Calibri" w:hAnsi="Calibri"/>
                <w:sz w:val="16"/>
                <w:szCs w:val="16"/>
                <w:color w:val="51555C"/>
                <w:w w:val="97"/>
              </w:rPr>
              <w:t>$</w:t>
            </w:r>
          </w:p>
        </w:tc>
        <w:tc>
          <w:tcPr>
            <w:tcW w:w="1060" w:type="dxa"/>
            <w:vAlign w:val="bottom"/>
          </w:tcPr>
          <w:p>
            <w:pPr>
              <w:jc w:val="right"/>
              <w:spacing w:after="0"/>
              <w:rPr>
                <w:sz w:val="20"/>
                <w:szCs w:val="20"/>
                <w:color w:val="auto"/>
              </w:rPr>
            </w:pPr>
            <w:r>
              <w:rPr>
                <w:rFonts w:ascii="Calibri" w:cs="Calibri" w:eastAsia="Calibri" w:hAnsi="Calibri"/>
                <w:sz w:val="16"/>
                <w:szCs w:val="16"/>
                <w:color w:val="51555C"/>
              </w:rPr>
              <w:t>269,001</w:t>
            </w:r>
          </w:p>
        </w:tc>
        <w:tc>
          <w:tcPr>
            <w:tcW w:w="460" w:type="dxa"/>
            <w:vAlign w:val="bottom"/>
            <w:gridSpan w:val="2"/>
          </w:tcPr>
          <w:p>
            <w:pPr>
              <w:jc w:val="right"/>
              <w:ind w:right="19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832,912</w:t>
            </w:r>
          </w:p>
        </w:tc>
        <w:tc>
          <w:tcPr>
            <w:tcW w:w="100" w:type="dxa"/>
            <w:vAlign w:val="bottom"/>
          </w:tcPr>
          <w:p>
            <w:pPr>
              <w:jc w:val="right"/>
              <w:spacing w:after="0"/>
              <w:rPr>
                <w:sz w:val="20"/>
                <w:szCs w:val="20"/>
                <w:color w:val="auto"/>
              </w:rPr>
            </w:pPr>
            <w:r>
              <w:rPr>
                <w:rFonts w:ascii="Calibri" w:cs="Calibri" w:eastAsia="Calibri" w:hAnsi="Calibri"/>
                <w:sz w:val="16"/>
                <w:szCs w:val="16"/>
                <w:color w:val="51555C"/>
                <w:w w:val="97"/>
              </w:rPr>
              <w:t>$</w:t>
            </w:r>
          </w:p>
        </w:tc>
        <w:tc>
          <w:tcPr>
            <w:tcW w:w="1200" w:type="dxa"/>
            <w:vAlign w:val="bottom"/>
          </w:tcPr>
          <w:p>
            <w:pPr>
              <w:jc w:val="right"/>
              <w:spacing w:after="0"/>
              <w:rPr>
                <w:sz w:val="20"/>
                <w:szCs w:val="20"/>
                <w:color w:val="auto"/>
              </w:rPr>
            </w:pPr>
            <w:r>
              <w:rPr>
                <w:rFonts w:ascii="Calibri" w:cs="Calibri" w:eastAsia="Calibri" w:hAnsi="Calibri"/>
                <w:sz w:val="16"/>
                <w:szCs w:val="16"/>
                <w:color w:val="51555C"/>
              </w:rPr>
              <w:t>784,139</w:t>
            </w:r>
          </w:p>
        </w:tc>
        <w:tc>
          <w:tcPr>
            <w:tcW w:w="20" w:type="dxa"/>
            <w:vAlign w:val="bottom"/>
          </w:tcPr>
          <w:p>
            <w:pPr>
              <w:spacing w:after="0"/>
              <w:rPr>
                <w:sz w:val="17"/>
                <w:szCs w:val="17"/>
                <w:color w:val="auto"/>
              </w:rPr>
            </w:pPr>
          </w:p>
        </w:tc>
      </w:tr>
      <w:tr>
        <w:trPr>
          <w:trHeight w:val="41"/>
        </w:trPr>
        <w:tc>
          <w:tcPr>
            <w:tcW w:w="180" w:type="dxa"/>
            <w:vAlign w:val="bottom"/>
          </w:tcPr>
          <w:p>
            <w:pPr>
              <w:spacing w:after="0"/>
              <w:rPr>
                <w:sz w:val="3"/>
                <w:szCs w:val="3"/>
                <w:color w:val="auto"/>
              </w:rPr>
            </w:pPr>
          </w:p>
        </w:tc>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180" w:type="dxa"/>
            <w:vAlign w:val="bottom"/>
            <w:tcBorders>
              <w:bottom w:val="single" w:sz="8" w:color="EBFBFF"/>
            </w:tcBorders>
            <w:shd w:val="clear" w:color="auto" w:fill="EBFBFF"/>
          </w:tcPr>
          <w:p>
            <w:pPr>
              <w:spacing w:after="0"/>
              <w:rPr>
                <w:sz w:val="21"/>
                <w:szCs w:val="21"/>
                <w:color w:val="auto"/>
              </w:rPr>
            </w:pPr>
          </w:p>
        </w:tc>
        <w:tc>
          <w:tcPr>
            <w:tcW w:w="5760" w:type="dxa"/>
            <w:vAlign w:val="bottom"/>
            <w:tcBorders>
              <w:bottom w:val="single" w:sz="8" w:color="EBFBFF"/>
            </w:tcBorders>
            <w:shd w:val="clear" w:color="auto" w:fill="EBFBFF"/>
          </w:tcPr>
          <w:p>
            <w:pPr>
              <w:ind w:left="60"/>
              <w:spacing w:after="0"/>
              <w:rPr>
                <w:sz w:val="20"/>
                <w:szCs w:val="20"/>
                <w:color w:val="auto"/>
              </w:rPr>
            </w:pPr>
            <w:r>
              <w:rPr>
                <w:rFonts w:ascii="Calibri" w:cs="Calibri" w:eastAsia="Calibri" w:hAnsi="Calibri"/>
                <w:sz w:val="16"/>
                <w:szCs w:val="16"/>
                <w:color w:val="51555C"/>
              </w:rPr>
              <w:t>One-tme services and other</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6,709</w:t>
            </w:r>
          </w:p>
        </w:tc>
        <w:tc>
          <w:tcPr>
            <w:tcW w:w="2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8,625</w:t>
            </w:r>
          </w:p>
        </w:tc>
        <w:tc>
          <w:tcPr>
            <w:tcW w:w="80" w:type="dxa"/>
            <w:vAlign w:val="bottom"/>
            <w:tcBorders>
              <w:bottom w:val="single" w:sz="8" w:color="EBFBFF"/>
            </w:tcBorders>
            <w:shd w:val="clear" w:color="auto" w:fill="EBFBFF"/>
          </w:tcPr>
          <w:p>
            <w:pPr>
              <w:spacing w:after="0"/>
              <w:rPr>
                <w:sz w:val="21"/>
                <w:szCs w:val="21"/>
                <w:color w:val="auto"/>
              </w:rPr>
            </w:pPr>
          </w:p>
        </w:tc>
        <w:tc>
          <w:tcPr>
            <w:tcW w:w="38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20,351</w:t>
            </w:r>
          </w:p>
        </w:tc>
        <w:tc>
          <w:tcPr>
            <w:tcW w:w="10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26,282</w:t>
            </w:r>
          </w:p>
        </w:tc>
        <w:tc>
          <w:tcPr>
            <w:tcW w:w="20" w:type="dxa"/>
            <w:vAlign w:val="bottom"/>
          </w:tcPr>
          <w:p>
            <w:pPr>
              <w:spacing w:after="0"/>
              <w:rPr>
                <w:sz w:val="21"/>
                <w:szCs w:val="21"/>
                <w:color w:val="auto"/>
              </w:rPr>
            </w:pPr>
          </w:p>
        </w:tc>
      </w:tr>
      <w:tr>
        <w:trPr>
          <w:trHeight w:val="195"/>
        </w:trPr>
        <w:tc>
          <w:tcPr>
            <w:tcW w:w="180" w:type="dxa"/>
            <w:vAlign w:val="bottom"/>
          </w:tcPr>
          <w:p>
            <w:pPr>
              <w:spacing w:after="0"/>
              <w:rPr>
                <w:sz w:val="17"/>
                <w:szCs w:val="17"/>
                <w:color w:val="auto"/>
              </w:rPr>
            </w:pPr>
          </w:p>
        </w:tc>
        <w:tc>
          <w:tcPr>
            <w:tcW w:w="5760" w:type="dxa"/>
            <w:vAlign w:val="bottom"/>
          </w:tcPr>
          <w:p>
            <w:pPr>
              <w:ind w:left="280"/>
              <w:spacing w:after="0" w:line="182" w:lineRule="exact"/>
              <w:rPr>
                <w:sz w:val="20"/>
                <w:szCs w:val="20"/>
                <w:color w:val="auto"/>
              </w:rPr>
            </w:pPr>
            <w:r>
              <w:rPr>
                <w:rFonts w:ascii="Calibri" w:cs="Calibri" w:eastAsia="Calibri" w:hAnsi="Calibri"/>
                <w:sz w:val="16"/>
                <w:szCs w:val="16"/>
                <w:b w:val="1"/>
                <w:bCs w:val="1"/>
                <w:color w:val="51555C"/>
              </w:rPr>
              <w:t>Total revenue</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286,727</w:t>
            </w:r>
          </w:p>
        </w:tc>
        <w:tc>
          <w:tcPr>
            <w:tcW w:w="260" w:type="dxa"/>
            <w:vAlign w:val="bottom"/>
            <w:tcBorders>
              <w:top w:val="single" w:sz="8" w:color="51555C"/>
            </w:tcBorders>
          </w:tcPr>
          <w:p>
            <w:pPr>
              <w:spacing w:after="0"/>
              <w:rPr>
                <w:sz w:val="17"/>
                <w:szCs w:val="17"/>
                <w:color w:val="auto"/>
              </w:rPr>
            </w:pPr>
          </w:p>
        </w:tc>
        <w:tc>
          <w:tcPr>
            <w:tcW w:w="10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277,626</w:t>
            </w:r>
          </w:p>
        </w:tc>
        <w:tc>
          <w:tcPr>
            <w:tcW w:w="80" w:type="dxa"/>
            <w:vAlign w:val="bottom"/>
          </w:tcPr>
          <w:p>
            <w:pPr>
              <w:spacing w:after="0"/>
              <w:rPr>
                <w:sz w:val="17"/>
                <w:szCs w:val="17"/>
                <w:color w:val="auto"/>
              </w:rPr>
            </w:pPr>
          </w:p>
        </w:tc>
        <w:tc>
          <w:tcPr>
            <w:tcW w:w="380" w:type="dxa"/>
            <w:vAlign w:val="bottom"/>
            <w:tcBorders>
              <w:top w:val="single" w:sz="8" w:color="51555C"/>
            </w:tcBorders>
          </w:tcPr>
          <w:p>
            <w:pPr>
              <w:spacing w:after="0"/>
              <w:rPr>
                <w:sz w:val="17"/>
                <w:szCs w:val="17"/>
                <w:color w:val="auto"/>
              </w:rPr>
            </w:pPr>
          </w:p>
        </w:tc>
        <w:tc>
          <w:tcPr>
            <w:tcW w:w="92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853,263</w:t>
            </w:r>
          </w:p>
        </w:tc>
        <w:tc>
          <w:tcPr>
            <w:tcW w:w="100" w:type="dxa"/>
            <w:vAlign w:val="bottom"/>
            <w:tcBorders>
              <w:top w:val="single" w:sz="8" w:color="51555C"/>
            </w:tcBorders>
          </w:tcPr>
          <w:p>
            <w:pPr>
              <w:spacing w:after="0"/>
              <w:rPr>
                <w:sz w:val="17"/>
                <w:szCs w:val="17"/>
                <w:color w:val="auto"/>
              </w:rPr>
            </w:pPr>
          </w:p>
        </w:tc>
        <w:tc>
          <w:tcPr>
            <w:tcW w:w="12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810,421</w:t>
            </w:r>
          </w:p>
        </w:tc>
        <w:tc>
          <w:tcPr>
            <w:tcW w:w="20" w:type="dxa"/>
            <w:vAlign w:val="bottom"/>
          </w:tcPr>
          <w:p>
            <w:pPr>
              <w:spacing w:after="0"/>
              <w:rPr>
                <w:sz w:val="17"/>
                <w:szCs w:val="17"/>
                <w:color w:val="auto"/>
              </w:rPr>
            </w:pPr>
          </w:p>
        </w:tc>
      </w:tr>
      <w:tr>
        <w:trPr>
          <w:trHeight w:val="41"/>
        </w:trPr>
        <w:tc>
          <w:tcPr>
            <w:tcW w:w="594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5940" w:type="dxa"/>
            <w:vAlign w:val="bottom"/>
            <w:tcBorders>
              <w:bottom w:val="single" w:sz="8" w:color="EBFBFF"/>
            </w:tcBorders>
            <w:gridSpan w:val="2"/>
            <w:shd w:val="clear" w:color="auto" w:fill="EBFBFF"/>
          </w:tcPr>
          <w:p>
            <w:pPr>
              <w:ind w:left="20"/>
              <w:spacing w:after="0"/>
              <w:rPr>
                <w:sz w:val="20"/>
                <w:szCs w:val="20"/>
                <w:color w:val="auto"/>
              </w:rPr>
            </w:pPr>
            <w:r>
              <w:rPr>
                <w:rFonts w:ascii="Calibri" w:cs="Calibri" w:eastAsia="Calibri" w:hAnsi="Calibri"/>
                <w:sz w:val="16"/>
                <w:szCs w:val="16"/>
                <w:b w:val="1"/>
                <w:bCs w:val="1"/>
                <w:color w:val="51555C"/>
              </w:rPr>
              <w:t>Cost of revenue</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260" w:type="dxa"/>
            <w:vAlign w:val="bottom"/>
            <w:tcBorders>
              <w:bottom w:val="single" w:sz="8" w:color="EBFBFF"/>
            </w:tcBorders>
            <w:shd w:val="clear" w:color="auto" w:fill="EBFBFF"/>
          </w:tcPr>
          <w:p>
            <w:pPr>
              <w:spacing w:after="0"/>
              <w:rPr>
                <w:sz w:val="19"/>
                <w:szCs w:val="19"/>
                <w:color w:val="auto"/>
              </w:rPr>
            </w:pPr>
          </w:p>
        </w:tc>
        <w:tc>
          <w:tcPr>
            <w:tcW w:w="1060" w:type="dxa"/>
            <w:vAlign w:val="bottom"/>
            <w:tcBorders>
              <w:bottom w:val="single" w:sz="8" w:color="EBFBFF"/>
              <w:right w:val="single" w:sz="8" w:color="EBFBFF"/>
            </w:tcBorders>
            <w:shd w:val="clear" w:color="auto" w:fill="EBFBFF"/>
          </w:tcPr>
          <w:p>
            <w:pPr>
              <w:spacing w:after="0"/>
              <w:rPr>
                <w:sz w:val="19"/>
                <w:szCs w:val="19"/>
                <w:color w:val="auto"/>
              </w:rPr>
            </w:pPr>
          </w:p>
        </w:tc>
        <w:tc>
          <w:tcPr>
            <w:tcW w:w="80" w:type="dxa"/>
            <w:vAlign w:val="bottom"/>
            <w:tcBorders>
              <w:bottom w:val="single" w:sz="8" w:color="EBFBFF"/>
            </w:tcBorders>
            <w:shd w:val="clear" w:color="auto" w:fill="EBFBFF"/>
          </w:tcPr>
          <w:p>
            <w:pPr>
              <w:spacing w:after="0"/>
              <w:rPr>
                <w:sz w:val="19"/>
                <w:szCs w:val="19"/>
                <w:color w:val="auto"/>
              </w:rPr>
            </w:pPr>
          </w:p>
        </w:tc>
        <w:tc>
          <w:tcPr>
            <w:tcW w:w="380" w:type="dxa"/>
            <w:vAlign w:val="bottom"/>
            <w:tcBorders>
              <w:bottom w:val="single" w:sz="8" w:color="EBFBFF"/>
            </w:tcBorders>
            <w:shd w:val="clear" w:color="auto" w:fill="EBFBFF"/>
          </w:tcPr>
          <w:p>
            <w:pPr>
              <w:spacing w:after="0"/>
              <w:rPr>
                <w:sz w:val="19"/>
                <w:szCs w:val="19"/>
                <w:color w:val="auto"/>
              </w:rPr>
            </w:pPr>
          </w:p>
        </w:tc>
        <w:tc>
          <w:tcPr>
            <w:tcW w:w="920" w:type="dxa"/>
            <w:vAlign w:val="bottom"/>
            <w:tcBorders>
              <w:bottom w:val="single" w:sz="8" w:color="EBFBFF"/>
            </w:tcBorders>
            <w:shd w:val="clear" w:color="auto" w:fill="EBFBFF"/>
          </w:tcPr>
          <w:p>
            <w:pPr>
              <w:spacing w:after="0"/>
              <w:rPr>
                <w:sz w:val="19"/>
                <w:szCs w:val="19"/>
                <w:color w:val="auto"/>
              </w:rPr>
            </w:pPr>
          </w:p>
        </w:tc>
        <w:tc>
          <w:tcPr>
            <w:tcW w:w="100" w:type="dxa"/>
            <w:vAlign w:val="bottom"/>
            <w:tcBorders>
              <w:bottom w:val="single" w:sz="8" w:color="EBFBFF"/>
            </w:tcBorders>
            <w:shd w:val="clear" w:color="auto" w:fill="EBFBFF"/>
          </w:tcPr>
          <w:p>
            <w:pPr>
              <w:spacing w:after="0"/>
              <w:rPr>
                <w:sz w:val="19"/>
                <w:szCs w:val="19"/>
                <w:color w:val="auto"/>
              </w:rPr>
            </w:pPr>
          </w:p>
        </w:tc>
        <w:tc>
          <w:tcPr>
            <w:tcW w:w="1200" w:type="dxa"/>
            <w:vAlign w:val="bottom"/>
            <w:tcBorders>
              <w:bottom w:val="single" w:sz="8" w:color="EBFBFF"/>
            </w:tcBorders>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180" w:type="dxa"/>
            <w:vAlign w:val="bottom"/>
          </w:tcPr>
          <w:p>
            <w:pPr>
              <w:spacing w:after="0"/>
              <w:rPr>
                <w:sz w:val="17"/>
                <w:szCs w:val="17"/>
                <w:color w:val="auto"/>
              </w:rPr>
            </w:pPr>
          </w:p>
        </w:tc>
        <w:tc>
          <w:tcPr>
            <w:tcW w:w="5760" w:type="dxa"/>
            <w:vAlign w:val="bottom"/>
          </w:tcPr>
          <w:p>
            <w:pPr>
              <w:ind w:left="60"/>
              <w:spacing w:after="0"/>
              <w:rPr>
                <w:sz w:val="20"/>
                <w:szCs w:val="20"/>
                <w:color w:val="auto"/>
              </w:rPr>
            </w:pPr>
            <w:r>
              <w:rPr>
                <w:rFonts w:ascii="Calibri" w:cs="Calibri" w:eastAsia="Calibri" w:hAnsi="Calibri"/>
                <w:sz w:val="16"/>
                <w:szCs w:val="16"/>
                <w:color w:val="51555C"/>
              </w:rPr>
              <w:t>Cost of recurring</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122,646</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alibri" w:cs="Calibri" w:eastAsia="Calibri" w:hAnsi="Calibri"/>
                <w:sz w:val="16"/>
                <w:szCs w:val="16"/>
                <w:color w:val="51555C"/>
              </w:rPr>
              <w:t>114,132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361,644</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alibri" w:cs="Calibri" w:eastAsia="Calibri" w:hAnsi="Calibri"/>
                <w:sz w:val="16"/>
                <w:szCs w:val="16"/>
                <w:color w:val="51555C"/>
              </w:rPr>
              <w:t>342,558</w:t>
            </w:r>
          </w:p>
        </w:tc>
        <w:tc>
          <w:tcPr>
            <w:tcW w:w="20" w:type="dxa"/>
            <w:vAlign w:val="bottom"/>
          </w:tcPr>
          <w:p>
            <w:pPr>
              <w:spacing w:after="0"/>
              <w:rPr>
                <w:sz w:val="17"/>
                <w:szCs w:val="17"/>
                <w:color w:val="auto"/>
              </w:rPr>
            </w:pPr>
          </w:p>
        </w:tc>
      </w:tr>
      <w:tr>
        <w:trPr>
          <w:trHeight w:val="41"/>
        </w:trPr>
        <w:tc>
          <w:tcPr>
            <w:tcW w:w="180" w:type="dxa"/>
            <w:vAlign w:val="bottom"/>
          </w:tcPr>
          <w:p>
            <w:pPr>
              <w:spacing w:after="0"/>
              <w:rPr>
                <w:sz w:val="3"/>
                <w:szCs w:val="3"/>
                <w:color w:val="auto"/>
              </w:rPr>
            </w:pPr>
          </w:p>
        </w:tc>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180" w:type="dxa"/>
            <w:vAlign w:val="bottom"/>
            <w:tcBorders>
              <w:bottom w:val="single" w:sz="8" w:color="EBFBFF"/>
            </w:tcBorders>
            <w:shd w:val="clear" w:color="auto" w:fill="EBFBFF"/>
          </w:tcPr>
          <w:p>
            <w:pPr>
              <w:spacing w:after="0"/>
              <w:rPr>
                <w:sz w:val="21"/>
                <w:szCs w:val="21"/>
                <w:color w:val="auto"/>
              </w:rPr>
            </w:pPr>
          </w:p>
        </w:tc>
        <w:tc>
          <w:tcPr>
            <w:tcW w:w="5760" w:type="dxa"/>
            <w:vAlign w:val="bottom"/>
            <w:tcBorders>
              <w:bottom w:val="single" w:sz="8" w:color="EBFBFF"/>
            </w:tcBorders>
            <w:shd w:val="clear" w:color="auto" w:fill="EBFBFF"/>
          </w:tcPr>
          <w:p>
            <w:pPr>
              <w:ind w:left="60"/>
              <w:spacing w:after="0"/>
              <w:rPr>
                <w:sz w:val="20"/>
                <w:szCs w:val="20"/>
                <w:color w:val="auto"/>
              </w:rPr>
            </w:pPr>
            <w:r>
              <w:rPr>
                <w:rFonts w:ascii="Calibri" w:cs="Calibri" w:eastAsia="Calibri" w:hAnsi="Calibri"/>
                <w:sz w:val="16"/>
                <w:szCs w:val="16"/>
                <w:color w:val="51555C"/>
              </w:rPr>
              <w:t>Cost of one-tme services and other</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4,871</w:t>
            </w:r>
          </w:p>
        </w:tc>
        <w:tc>
          <w:tcPr>
            <w:tcW w:w="2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7,634</w:t>
            </w:r>
          </w:p>
        </w:tc>
        <w:tc>
          <w:tcPr>
            <w:tcW w:w="80" w:type="dxa"/>
            <w:vAlign w:val="bottom"/>
            <w:tcBorders>
              <w:bottom w:val="single" w:sz="8" w:color="EBFBFF"/>
            </w:tcBorders>
            <w:shd w:val="clear" w:color="auto" w:fill="EBFBFF"/>
          </w:tcPr>
          <w:p>
            <w:pPr>
              <w:spacing w:after="0"/>
              <w:rPr>
                <w:sz w:val="21"/>
                <w:szCs w:val="21"/>
                <w:color w:val="auto"/>
              </w:rPr>
            </w:pPr>
          </w:p>
        </w:tc>
        <w:tc>
          <w:tcPr>
            <w:tcW w:w="38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16,779</w:t>
            </w:r>
          </w:p>
        </w:tc>
        <w:tc>
          <w:tcPr>
            <w:tcW w:w="10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23,795</w:t>
            </w:r>
          </w:p>
        </w:tc>
        <w:tc>
          <w:tcPr>
            <w:tcW w:w="2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5760" w:type="dxa"/>
            <w:vAlign w:val="bottom"/>
          </w:tcPr>
          <w:p>
            <w:pPr>
              <w:ind w:left="280"/>
              <w:spacing w:after="0" w:line="182" w:lineRule="exact"/>
              <w:rPr>
                <w:sz w:val="20"/>
                <w:szCs w:val="20"/>
                <w:color w:val="auto"/>
              </w:rPr>
            </w:pPr>
            <w:r>
              <w:rPr>
                <w:rFonts w:ascii="Calibri" w:cs="Calibri" w:eastAsia="Calibri" w:hAnsi="Calibri"/>
                <w:sz w:val="16"/>
                <w:szCs w:val="16"/>
                <w:b w:val="1"/>
                <w:bCs w:val="1"/>
                <w:color w:val="51555C"/>
              </w:rPr>
              <w:t>Total cost of revenue</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127,517</w:t>
            </w:r>
          </w:p>
        </w:tc>
        <w:tc>
          <w:tcPr>
            <w:tcW w:w="260" w:type="dxa"/>
            <w:vAlign w:val="bottom"/>
            <w:tcBorders>
              <w:top w:val="single" w:sz="8" w:color="51555C"/>
            </w:tcBorders>
          </w:tcPr>
          <w:p>
            <w:pPr>
              <w:spacing w:after="0"/>
              <w:rPr>
                <w:sz w:val="17"/>
                <w:szCs w:val="17"/>
                <w:color w:val="auto"/>
              </w:rPr>
            </w:pPr>
          </w:p>
        </w:tc>
        <w:tc>
          <w:tcPr>
            <w:tcW w:w="10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121,766</w:t>
            </w:r>
          </w:p>
        </w:tc>
        <w:tc>
          <w:tcPr>
            <w:tcW w:w="80" w:type="dxa"/>
            <w:vAlign w:val="bottom"/>
          </w:tcPr>
          <w:p>
            <w:pPr>
              <w:spacing w:after="0"/>
              <w:rPr>
                <w:sz w:val="17"/>
                <w:szCs w:val="17"/>
                <w:color w:val="auto"/>
              </w:rPr>
            </w:pPr>
          </w:p>
        </w:tc>
        <w:tc>
          <w:tcPr>
            <w:tcW w:w="380" w:type="dxa"/>
            <w:vAlign w:val="bottom"/>
            <w:tcBorders>
              <w:top w:val="single" w:sz="8" w:color="51555C"/>
            </w:tcBorders>
          </w:tcPr>
          <w:p>
            <w:pPr>
              <w:spacing w:after="0"/>
              <w:rPr>
                <w:sz w:val="17"/>
                <w:szCs w:val="17"/>
                <w:color w:val="auto"/>
              </w:rPr>
            </w:pPr>
          </w:p>
        </w:tc>
        <w:tc>
          <w:tcPr>
            <w:tcW w:w="92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378,423</w:t>
            </w:r>
          </w:p>
        </w:tc>
        <w:tc>
          <w:tcPr>
            <w:tcW w:w="100" w:type="dxa"/>
            <w:vAlign w:val="bottom"/>
            <w:tcBorders>
              <w:top w:val="single" w:sz="8" w:color="51555C"/>
            </w:tcBorders>
          </w:tcPr>
          <w:p>
            <w:pPr>
              <w:spacing w:after="0"/>
              <w:rPr>
                <w:sz w:val="17"/>
                <w:szCs w:val="17"/>
                <w:color w:val="auto"/>
              </w:rPr>
            </w:pPr>
          </w:p>
        </w:tc>
        <w:tc>
          <w:tcPr>
            <w:tcW w:w="12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366,353</w:t>
            </w:r>
          </w:p>
        </w:tc>
        <w:tc>
          <w:tcPr>
            <w:tcW w:w="20" w:type="dxa"/>
            <w:vAlign w:val="bottom"/>
          </w:tcPr>
          <w:p>
            <w:pPr>
              <w:spacing w:after="0"/>
              <w:rPr>
                <w:sz w:val="17"/>
                <w:szCs w:val="17"/>
                <w:color w:val="auto"/>
              </w:rPr>
            </w:pPr>
          </w:p>
        </w:tc>
      </w:tr>
      <w:tr>
        <w:trPr>
          <w:trHeight w:val="41"/>
        </w:trPr>
        <w:tc>
          <w:tcPr>
            <w:tcW w:w="5940" w:type="dxa"/>
            <w:vAlign w:val="bottom"/>
            <w:tcBorders>
              <w:bottom w:val="single" w:sz="8" w:color="EBFBFF"/>
            </w:tcBorders>
            <w:gridSpan w:val="2"/>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60" w:type="dxa"/>
            <w:vAlign w:val="bottom"/>
            <w:tcBorders>
              <w:bottom w:val="single" w:sz="8" w:color="51555C"/>
            </w:tcBorders>
          </w:tcPr>
          <w:p>
            <w:pPr>
              <w:spacing w:after="0"/>
              <w:rPr>
                <w:sz w:val="3"/>
                <w:szCs w:val="3"/>
                <w:color w:val="auto"/>
              </w:rPr>
            </w:pPr>
          </w:p>
        </w:tc>
        <w:tc>
          <w:tcPr>
            <w:tcW w:w="1060" w:type="dxa"/>
            <w:vAlign w:val="bottom"/>
            <w:tcBorders>
              <w:bottom w:val="single" w:sz="8" w:color="51555C"/>
            </w:tcBorders>
          </w:tcPr>
          <w:p>
            <w:pPr>
              <w:spacing w:after="0"/>
              <w:rPr>
                <w:sz w:val="3"/>
                <w:szCs w:val="3"/>
                <w:color w:val="auto"/>
              </w:rPr>
            </w:pPr>
          </w:p>
        </w:tc>
        <w:tc>
          <w:tcPr>
            <w:tcW w:w="80" w:type="dxa"/>
            <w:vAlign w:val="bottom"/>
            <w:tcBorders>
              <w:bottom w:val="single" w:sz="8" w:color="EBFBFF"/>
            </w:tcBorders>
          </w:tcPr>
          <w:p>
            <w:pPr>
              <w:spacing w:after="0"/>
              <w:rPr>
                <w:sz w:val="3"/>
                <w:szCs w:val="3"/>
                <w:color w:val="auto"/>
              </w:rPr>
            </w:pPr>
          </w:p>
        </w:tc>
        <w:tc>
          <w:tcPr>
            <w:tcW w:w="38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00" w:type="dxa"/>
            <w:vAlign w:val="bottom"/>
            <w:tcBorders>
              <w:bottom w:val="single" w:sz="8" w:color="51555C"/>
            </w:tcBorders>
          </w:tcPr>
          <w:p>
            <w:pPr>
              <w:spacing w:after="0"/>
              <w:rPr>
                <w:sz w:val="3"/>
                <w:szCs w:val="3"/>
                <w:color w:val="auto"/>
              </w:rPr>
            </w:pPr>
          </w:p>
        </w:tc>
        <w:tc>
          <w:tcPr>
            <w:tcW w:w="12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5940" w:type="dxa"/>
            <w:vAlign w:val="bottom"/>
            <w:tcBorders>
              <w:bottom w:val="single" w:sz="8" w:color="EBFBFF"/>
            </w:tcBorders>
            <w:gridSpan w:val="2"/>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Gross proft</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159,210</w:t>
            </w:r>
          </w:p>
        </w:tc>
        <w:tc>
          <w:tcPr>
            <w:tcW w:w="260" w:type="dxa"/>
            <w:vAlign w:val="bottom"/>
            <w:tcBorders>
              <w:bottom w:val="single" w:sz="8" w:color="EBFBFF"/>
            </w:tcBorders>
            <w:shd w:val="clear" w:color="auto" w:fill="EBFBFF"/>
          </w:tcPr>
          <w:p>
            <w:pPr>
              <w:spacing w:after="0"/>
              <w:rPr>
                <w:sz w:val="20"/>
                <w:szCs w:val="20"/>
                <w:color w:val="auto"/>
              </w:rPr>
            </w:pPr>
          </w:p>
        </w:tc>
        <w:tc>
          <w:tcPr>
            <w:tcW w:w="10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155,860</w:t>
            </w:r>
          </w:p>
        </w:tc>
        <w:tc>
          <w:tcPr>
            <w:tcW w:w="80" w:type="dxa"/>
            <w:vAlign w:val="bottom"/>
            <w:tcBorders>
              <w:bottom w:val="single" w:sz="8" w:color="EBFBFF"/>
            </w:tcBorders>
            <w:shd w:val="clear" w:color="auto" w:fill="EBFBFF"/>
          </w:tcPr>
          <w:p>
            <w:pPr>
              <w:spacing w:after="0"/>
              <w:rPr>
                <w:sz w:val="20"/>
                <w:szCs w:val="20"/>
                <w:color w:val="auto"/>
              </w:rPr>
            </w:pPr>
          </w:p>
        </w:tc>
        <w:tc>
          <w:tcPr>
            <w:tcW w:w="380" w:type="dxa"/>
            <w:vAlign w:val="bottom"/>
            <w:tcBorders>
              <w:bottom w:val="single" w:sz="8" w:color="EBFBFF"/>
            </w:tcBorders>
            <w:shd w:val="clear" w:color="auto" w:fill="EBFBFF"/>
          </w:tcPr>
          <w:p>
            <w:pPr>
              <w:spacing w:after="0"/>
              <w:rPr>
                <w:sz w:val="20"/>
                <w:szCs w:val="20"/>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474,840</w:t>
            </w:r>
          </w:p>
        </w:tc>
        <w:tc>
          <w:tcPr>
            <w:tcW w:w="100" w:type="dxa"/>
            <w:vAlign w:val="bottom"/>
            <w:tcBorders>
              <w:bottom w:val="single" w:sz="8" w:color="EBFBFF"/>
            </w:tcBorders>
            <w:shd w:val="clear" w:color="auto" w:fill="EBFBFF"/>
          </w:tcPr>
          <w:p>
            <w:pPr>
              <w:spacing w:after="0"/>
              <w:rPr>
                <w:sz w:val="20"/>
                <w:szCs w:val="20"/>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444,068</w:t>
            </w:r>
          </w:p>
        </w:tc>
        <w:tc>
          <w:tcPr>
            <w:tcW w:w="20" w:type="dxa"/>
            <w:vAlign w:val="bottom"/>
          </w:tcPr>
          <w:p>
            <w:pPr>
              <w:spacing w:after="0"/>
              <w:rPr>
                <w:sz w:val="20"/>
                <w:szCs w:val="20"/>
                <w:color w:val="auto"/>
              </w:rPr>
            </w:pPr>
          </w:p>
        </w:tc>
      </w:tr>
      <w:tr>
        <w:trPr>
          <w:trHeight w:val="182"/>
        </w:trPr>
        <w:tc>
          <w:tcPr>
            <w:tcW w:w="5940" w:type="dxa"/>
            <w:vAlign w:val="bottom"/>
            <w:gridSpan w:val="2"/>
          </w:tcPr>
          <w:p>
            <w:pPr>
              <w:ind w:left="20"/>
              <w:spacing w:after="0" w:line="182" w:lineRule="exact"/>
              <w:rPr>
                <w:sz w:val="20"/>
                <w:szCs w:val="20"/>
                <w:color w:val="auto"/>
              </w:rPr>
            </w:pPr>
            <w:r>
              <w:rPr>
                <w:rFonts w:ascii="Calibri" w:cs="Calibri" w:eastAsia="Calibri" w:hAnsi="Calibri"/>
                <w:sz w:val="16"/>
                <w:szCs w:val="16"/>
                <w:b w:val="1"/>
                <w:bCs w:val="1"/>
                <w:color w:val="51555C"/>
              </w:rPr>
              <w:t>Operatng expenses</w:t>
            </w:r>
          </w:p>
        </w:tc>
        <w:tc>
          <w:tcPr>
            <w:tcW w:w="300" w:type="dxa"/>
            <w:vAlign w:val="bottom"/>
            <w:tcBorders>
              <w:top w:val="single" w:sz="8" w:color="51555C"/>
            </w:tcBorders>
          </w:tcPr>
          <w:p>
            <w:pPr>
              <w:spacing w:after="0"/>
              <w:rPr>
                <w:sz w:val="15"/>
                <w:szCs w:val="15"/>
                <w:color w:val="auto"/>
              </w:rPr>
            </w:pPr>
          </w:p>
        </w:tc>
        <w:tc>
          <w:tcPr>
            <w:tcW w:w="1000" w:type="dxa"/>
            <w:vAlign w:val="bottom"/>
            <w:tcBorders>
              <w:top w:val="single" w:sz="8" w:color="51555C"/>
            </w:tcBorders>
          </w:tcPr>
          <w:p>
            <w:pPr>
              <w:spacing w:after="0"/>
              <w:rPr>
                <w:sz w:val="15"/>
                <w:szCs w:val="15"/>
                <w:color w:val="auto"/>
              </w:rPr>
            </w:pPr>
          </w:p>
        </w:tc>
        <w:tc>
          <w:tcPr>
            <w:tcW w:w="260" w:type="dxa"/>
            <w:vAlign w:val="bottom"/>
            <w:tcBorders>
              <w:top w:val="single" w:sz="8" w:color="51555C"/>
            </w:tcBorders>
          </w:tcPr>
          <w:p>
            <w:pPr>
              <w:spacing w:after="0"/>
              <w:rPr>
                <w:sz w:val="15"/>
                <w:szCs w:val="15"/>
                <w:color w:val="auto"/>
              </w:rPr>
            </w:pPr>
          </w:p>
        </w:tc>
        <w:tc>
          <w:tcPr>
            <w:tcW w:w="1060" w:type="dxa"/>
            <w:vAlign w:val="bottom"/>
            <w:tcBorders>
              <w:top w:val="single" w:sz="8" w:color="51555C"/>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51555C"/>
            </w:tcBorders>
          </w:tcPr>
          <w:p>
            <w:pPr>
              <w:spacing w:after="0"/>
              <w:rPr>
                <w:sz w:val="15"/>
                <w:szCs w:val="15"/>
                <w:color w:val="auto"/>
              </w:rPr>
            </w:pPr>
          </w:p>
        </w:tc>
        <w:tc>
          <w:tcPr>
            <w:tcW w:w="920" w:type="dxa"/>
            <w:vAlign w:val="bottom"/>
            <w:tcBorders>
              <w:top w:val="single" w:sz="8" w:color="51555C"/>
            </w:tcBorders>
          </w:tcPr>
          <w:p>
            <w:pPr>
              <w:spacing w:after="0"/>
              <w:rPr>
                <w:sz w:val="15"/>
                <w:szCs w:val="15"/>
                <w:color w:val="auto"/>
              </w:rPr>
            </w:pPr>
          </w:p>
        </w:tc>
        <w:tc>
          <w:tcPr>
            <w:tcW w:w="100" w:type="dxa"/>
            <w:vAlign w:val="bottom"/>
            <w:tcBorders>
              <w:top w:val="single" w:sz="8" w:color="51555C"/>
            </w:tcBorders>
          </w:tcPr>
          <w:p>
            <w:pPr>
              <w:spacing w:after="0"/>
              <w:rPr>
                <w:sz w:val="15"/>
                <w:szCs w:val="15"/>
                <w:color w:val="auto"/>
              </w:rPr>
            </w:pPr>
          </w:p>
        </w:tc>
        <w:tc>
          <w:tcPr>
            <w:tcW w:w="1200" w:type="dxa"/>
            <w:vAlign w:val="bottom"/>
            <w:tcBorders>
              <w:top w:val="single" w:sz="8" w:color="51555C"/>
            </w:tcBorders>
          </w:tcPr>
          <w:p>
            <w:pPr>
              <w:spacing w:after="0"/>
              <w:rPr>
                <w:sz w:val="15"/>
                <w:szCs w:val="15"/>
                <w:color w:val="auto"/>
              </w:rPr>
            </w:pPr>
          </w:p>
        </w:tc>
        <w:tc>
          <w:tcPr>
            <w:tcW w:w="20" w:type="dxa"/>
            <w:vAlign w:val="bottom"/>
          </w:tcPr>
          <w:p>
            <w:pPr>
              <w:spacing w:after="0"/>
              <w:rPr>
                <w:sz w:val="15"/>
                <w:szCs w:val="15"/>
                <w:color w:val="auto"/>
              </w:rPr>
            </w:pPr>
          </w:p>
        </w:tc>
      </w:tr>
      <w:tr>
        <w:trPr>
          <w:trHeight w:val="41"/>
        </w:trPr>
        <w:tc>
          <w:tcPr>
            <w:tcW w:w="180" w:type="dxa"/>
            <w:vAlign w:val="bottom"/>
          </w:tcPr>
          <w:p>
            <w:pPr>
              <w:spacing w:after="0"/>
              <w:rPr>
                <w:sz w:val="3"/>
                <w:szCs w:val="3"/>
                <w:color w:val="auto"/>
              </w:rPr>
            </w:pPr>
          </w:p>
        </w:tc>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180" w:type="dxa"/>
            <w:vAlign w:val="bottom"/>
            <w:tcBorders>
              <w:bottom w:val="single" w:sz="8" w:color="EBFBFF"/>
            </w:tcBorders>
            <w:shd w:val="clear" w:color="auto" w:fill="EBFBFF"/>
          </w:tcPr>
          <w:p>
            <w:pPr>
              <w:spacing w:after="0"/>
              <w:rPr>
                <w:sz w:val="19"/>
                <w:szCs w:val="19"/>
                <w:color w:val="auto"/>
              </w:rPr>
            </w:pPr>
          </w:p>
        </w:tc>
        <w:tc>
          <w:tcPr>
            <w:tcW w:w="5760" w:type="dxa"/>
            <w:vAlign w:val="bottom"/>
            <w:tcBorders>
              <w:bottom w:val="single" w:sz="8" w:color="EBFBFF"/>
            </w:tcBorders>
            <w:shd w:val="clear" w:color="auto" w:fill="EBFBFF"/>
          </w:tcPr>
          <w:p>
            <w:pPr>
              <w:ind w:left="60"/>
              <w:spacing w:after="0"/>
              <w:rPr>
                <w:sz w:val="20"/>
                <w:szCs w:val="20"/>
                <w:color w:val="auto"/>
              </w:rPr>
            </w:pPr>
            <w:r>
              <w:rPr>
                <w:rFonts w:ascii="Calibri" w:cs="Calibri" w:eastAsia="Calibri" w:hAnsi="Calibri"/>
                <w:sz w:val="16"/>
                <w:szCs w:val="16"/>
                <w:color w:val="51555C"/>
              </w:rPr>
              <w:t>Sales, marketng and customer success</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49,454</w:t>
            </w:r>
          </w:p>
        </w:tc>
        <w:tc>
          <w:tcPr>
            <w:tcW w:w="260" w:type="dxa"/>
            <w:vAlign w:val="bottom"/>
            <w:tcBorders>
              <w:bottom w:val="single" w:sz="8" w:color="EBFBFF"/>
            </w:tcBorders>
            <w:shd w:val="clear" w:color="auto" w:fill="EBFBFF"/>
          </w:tcPr>
          <w:p>
            <w:pPr>
              <w:spacing w:after="0"/>
              <w:rPr>
                <w:sz w:val="19"/>
                <w:szCs w:val="19"/>
                <w:color w:val="auto"/>
              </w:rPr>
            </w:pPr>
          </w:p>
        </w:tc>
        <w:tc>
          <w:tcPr>
            <w:tcW w:w="10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52,462</w:t>
            </w:r>
          </w:p>
        </w:tc>
        <w:tc>
          <w:tcPr>
            <w:tcW w:w="80" w:type="dxa"/>
            <w:vAlign w:val="bottom"/>
            <w:tcBorders>
              <w:bottom w:val="single" w:sz="8" w:color="EBFBFF"/>
            </w:tcBorders>
            <w:shd w:val="clear" w:color="auto" w:fill="EBFBFF"/>
          </w:tcPr>
          <w:p>
            <w:pPr>
              <w:spacing w:after="0"/>
              <w:rPr>
                <w:sz w:val="19"/>
                <w:szCs w:val="19"/>
                <w:color w:val="auto"/>
              </w:rPr>
            </w:pPr>
          </w:p>
        </w:tc>
        <w:tc>
          <w:tcPr>
            <w:tcW w:w="380" w:type="dxa"/>
            <w:vAlign w:val="bottom"/>
            <w:tcBorders>
              <w:bottom w:val="single" w:sz="8" w:color="EBFBFF"/>
            </w:tcBorders>
            <w:shd w:val="clear" w:color="auto" w:fill="EBFBFF"/>
          </w:tcPr>
          <w:p>
            <w:pPr>
              <w:spacing w:after="0"/>
              <w:rPr>
                <w:sz w:val="19"/>
                <w:szCs w:val="19"/>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147,400</w:t>
            </w:r>
          </w:p>
        </w:tc>
        <w:tc>
          <w:tcPr>
            <w:tcW w:w="100" w:type="dxa"/>
            <w:vAlign w:val="bottom"/>
            <w:tcBorders>
              <w:bottom w:val="single" w:sz="8" w:color="EBFBFF"/>
            </w:tcBorders>
            <w:shd w:val="clear" w:color="auto" w:fill="EBFBFF"/>
          </w:tcPr>
          <w:p>
            <w:pPr>
              <w:spacing w:after="0"/>
              <w:rPr>
                <w:sz w:val="19"/>
                <w:szCs w:val="19"/>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160,038</w:t>
            </w:r>
          </w:p>
        </w:tc>
        <w:tc>
          <w:tcPr>
            <w:tcW w:w="20" w:type="dxa"/>
            <w:vAlign w:val="bottom"/>
          </w:tcPr>
          <w:p>
            <w:pPr>
              <w:spacing w:after="0"/>
              <w:rPr>
                <w:sz w:val="19"/>
                <w:szCs w:val="19"/>
                <w:color w:val="auto"/>
              </w:rPr>
            </w:pPr>
          </w:p>
        </w:tc>
      </w:tr>
      <w:tr>
        <w:trPr>
          <w:trHeight w:val="202"/>
        </w:trPr>
        <w:tc>
          <w:tcPr>
            <w:tcW w:w="180" w:type="dxa"/>
            <w:vAlign w:val="bottom"/>
          </w:tcPr>
          <w:p>
            <w:pPr>
              <w:spacing w:after="0"/>
              <w:rPr>
                <w:sz w:val="17"/>
                <w:szCs w:val="17"/>
                <w:color w:val="auto"/>
              </w:rPr>
            </w:pPr>
          </w:p>
        </w:tc>
        <w:tc>
          <w:tcPr>
            <w:tcW w:w="5760" w:type="dxa"/>
            <w:vAlign w:val="bottom"/>
          </w:tcPr>
          <w:p>
            <w:pPr>
              <w:ind w:left="60"/>
              <w:spacing w:after="0"/>
              <w:rPr>
                <w:sz w:val="20"/>
                <w:szCs w:val="20"/>
                <w:color w:val="auto"/>
              </w:rPr>
            </w:pPr>
            <w:r>
              <w:rPr>
                <w:rFonts w:ascii="Calibri" w:cs="Calibri" w:eastAsia="Calibri" w:hAnsi="Calibri"/>
                <w:sz w:val="16"/>
                <w:szCs w:val="16"/>
                <w:color w:val="51555C"/>
              </w:rPr>
              <w:t>Research and development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39,368</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alibri" w:cs="Calibri" w:eastAsia="Calibri" w:hAnsi="Calibri"/>
                <w:sz w:val="16"/>
                <w:szCs w:val="16"/>
                <w:color w:val="51555C"/>
              </w:rPr>
              <w:t>37,965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121,238</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alibri" w:cs="Calibri" w:eastAsia="Calibri" w:hAnsi="Calibri"/>
                <w:sz w:val="16"/>
                <w:szCs w:val="16"/>
                <w:color w:val="51555C"/>
              </w:rPr>
              <w:t>114,702</w:t>
            </w:r>
          </w:p>
        </w:tc>
        <w:tc>
          <w:tcPr>
            <w:tcW w:w="20" w:type="dxa"/>
            <w:vAlign w:val="bottom"/>
          </w:tcPr>
          <w:p>
            <w:pPr>
              <w:spacing w:after="0"/>
              <w:rPr>
                <w:sz w:val="17"/>
                <w:szCs w:val="17"/>
                <w:color w:val="auto"/>
              </w:rPr>
            </w:pPr>
          </w:p>
        </w:tc>
      </w:tr>
      <w:tr>
        <w:trPr>
          <w:trHeight w:val="41"/>
        </w:trPr>
        <w:tc>
          <w:tcPr>
            <w:tcW w:w="180" w:type="dxa"/>
            <w:vAlign w:val="bottom"/>
          </w:tcPr>
          <w:p>
            <w:pPr>
              <w:spacing w:after="0"/>
              <w:rPr>
                <w:sz w:val="3"/>
                <w:szCs w:val="3"/>
                <w:color w:val="auto"/>
              </w:rPr>
            </w:pPr>
          </w:p>
        </w:tc>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180" w:type="dxa"/>
            <w:vAlign w:val="bottom"/>
            <w:tcBorders>
              <w:bottom w:val="single" w:sz="8" w:color="EBFBFF"/>
            </w:tcBorders>
            <w:shd w:val="clear" w:color="auto" w:fill="EBFBFF"/>
          </w:tcPr>
          <w:p>
            <w:pPr>
              <w:spacing w:after="0"/>
              <w:rPr>
                <w:sz w:val="19"/>
                <w:szCs w:val="19"/>
                <w:color w:val="auto"/>
              </w:rPr>
            </w:pPr>
          </w:p>
        </w:tc>
        <w:tc>
          <w:tcPr>
            <w:tcW w:w="5760" w:type="dxa"/>
            <w:vAlign w:val="bottom"/>
            <w:tcBorders>
              <w:bottom w:val="single" w:sz="8" w:color="EBFBFF"/>
            </w:tcBorders>
            <w:shd w:val="clear" w:color="auto" w:fill="EBFBFF"/>
          </w:tcPr>
          <w:p>
            <w:pPr>
              <w:ind w:left="60"/>
              <w:spacing w:after="0"/>
              <w:rPr>
                <w:sz w:val="20"/>
                <w:szCs w:val="20"/>
                <w:color w:val="auto"/>
              </w:rPr>
            </w:pPr>
            <w:r>
              <w:rPr>
                <w:rFonts w:ascii="Calibri" w:cs="Calibri" w:eastAsia="Calibri" w:hAnsi="Calibri"/>
                <w:sz w:val="16"/>
                <w:szCs w:val="16"/>
                <w:color w:val="51555C"/>
              </w:rPr>
              <w:t>General and administratve</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25,645</w:t>
            </w:r>
          </w:p>
        </w:tc>
        <w:tc>
          <w:tcPr>
            <w:tcW w:w="260" w:type="dxa"/>
            <w:vAlign w:val="bottom"/>
            <w:tcBorders>
              <w:bottom w:val="single" w:sz="8" w:color="EBFBFF"/>
            </w:tcBorders>
            <w:shd w:val="clear" w:color="auto" w:fill="EBFBFF"/>
          </w:tcPr>
          <w:p>
            <w:pPr>
              <w:spacing w:after="0"/>
              <w:rPr>
                <w:sz w:val="19"/>
                <w:szCs w:val="19"/>
                <w:color w:val="auto"/>
              </w:rPr>
            </w:pPr>
          </w:p>
        </w:tc>
        <w:tc>
          <w:tcPr>
            <w:tcW w:w="10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42,596</w:t>
            </w:r>
          </w:p>
        </w:tc>
        <w:tc>
          <w:tcPr>
            <w:tcW w:w="80" w:type="dxa"/>
            <w:vAlign w:val="bottom"/>
            <w:tcBorders>
              <w:bottom w:val="single" w:sz="8" w:color="EBFBFF"/>
            </w:tcBorders>
            <w:shd w:val="clear" w:color="auto" w:fill="EBFBFF"/>
          </w:tcPr>
          <w:p>
            <w:pPr>
              <w:spacing w:after="0"/>
              <w:rPr>
                <w:sz w:val="19"/>
                <w:szCs w:val="19"/>
                <w:color w:val="auto"/>
              </w:rPr>
            </w:pPr>
          </w:p>
        </w:tc>
        <w:tc>
          <w:tcPr>
            <w:tcW w:w="380" w:type="dxa"/>
            <w:vAlign w:val="bottom"/>
            <w:tcBorders>
              <w:bottom w:val="single" w:sz="8" w:color="EBFBFF"/>
            </w:tcBorders>
            <w:shd w:val="clear" w:color="auto" w:fill="EBFBFF"/>
          </w:tcPr>
          <w:p>
            <w:pPr>
              <w:spacing w:after="0"/>
              <w:rPr>
                <w:sz w:val="19"/>
                <w:szCs w:val="19"/>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106,842</w:t>
            </w:r>
          </w:p>
        </w:tc>
        <w:tc>
          <w:tcPr>
            <w:tcW w:w="100" w:type="dxa"/>
            <w:vAlign w:val="bottom"/>
            <w:tcBorders>
              <w:bottom w:val="single" w:sz="8" w:color="EBFBFF"/>
            </w:tcBorders>
            <w:shd w:val="clear" w:color="auto" w:fill="EBFBFF"/>
          </w:tcPr>
          <w:p>
            <w:pPr>
              <w:spacing w:after="0"/>
              <w:rPr>
                <w:sz w:val="19"/>
                <w:szCs w:val="19"/>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154,582</w:t>
            </w:r>
          </w:p>
        </w:tc>
        <w:tc>
          <w:tcPr>
            <w:tcW w:w="20" w:type="dxa"/>
            <w:vAlign w:val="bottom"/>
          </w:tcPr>
          <w:p>
            <w:pPr>
              <w:spacing w:after="0"/>
              <w:rPr>
                <w:sz w:val="19"/>
                <w:szCs w:val="19"/>
                <w:color w:val="auto"/>
              </w:rPr>
            </w:pPr>
          </w:p>
        </w:tc>
      </w:tr>
      <w:tr>
        <w:trPr>
          <w:trHeight w:val="202"/>
        </w:trPr>
        <w:tc>
          <w:tcPr>
            <w:tcW w:w="180" w:type="dxa"/>
            <w:vAlign w:val="bottom"/>
          </w:tcPr>
          <w:p>
            <w:pPr>
              <w:spacing w:after="0"/>
              <w:rPr>
                <w:sz w:val="17"/>
                <w:szCs w:val="17"/>
                <w:color w:val="auto"/>
              </w:rPr>
            </w:pPr>
          </w:p>
        </w:tc>
        <w:tc>
          <w:tcPr>
            <w:tcW w:w="5760" w:type="dxa"/>
            <w:vAlign w:val="bottom"/>
          </w:tcPr>
          <w:p>
            <w:pPr>
              <w:ind w:left="60"/>
              <w:spacing w:after="0"/>
              <w:rPr>
                <w:sz w:val="20"/>
                <w:szCs w:val="20"/>
                <w:color w:val="auto"/>
              </w:rPr>
            </w:pPr>
            <w:r>
              <w:rPr>
                <w:rFonts w:ascii="Calibri" w:cs="Calibri" w:eastAsia="Calibri" w:hAnsi="Calibri"/>
                <w:sz w:val="16"/>
                <w:szCs w:val="16"/>
                <w:color w:val="51555C"/>
              </w:rPr>
              <w:t>Amortzaton</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918</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alibri" w:cs="Calibri" w:eastAsia="Calibri" w:hAnsi="Calibri"/>
                <w:sz w:val="16"/>
                <w:szCs w:val="16"/>
                <w:color w:val="51555C"/>
              </w:rPr>
              <w:t>793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2,724</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alibri" w:cs="Calibri" w:eastAsia="Calibri" w:hAnsi="Calibri"/>
                <w:sz w:val="16"/>
                <w:szCs w:val="16"/>
                <w:color w:val="51555C"/>
              </w:rPr>
              <w:t>2,355</w:t>
            </w:r>
          </w:p>
        </w:tc>
        <w:tc>
          <w:tcPr>
            <w:tcW w:w="20" w:type="dxa"/>
            <w:vAlign w:val="bottom"/>
          </w:tcPr>
          <w:p>
            <w:pPr>
              <w:spacing w:after="0"/>
              <w:rPr>
                <w:sz w:val="17"/>
                <w:szCs w:val="17"/>
                <w:color w:val="auto"/>
              </w:rPr>
            </w:pPr>
          </w:p>
        </w:tc>
      </w:tr>
      <w:tr>
        <w:trPr>
          <w:trHeight w:val="41"/>
        </w:trPr>
        <w:tc>
          <w:tcPr>
            <w:tcW w:w="180" w:type="dxa"/>
            <w:vAlign w:val="bottom"/>
            <w:tcBorders>
              <w:bottom w:val="single" w:sz="8" w:color="EBFBFF"/>
            </w:tcBorders>
          </w:tcPr>
          <w:p>
            <w:pPr>
              <w:spacing w:after="0"/>
              <w:rPr>
                <w:sz w:val="3"/>
                <w:szCs w:val="3"/>
                <w:color w:val="auto"/>
              </w:rPr>
            </w:pPr>
          </w:p>
        </w:tc>
        <w:tc>
          <w:tcPr>
            <w:tcW w:w="5760" w:type="dxa"/>
            <w:vAlign w:val="bottom"/>
            <w:tcBorders>
              <w:bottom w:val="single" w:sz="8" w:color="EBFBFF"/>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60" w:type="dxa"/>
            <w:vAlign w:val="bottom"/>
            <w:tcBorders>
              <w:bottom w:val="single" w:sz="8" w:color="51555C"/>
            </w:tcBorders>
          </w:tcPr>
          <w:p>
            <w:pPr>
              <w:spacing w:after="0"/>
              <w:rPr>
                <w:sz w:val="3"/>
                <w:szCs w:val="3"/>
                <w:color w:val="auto"/>
              </w:rPr>
            </w:pPr>
          </w:p>
        </w:tc>
        <w:tc>
          <w:tcPr>
            <w:tcW w:w="1060" w:type="dxa"/>
            <w:vAlign w:val="bottom"/>
            <w:tcBorders>
              <w:bottom w:val="single" w:sz="8" w:color="51555C"/>
            </w:tcBorders>
          </w:tcPr>
          <w:p>
            <w:pPr>
              <w:spacing w:after="0"/>
              <w:rPr>
                <w:sz w:val="3"/>
                <w:szCs w:val="3"/>
                <w:color w:val="auto"/>
              </w:rPr>
            </w:pPr>
          </w:p>
        </w:tc>
        <w:tc>
          <w:tcPr>
            <w:tcW w:w="80" w:type="dxa"/>
            <w:vAlign w:val="bottom"/>
            <w:tcBorders>
              <w:bottom w:val="single" w:sz="8" w:color="EBFBFF"/>
            </w:tcBorders>
          </w:tcPr>
          <w:p>
            <w:pPr>
              <w:spacing w:after="0"/>
              <w:rPr>
                <w:sz w:val="3"/>
                <w:szCs w:val="3"/>
                <w:color w:val="auto"/>
              </w:rPr>
            </w:pPr>
          </w:p>
        </w:tc>
        <w:tc>
          <w:tcPr>
            <w:tcW w:w="38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00" w:type="dxa"/>
            <w:vAlign w:val="bottom"/>
            <w:tcBorders>
              <w:bottom w:val="single" w:sz="8" w:color="51555C"/>
            </w:tcBorders>
          </w:tcPr>
          <w:p>
            <w:pPr>
              <w:spacing w:after="0"/>
              <w:rPr>
                <w:sz w:val="3"/>
                <w:szCs w:val="3"/>
                <w:color w:val="auto"/>
              </w:rPr>
            </w:pPr>
          </w:p>
        </w:tc>
        <w:tc>
          <w:tcPr>
            <w:tcW w:w="12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180" w:type="dxa"/>
            <w:vAlign w:val="bottom"/>
            <w:tcBorders>
              <w:bottom w:val="single" w:sz="8" w:color="EBFBFF"/>
            </w:tcBorders>
            <w:shd w:val="clear" w:color="auto" w:fill="EBFBFF"/>
          </w:tcPr>
          <w:p>
            <w:pPr>
              <w:spacing w:after="0"/>
              <w:rPr>
                <w:sz w:val="20"/>
                <w:szCs w:val="20"/>
                <w:color w:val="auto"/>
              </w:rPr>
            </w:pPr>
          </w:p>
        </w:tc>
        <w:tc>
          <w:tcPr>
            <w:tcW w:w="5760" w:type="dxa"/>
            <w:vAlign w:val="bottom"/>
            <w:tcBorders>
              <w:bottom w:val="single" w:sz="8" w:color="EBFBFF"/>
            </w:tcBorders>
            <w:shd w:val="clear" w:color="auto" w:fill="EBFBFF"/>
          </w:tcPr>
          <w:p>
            <w:pPr>
              <w:ind w:left="280"/>
              <w:spacing w:after="0" w:line="182" w:lineRule="exact"/>
              <w:rPr>
                <w:sz w:val="20"/>
                <w:szCs w:val="20"/>
                <w:color w:val="auto"/>
              </w:rPr>
            </w:pPr>
            <w:r>
              <w:rPr>
                <w:rFonts w:ascii="Calibri" w:cs="Calibri" w:eastAsia="Calibri" w:hAnsi="Calibri"/>
                <w:sz w:val="16"/>
                <w:szCs w:val="16"/>
                <w:b w:val="1"/>
                <w:bCs w:val="1"/>
                <w:color w:val="51555C"/>
              </w:rPr>
              <w:t>Total operatng expenses</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115,385</w:t>
            </w:r>
          </w:p>
        </w:tc>
        <w:tc>
          <w:tcPr>
            <w:tcW w:w="260" w:type="dxa"/>
            <w:vAlign w:val="bottom"/>
            <w:tcBorders>
              <w:bottom w:val="single" w:sz="8" w:color="EBFBFF"/>
            </w:tcBorders>
            <w:shd w:val="clear" w:color="auto" w:fill="EBFBFF"/>
          </w:tcPr>
          <w:p>
            <w:pPr>
              <w:spacing w:after="0"/>
              <w:rPr>
                <w:sz w:val="20"/>
                <w:szCs w:val="20"/>
                <w:color w:val="auto"/>
              </w:rPr>
            </w:pPr>
          </w:p>
        </w:tc>
        <w:tc>
          <w:tcPr>
            <w:tcW w:w="10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133,816</w:t>
            </w:r>
          </w:p>
        </w:tc>
        <w:tc>
          <w:tcPr>
            <w:tcW w:w="80" w:type="dxa"/>
            <w:vAlign w:val="bottom"/>
            <w:tcBorders>
              <w:bottom w:val="single" w:sz="8" w:color="EBFBFF"/>
            </w:tcBorders>
            <w:shd w:val="clear" w:color="auto" w:fill="EBFBFF"/>
          </w:tcPr>
          <w:p>
            <w:pPr>
              <w:spacing w:after="0"/>
              <w:rPr>
                <w:sz w:val="20"/>
                <w:szCs w:val="20"/>
                <w:color w:val="auto"/>
              </w:rPr>
            </w:pPr>
          </w:p>
        </w:tc>
        <w:tc>
          <w:tcPr>
            <w:tcW w:w="380" w:type="dxa"/>
            <w:vAlign w:val="bottom"/>
            <w:tcBorders>
              <w:bottom w:val="single" w:sz="8" w:color="EBFBFF"/>
            </w:tcBorders>
            <w:shd w:val="clear" w:color="auto" w:fill="EBFBFF"/>
          </w:tcPr>
          <w:p>
            <w:pPr>
              <w:spacing w:after="0"/>
              <w:rPr>
                <w:sz w:val="20"/>
                <w:szCs w:val="20"/>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378,204</w:t>
            </w:r>
          </w:p>
        </w:tc>
        <w:tc>
          <w:tcPr>
            <w:tcW w:w="100" w:type="dxa"/>
            <w:vAlign w:val="bottom"/>
            <w:tcBorders>
              <w:bottom w:val="single" w:sz="8" w:color="EBFBFF"/>
            </w:tcBorders>
            <w:shd w:val="clear" w:color="auto" w:fill="EBFBFF"/>
          </w:tcPr>
          <w:p>
            <w:pPr>
              <w:spacing w:after="0"/>
              <w:rPr>
                <w:sz w:val="20"/>
                <w:szCs w:val="20"/>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431,677</w:t>
            </w:r>
          </w:p>
        </w:tc>
        <w:tc>
          <w:tcPr>
            <w:tcW w:w="20" w:type="dxa"/>
            <w:vAlign w:val="bottom"/>
          </w:tcPr>
          <w:p>
            <w:pPr>
              <w:spacing w:after="0"/>
              <w:rPr>
                <w:sz w:val="20"/>
                <w:szCs w:val="20"/>
                <w:color w:val="auto"/>
              </w:rPr>
            </w:pPr>
          </w:p>
        </w:tc>
      </w:tr>
      <w:tr>
        <w:trPr>
          <w:trHeight w:val="195"/>
        </w:trPr>
        <w:tc>
          <w:tcPr>
            <w:tcW w:w="5940" w:type="dxa"/>
            <w:vAlign w:val="bottom"/>
            <w:gridSpan w:val="2"/>
          </w:tcPr>
          <w:p>
            <w:pPr>
              <w:ind w:left="20"/>
              <w:spacing w:after="0" w:line="182" w:lineRule="exact"/>
              <w:rPr>
                <w:sz w:val="20"/>
                <w:szCs w:val="20"/>
                <w:color w:val="auto"/>
              </w:rPr>
            </w:pPr>
            <w:r>
              <w:rPr>
                <w:rFonts w:ascii="Calibri" w:cs="Calibri" w:eastAsia="Calibri" w:hAnsi="Calibri"/>
                <w:sz w:val="16"/>
                <w:szCs w:val="16"/>
                <w:b w:val="1"/>
                <w:bCs w:val="1"/>
                <w:color w:val="51555C"/>
              </w:rPr>
              <w:t>Income from operatons</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43,825</w:t>
            </w:r>
          </w:p>
        </w:tc>
        <w:tc>
          <w:tcPr>
            <w:tcW w:w="260" w:type="dxa"/>
            <w:vAlign w:val="bottom"/>
            <w:tcBorders>
              <w:top w:val="single" w:sz="8" w:color="51555C"/>
            </w:tcBorders>
          </w:tcPr>
          <w:p>
            <w:pPr>
              <w:spacing w:after="0"/>
              <w:rPr>
                <w:sz w:val="17"/>
                <w:szCs w:val="17"/>
                <w:color w:val="auto"/>
              </w:rPr>
            </w:pPr>
          </w:p>
        </w:tc>
        <w:tc>
          <w:tcPr>
            <w:tcW w:w="10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22,044</w:t>
            </w:r>
          </w:p>
        </w:tc>
        <w:tc>
          <w:tcPr>
            <w:tcW w:w="80" w:type="dxa"/>
            <w:vAlign w:val="bottom"/>
          </w:tcPr>
          <w:p>
            <w:pPr>
              <w:spacing w:after="0"/>
              <w:rPr>
                <w:sz w:val="17"/>
                <w:szCs w:val="17"/>
                <w:color w:val="auto"/>
              </w:rPr>
            </w:pPr>
          </w:p>
        </w:tc>
        <w:tc>
          <w:tcPr>
            <w:tcW w:w="380" w:type="dxa"/>
            <w:vAlign w:val="bottom"/>
            <w:tcBorders>
              <w:top w:val="single" w:sz="8" w:color="51555C"/>
            </w:tcBorders>
          </w:tcPr>
          <w:p>
            <w:pPr>
              <w:spacing w:after="0"/>
              <w:rPr>
                <w:sz w:val="17"/>
                <w:szCs w:val="17"/>
                <w:color w:val="auto"/>
              </w:rPr>
            </w:pPr>
          </w:p>
        </w:tc>
        <w:tc>
          <w:tcPr>
            <w:tcW w:w="92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96,636</w:t>
            </w:r>
          </w:p>
        </w:tc>
        <w:tc>
          <w:tcPr>
            <w:tcW w:w="100" w:type="dxa"/>
            <w:vAlign w:val="bottom"/>
            <w:tcBorders>
              <w:top w:val="single" w:sz="8" w:color="51555C"/>
            </w:tcBorders>
          </w:tcPr>
          <w:p>
            <w:pPr>
              <w:spacing w:after="0"/>
              <w:rPr>
                <w:sz w:val="17"/>
                <w:szCs w:val="17"/>
                <w:color w:val="auto"/>
              </w:rPr>
            </w:pPr>
          </w:p>
        </w:tc>
        <w:tc>
          <w:tcPr>
            <w:tcW w:w="12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12,391</w:t>
            </w:r>
          </w:p>
        </w:tc>
        <w:tc>
          <w:tcPr>
            <w:tcW w:w="20" w:type="dxa"/>
            <w:vAlign w:val="bottom"/>
          </w:tcPr>
          <w:p>
            <w:pPr>
              <w:spacing w:after="0"/>
              <w:rPr>
                <w:sz w:val="17"/>
                <w:szCs w:val="17"/>
                <w:color w:val="auto"/>
              </w:rPr>
            </w:pPr>
          </w:p>
        </w:tc>
      </w:tr>
      <w:tr>
        <w:trPr>
          <w:trHeight w:val="41"/>
        </w:trPr>
        <w:tc>
          <w:tcPr>
            <w:tcW w:w="180" w:type="dxa"/>
            <w:vAlign w:val="bottom"/>
            <w:tcBorders>
              <w:bottom w:val="single" w:sz="8" w:color="EBFBFF"/>
            </w:tcBorders>
          </w:tcPr>
          <w:p>
            <w:pPr>
              <w:spacing w:after="0"/>
              <w:rPr>
                <w:sz w:val="3"/>
                <w:szCs w:val="3"/>
                <w:color w:val="auto"/>
              </w:rPr>
            </w:pPr>
          </w:p>
        </w:tc>
        <w:tc>
          <w:tcPr>
            <w:tcW w:w="5760" w:type="dxa"/>
            <w:vAlign w:val="bottom"/>
            <w:tcBorders>
              <w:bottom w:val="single" w:sz="8" w:color="EBFBFF"/>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60" w:type="dxa"/>
            <w:vAlign w:val="bottom"/>
            <w:tcBorders>
              <w:bottom w:val="single" w:sz="8" w:color="51555C"/>
            </w:tcBorders>
          </w:tcPr>
          <w:p>
            <w:pPr>
              <w:spacing w:after="0"/>
              <w:rPr>
                <w:sz w:val="3"/>
                <w:szCs w:val="3"/>
                <w:color w:val="auto"/>
              </w:rPr>
            </w:pPr>
          </w:p>
        </w:tc>
        <w:tc>
          <w:tcPr>
            <w:tcW w:w="1060" w:type="dxa"/>
            <w:vAlign w:val="bottom"/>
            <w:tcBorders>
              <w:bottom w:val="single" w:sz="8" w:color="51555C"/>
            </w:tcBorders>
          </w:tcPr>
          <w:p>
            <w:pPr>
              <w:spacing w:after="0"/>
              <w:rPr>
                <w:sz w:val="3"/>
                <w:szCs w:val="3"/>
                <w:color w:val="auto"/>
              </w:rPr>
            </w:pPr>
          </w:p>
        </w:tc>
        <w:tc>
          <w:tcPr>
            <w:tcW w:w="80" w:type="dxa"/>
            <w:vAlign w:val="bottom"/>
            <w:tcBorders>
              <w:bottom w:val="single" w:sz="8" w:color="EBFBFF"/>
            </w:tcBorders>
          </w:tcPr>
          <w:p>
            <w:pPr>
              <w:spacing w:after="0"/>
              <w:rPr>
                <w:sz w:val="3"/>
                <w:szCs w:val="3"/>
                <w:color w:val="auto"/>
              </w:rPr>
            </w:pPr>
          </w:p>
        </w:tc>
        <w:tc>
          <w:tcPr>
            <w:tcW w:w="38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00" w:type="dxa"/>
            <w:vAlign w:val="bottom"/>
            <w:tcBorders>
              <w:bottom w:val="single" w:sz="8" w:color="51555C"/>
            </w:tcBorders>
          </w:tcPr>
          <w:p>
            <w:pPr>
              <w:spacing w:after="0"/>
              <w:rPr>
                <w:sz w:val="3"/>
                <w:szCs w:val="3"/>
                <w:color w:val="auto"/>
              </w:rPr>
            </w:pPr>
          </w:p>
        </w:tc>
        <w:tc>
          <w:tcPr>
            <w:tcW w:w="12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16"/>
        </w:trPr>
        <w:tc>
          <w:tcPr>
            <w:tcW w:w="180" w:type="dxa"/>
            <w:vAlign w:val="bottom"/>
            <w:tcBorders>
              <w:bottom w:val="single" w:sz="8" w:color="EBFBFF"/>
            </w:tcBorders>
            <w:shd w:val="clear" w:color="auto" w:fill="EBFBFF"/>
          </w:tcPr>
          <w:p>
            <w:pPr>
              <w:spacing w:after="0"/>
              <w:rPr>
                <w:sz w:val="18"/>
                <w:szCs w:val="18"/>
                <w:color w:val="auto"/>
              </w:rPr>
            </w:pPr>
          </w:p>
        </w:tc>
        <w:tc>
          <w:tcPr>
            <w:tcW w:w="5760" w:type="dxa"/>
            <w:vAlign w:val="bottom"/>
            <w:tcBorders>
              <w:bottom w:val="single" w:sz="8" w:color="EBFBFF"/>
            </w:tcBorders>
            <w:shd w:val="clear" w:color="auto" w:fill="EBFBFF"/>
          </w:tcPr>
          <w:p>
            <w:pPr>
              <w:ind w:left="60"/>
              <w:spacing w:after="0" w:line="182" w:lineRule="exact"/>
              <w:rPr>
                <w:sz w:val="20"/>
                <w:szCs w:val="20"/>
                <w:color w:val="auto"/>
              </w:rPr>
            </w:pPr>
            <w:r>
              <w:rPr>
                <w:rFonts w:ascii="Calibri" w:cs="Calibri" w:eastAsia="Calibri" w:hAnsi="Calibri"/>
                <w:sz w:val="16"/>
                <w:szCs w:val="16"/>
                <w:color w:val="51555C"/>
              </w:rPr>
              <w:t>Interest expense</w:t>
            </w:r>
          </w:p>
        </w:tc>
        <w:tc>
          <w:tcPr>
            <w:tcW w:w="30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(14,140)</w:t>
            </w:r>
          </w:p>
        </w:tc>
        <w:tc>
          <w:tcPr>
            <w:tcW w:w="2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(9,620)</w:t>
            </w:r>
          </w:p>
        </w:tc>
        <w:tc>
          <w:tcPr>
            <w:tcW w:w="80" w:type="dxa"/>
            <w:vAlign w:val="bottom"/>
            <w:tcBorders>
              <w:bottom w:val="single" w:sz="8" w:color="EBFBFF"/>
            </w:tcBorders>
            <w:shd w:val="clear" w:color="auto" w:fill="EBFBFF"/>
          </w:tcPr>
          <w:p>
            <w:pPr>
              <w:spacing w:after="0"/>
              <w:rPr>
                <w:sz w:val="18"/>
                <w:szCs w:val="18"/>
                <w:color w:val="auto"/>
              </w:rPr>
            </w:pPr>
          </w:p>
        </w:tc>
        <w:tc>
          <w:tcPr>
            <w:tcW w:w="38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(40,131)</w:t>
            </w:r>
          </w:p>
        </w:tc>
        <w:tc>
          <w:tcPr>
            <w:tcW w:w="100" w:type="dxa"/>
            <w:vAlign w:val="bottom"/>
            <w:tcBorders>
              <w:bottom w:val="single" w:sz="8" w:color="EBFBFF"/>
            </w:tcBorders>
            <w:shd w:val="clear" w:color="auto" w:fill="EBFBFF"/>
          </w:tcPr>
          <w:p>
            <w:pPr>
              <w:spacing w:after="0"/>
              <w:rPr>
                <w:sz w:val="18"/>
                <w:szCs w:val="18"/>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(31,449)</w:t>
            </w:r>
          </w:p>
        </w:tc>
        <w:tc>
          <w:tcPr>
            <w:tcW w:w="2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5760" w:type="dxa"/>
            <w:vAlign w:val="bottom"/>
          </w:tcPr>
          <w:p>
            <w:pPr>
              <w:ind w:left="60"/>
              <w:spacing w:after="0"/>
              <w:rPr>
                <w:sz w:val="20"/>
                <w:szCs w:val="20"/>
                <w:color w:val="auto"/>
              </w:rPr>
            </w:pPr>
            <w:r>
              <w:rPr>
                <w:rFonts w:ascii="Calibri" w:cs="Calibri" w:eastAsia="Calibri" w:hAnsi="Calibri"/>
                <w:sz w:val="16"/>
                <w:szCs w:val="16"/>
                <w:color w:val="51555C"/>
              </w:rPr>
              <w:t>Other income, net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2,997</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alibri" w:cs="Calibri" w:eastAsia="Calibri" w:hAnsi="Calibri"/>
                <w:sz w:val="16"/>
                <w:szCs w:val="16"/>
                <w:color w:val="51555C"/>
              </w:rPr>
              <w:t>5,662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9,654</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alibri" w:cs="Calibri" w:eastAsia="Calibri" w:hAnsi="Calibri"/>
                <w:sz w:val="16"/>
                <w:szCs w:val="16"/>
                <w:color w:val="51555C"/>
              </w:rPr>
              <w:t>10,447</w:t>
            </w:r>
          </w:p>
        </w:tc>
        <w:tc>
          <w:tcPr>
            <w:tcW w:w="20" w:type="dxa"/>
            <w:vAlign w:val="bottom"/>
          </w:tcPr>
          <w:p>
            <w:pPr>
              <w:spacing w:after="0"/>
              <w:rPr>
                <w:sz w:val="17"/>
                <w:szCs w:val="17"/>
                <w:color w:val="auto"/>
              </w:rPr>
            </w:pPr>
          </w:p>
        </w:tc>
      </w:tr>
      <w:tr>
        <w:trPr>
          <w:trHeight w:val="41"/>
        </w:trPr>
        <w:tc>
          <w:tcPr>
            <w:tcW w:w="5940" w:type="dxa"/>
            <w:vAlign w:val="bottom"/>
            <w:tcBorders>
              <w:bottom w:val="single" w:sz="8" w:color="EBFBFF"/>
            </w:tcBorders>
            <w:gridSpan w:val="2"/>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60" w:type="dxa"/>
            <w:vAlign w:val="bottom"/>
            <w:tcBorders>
              <w:bottom w:val="single" w:sz="8" w:color="51555C"/>
            </w:tcBorders>
          </w:tcPr>
          <w:p>
            <w:pPr>
              <w:spacing w:after="0"/>
              <w:rPr>
                <w:sz w:val="3"/>
                <w:szCs w:val="3"/>
                <w:color w:val="auto"/>
              </w:rPr>
            </w:pPr>
          </w:p>
        </w:tc>
        <w:tc>
          <w:tcPr>
            <w:tcW w:w="1060" w:type="dxa"/>
            <w:vAlign w:val="bottom"/>
            <w:tcBorders>
              <w:bottom w:val="single" w:sz="8" w:color="51555C"/>
            </w:tcBorders>
          </w:tcPr>
          <w:p>
            <w:pPr>
              <w:spacing w:after="0"/>
              <w:rPr>
                <w:sz w:val="3"/>
                <w:szCs w:val="3"/>
                <w:color w:val="auto"/>
              </w:rPr>
            </w:pPr>
          </w:p>
        </w:tc>
        <w:tc>
          <w:tcPr>
            <w:tcW w:w="80" w:type="dxa"/>
            <w:vAlign w:val="bottom"/>
            <w:tcBorders>
              <w:bottom w:val="single" w:sz="8" w:color="EBFBFF"/>
            </w:tcBorders>
          </w:tcPr>
          <w:p>
            <w:pPr>
              <w:spacing w:after="0"/>
              <w:rPr>
                <w:sz w:val="3"/>
                <w:szCs w:val="3"/>
                <w:color w:val="auto"/>
              </w:rPr>
            </w:pPr>
          </w:p>
        </w:tc>
        <w:tc>
          <w:tcPr>
            <w:tcW w:w="38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00" w:type="dxa"/>
            <w:vAlign w:val="bottom"/>
            <w:tcBorders>
              <w:bottom w:val="single" w:sz="8" w:color="51555C"/>
            </w:tcBorders>
          </w:tcPr>
          <w:p>
            <w:pPr>
              <w:spacing w:after="0"/>
              <w:rPr>
                <w:sz w:val="3"/>
                <w:szCs w:val="3"/>
                <w:color w:val="auto"/>
              </w:rPr>
            </w:pPr>
          </w:p>
        </w:tc>
        <w:tc>
          <w:tcPr>
            <w:tcW w:w="12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16"/>
        </w:trPr>
        <w:tc>
          <w:tcPr>
            <w:tcW w:w="5940" w:type="dxa"/>
            <w:vAlign w:val="bottom"/>
            <w:tcBorders>
              <w:bottom w:val="single" w:sz="8" w:color="EBFBFF"/>
            </w:tcBorders>
            <w:gridSpan w:val="2"/>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Income (loss) before provision (beneft) for income taxes</w:t>
            </w:r>
          </w:p>
        </w:tc>
        <w:tc>
          <w:tcPr>
            <w:tcW w:w="30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32,682</w:t>
            </w:r>
          </w:p>
        </w:tc>
        <w:tc>
          <w:tcPr>
            <w:tcW w:w="2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18,086</w:t>
            </w:r>
          </w:p>
        </w:tc>
        <w:tc>
          <w:tcPr>
            <w:tcW w:w="80" w:type="dxa"/>
            <w:vAlign w:val="bottom"/>
            <w:tcBorders>
              <w:bottom w:val="single" w:sz="8" w:color="EBFBFF"/>
            </w:tcBorders>
            <w:shd w:val="clear" w:color="auto" w:fill="EBFBFF"/>
          </w:tcPr>
          <w:p>
            <w:pPr>
              <w:spacing w:after="0"/>
              <w:rPr>
                <w:sz w:val="18"/>
                <w:szCs w:val="18"/>
                <w:color w:val="auto"/>
              </w:rPr>
            </w:pPr>
          </w:p>
        </w:tc>
        <w:tc>
          <w:tcPr>
            <w:tcW w:w="38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66,159</w:t>
            </w:r>
          </w:p>
        </w:tc>
        <w:tc>
          <w:tcPr>
            <w:tcW w:w="100" w:type="dxa"/>
            <w:vAlign w:val="bottom"/>
            <w:tcBorders>
              <w:bottom w:val="single" w:sz="8" w:color="EBFBFF"/>
            </w:tcBorders>
            <w:shd w:val="clear" w:color="auto" w:fill="EBFBFF"/>
          </w:tcPr>
          <w:p>
            <w:pPr>
              <w:spacing w:after="0"/>
              <w:rPr>
                <w:sz w:val="18"/>
                <w:szCs w:val="18"/>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(8,611)</w:t>
            </w:r>
          </w:p>
        </w:tc>
        <w:tc>
          <w:tcPr>
            <w:tcW w:w="2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5760" w:type="dxa"/>
            <w:vAlign w:val="bottom"/>
          </w:tcPr>
          <w:p>
            <w:pPr>
              <w:ind w:left="60"/>
              <w:spacing w:after="0"/>
              <w:rPr>
                <w:sz w:val="20"/>
                <w:szCs w:val="20"/>
                <w:color w:val="auto"/>
              </w:rPr>
            </w:pPr>
            <w:r>
              <w:rPr>
                <w:rFonts w:ascii="Calibri" w:cs="Calibri" w:eastAsia="Calibri" w:hAnsi="Calibri"/>
                <w:sz w:val="16"/>
                <w:szCs w:val="16"/>
                <w:color w:val="51555C"/>
              </w:rPr>
              <w:t>Income tax provision (beneft)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12,140</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alibri" w:cs="Calibri" w:eastAsia="Calibri" w:hAnsi="Calibri"/>
                <w:sz w:val="16"/>
                <w:szCs w:val="16"/>
                <w:color w:val="51555C"/>
              </w:rPr>
              <w:t>9,069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18,567</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alibri" w:cs="Calibri" w:eastAsia="Calibri" w:hAnsi="Calibri"/>
                <w:sz w:val="16"/>
                <w:szCs w:val="16"/>
                <w:color w:val="51555C"/>
              </w:rPr>
              <w:t>(5,032)</w:t>
            </w:r>
          </w:p>
        </w:tc>
        <w:tc>
          <w:tcPr>
            <w:tcW w:w="20" w:type="dxa"/>
            <w:vAlign w:val="bottom"/>
          </w:tcPr>
          <w:p>
            <w:pPr>
              <w:spacing w:after="0"/>
              <w:rPr>
                <w:sz w:val="17"/>
                <w:szCs w:val="17"/>
                <w:color w:val="auto"/>
              </w:rPr>
            </w:pPr>
          </w:p>
        </w:tc>
      </w:tr>
      <w:tr>
        <w:trPr>
          <w:trHeight w:val="41"/>
        </w:trPr>
        <w:tc>
          <w:tcPr>
            <w:tcW w:w="5940" w:type="dxa"/>
            <w:vAlign w:val="bottom"/>
            <w:tcBorders>
              <w:bottom w:val="single" w:sz="8" w:color="EBFBFF"/>
            </w:tcBorders>
            <w:gridSpan w:val="2"/>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60" w:type="dxa"/>
            <w:vAlign w:val="bottom"/>
            <w:tcBorders>
              <w:bottom w:val="single" w:sz="8" w:color="51555C"/>
            </w:tcBorders>
          </w:tcPr>
          <w:p>
            <w:pPr>
              <w:spacing w:after="0"/>
              <w:rPr>
                <w:sz w:val="3"/>
                <w:szCs w:val="3"/>
                <w:color w:val="auto"/>
              </w:rPr>
            </w:pPr>
          </w:p>
        </w:tc>
        <w:tc>
          <w:tcPr>
            <w:tcW w:w="1060" w:type="dxa"/>
            <w:vAlign w:val="bottom"/>
            <w:tcBorders>
              <w:bottom w:val="single" w:sz="8" w:color="51555C"/>
            </w:tcBorders>
          </w:tcPr>
          <w:p>
            <w:pPr>
              <w:spacing w:after="0"/>
              <w:rPr>
                <w:sz w:val="3"/>
                <w:szCs w:val="3"/>
                <w:color w:val="auto"/>
              </w:rPr>
            </w:pPr>
          </w:p>
        </w:tc>
        <w:tc>
          <w:tcPr>
            <w:tcW w:w="80" w:type="dxa"/>
            <w:vAlign w:val="bottom"/>
            <w:tcBorders>
              <w:bottom w:val="single" w:sz="8" w:color="EBFBFF"/>
            </w:tcBorders>
          </w:tcPr>
          <w:p>
            <w:pPr>
              <w:spacing w:after="0"/>
              <w:rPr>
                <w:sz w:val="3"/>
                <w:szCs w:val="3"/>
                <w:color w:val="auto"/>
              </w:rPr>
            </w:pPr>
          </w:p>
        </w:tc>
        <w:tc>
          <w:tcPr>
            <w:tcW w:w="38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00" w:type="dxa"/>
            <w:vAlign w:val="bottom"/>
            <w:tcBorders>
              <w:bottom w:val="single" w:sz="8" w:color="51555C"/>
            </w:tcBorders>
          </w:tcPr>
          <w:p>
            <w:pPr>
              <w:spacing w:after="0"/>
              <w:rPr>
                <w:sz w:val="3"/>
                <w:szCs w:val="3"/>
                <w:color w:val="auto"/>
              </w:rPr>
            </w:pPr>
          </w:p>
        </w:tc>
        <w:tc>
          <w:tcPr>
            <w:tcW w:w="12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5940" w:type="dxa"/>
            <w:vAlign w:val="bottom"/>
            <w:tcBorders>
              <w:bottom w:val="single" w:sz="8" w:color="EBFBFF"/>
            </w:tcBorders>
            <w:gridSpan w:val="2"/>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Net income (loss)</w:t>
            </w:r>
          </w:p>
        </w:tc>
        <w:tc>
          <w:tcPr>
            <w:tcW w:w="300" w:type="dxa"/>
            <w:vAlign w:val="bottom"/>
            <w:tcBorders>
              <w:bottom w:val="single" w:sz="8" w:color="EBFBFF"/>
            </w:tcBorders>
            <w:shd w:val="clear" w:color="auto" w:fill="EBFBFF"/>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20,542</w:t>
            </w:r>
          </w:p>
        </w:tc>
        <w:tc>
          <w:tcPr>
            <w:tcW w:w="260" w:type="dxa"/>
            <w:vAlign w:val="bottom"/>
            <w:tcBorders>
              <w:bottom w:val="single" w:sz="8" w:color="EBFBFF"/>
            </w:tcBorders>
            <w:shd w:val="clear" w:color="auto" w:fill="EBFBFF"/>
          </w:tcPr>
          <w:p>
            <w:pPr>
              <w:jc w:val="right"/>
              <w:ind w:right="80"/>
              <w:spacing w:after="0"/>
              <w:rPr>
                <w:sz w:val="20"/>
                <w:szCs w:val="20"/>
                <w:color w:val="auto"/>
              </w:rPr>
            </w:pPr>
            <w:r>
              <w:rPr>
                <w:rFonts w:ascii="Calibri" w:cs="Calibri" w:eastAsia="Calibri" w:hAnsi="Calibri"/>
                <w:sz w:val="16"/>
                <w:szCs w:val="16"/>
                <w:color w:val="51555C"/>
                <w:w w:val="97"/>
              </w:rPr>
              <w:t>$</w:t>
            </w:r>
          </w:p>
        </w:tc>
        <w:tc>
          <w:tcPr>
            <w:tcW w:w="10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9,017</w:t>
            </w:r>
          </w:p>
        </w:tc>
        <w:tc>
          <w:tcPr>
            <w:tcW w:w="460" w:type="dxa"/>
            <w:vAlign w:val="bottom"/>
            <w:tcBorders>
              <w:bottom w:val="single" w:sz="8" w:color="EBFBFF"/>
            </w:tcBorders>
            <w:gridSpan w:val="2"/>
            <w:shd w:val="clear" w:color="auto" w:fill="EBFBFF"/>
          </w:tcPr>
          <w:p>
            <w:pPr>
              <w:jc w:val="right"/>
              <w:ind w:right="199"/>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47,592</w:t>
            </w:r>
          </w:p>
        </w:tc>
        <w:tc>
          <w:tcPr>
            <w:tcW w:w="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(3,579)</w:t>
            </w:r>
          </w:p>
        </w:tc>
        <w:tc>
          <w:tcPr>
            <w:tcW w:w="20" w:type="dxa"/>
            <w:vAlign w:val="bottom"/>
          </w:tcPr>
          <w:p>
            <w:pPr>
              <w:spacing w:after="0"/>
              <w:rPr>
                <w:sz w:val="20"/>
                <w:szCs w:val="20"/>
                <w:color w:val="auto"/>
              </w:rPr>
            </w:pPr>
          </w:p>
        </w:tc>
      </w:tr>
      <w:tr>
        <w:trPr>
          <w:trHeight w:val="182"/>
        </w:trPr>
        <w:tc>
          <w:tcPr>
            <w:tcW w:w="5940" w:type="dxa"/>
            <w:vAlign w:val="bottom"/>
            <w:gridSpan w:val="2"/>
          </w:tcPr>
          <w:p>
            <w:pPr>
              <w:ind w:left="20"/>
              <w:spacing w:after="0" w:line="182" w:lineRule="exact"/>
              <w:rPr>
                <w:sz w:val="20"/>
                <w:szCs w:val="20"/>
                <w:color w:val="auto"/>
              </w:rPr>
            </w:pPr>
            <w:r>
              <w:rPr>
                <w:rFonts w:ascii="Calibri" w:cs="Calibri" w:eastAsia="Calibri" w:hAnsi="Calibri"/>
                <w:sz w:val="16"/>
                <w:szCs w:val="16"/>
                <w:b w:val="1"/>
                <w:bCs w:val="1"/>
                <w:color w:val="51555C"/>
              </w:rPr>
              <w:t>Earnings (loss) per share</w:t>
            </w:r>
          </w:p>
        </w:tc>
        <w:tc>
          <w:tcPr>
            <w:tcW w:w="300" w:type="dxa"/>
            <w:vAlign w:val="bottom"/>
            <w:tcBorders>
              <w:top w:val="single" w:sz="8" w:color="51555C"/>
            </w:tcBorders>
          </w:tcPr>
          <w:p>
            <w:pPr>
              <w:spacing w:after="0"/>
              <w:rPr>
                <w:sz w:val="15"/>
                <w:szCs w:val="15"/>
                <w:color w:val="auto"/>
              </w:rPr>
            </w:pPr>
          </w:p>
        </w:tc>
        <w:tc>
          <w:tcPr>
            <w:tcW w:w="1000" w:type="dxa"/>
            <w:vAlign w:val="bottom"/>
            <w:tcBorders>
              <w:top w:val="single" w:sz="8" w:color="51555C"/>
            </w:tcBorders>
          </w:tcPr>
          <w:p>
            <w:pPr>
              <w:spacing w:after="0"/>
              <w:rPr>
                <w:sz w:val="15"/>
                <w:szCs w:val="15"/>
                <w:color w:val="auto"/>
              </w:rPr>
            </w:pPr>
          </w:p>
        </w:tc>
        <w:tc>
          <w:tcPr>
            <w:tcW w:w="260" w:type="dxa"/>
            <w:vAlign w:val="bottom"/>
            <w:tcBorders>
              <w:top w:val="single" w:sz="8" w:color="51555C"/>
            </w:tcBorders>
          </w:tcPr>
          <w:p>
            <w:pPr>
              <w:spacing w:after="0"/>
              <w:rPr>
                <w:sz w:val="15"/>
                <w:szCs w:val="15"/>
                <w:color w:val="auto"/>
              </w:rPr>
            </w:pPr>
          </w:p>
        </w:tc>
        <w:tc>
          <w:tcPr>
            <w:tcW w:w="1060" w:type="dxa"/>
            <w:vAlign w:val="bottom"/>
            <w:tcBorders>
              <w:top w:val="single" w:sz="8" w:color="51555C"/>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51555C"/>
            </w:tcBorders>
          </w:tcPr>
          <w:p>
            <w:pPr>
              <w:spacing w:after="0"/>
              <w:rPr>
                <w:sz w:val="15"/>
                <w:szCs w:val="15"/>
                <w:color w:val="auto"/>
              </w:rPr>
            </w:pPr>
          </w:p>
        </w:tc>
        <w:tc>
          <w:tcPr>
            <w:tcW w:w="920" w:type="dxa"/>
            <w:vAlign w:val="bottom"/>
            <w:tcBorders>
              <w:top w:val="single" w:sz="8" w:color="51555C"/>
            </w:tcBorders>
          </w:tcPr>
          <w:p>
            <w:pPr>
              <w:spacing w:after="0"/>
              <w:rPr>
                <w:sz w:val="15"/>
                <w:szCs w:val="15"/>
                <w:color w:val="auto"/>
              </w:rPr>
            </w:pPr>
          </w:p>
        </w:tc>
        <w:tc>
          <w:tcPr>
            <w:tcW w:w="100" w:type="dxa"/>
            <w:vAlign w:val="bottom"/>
            <w:tcBorders>
              <w:top w:val="single" w:sz="8" w:color="51555C"/>
            </w:tcBorders>
          </w:tcPr>
          <w:p>
            <w:pPr>
              <w:spacing w:after="0"/>
              <w:rPr>
                <w:sz w:val="15"/>
                <w:szCs w:val="15"/>
                <w:color w:val="auto"/>
              </w:rPr>
            </w:pPr>
          </w:p>
        </w:tc>
        <w:tc>
          <w:tcPr>
            <w:tcW w:w="1200" w:type="dxa"/>
            <w:vAlign w:val="bottom"/>
            <w:tcBorders>
              <w:top w:val="single" w:sz="8" w:color="51555C"/>
            </w:tcBorders>
          </w:tcPr>
          <w:p>
            <w:pPr>
              <w:spacing w:after="0"/>
              <w:rPr>
                <w:sz w:val="15"/>
                <w:szCs w:val="15"/>
                <w:color w:val="auto"/>
              </w:rPr>
            </w:pPr>
          </w:p>
        </w:tc>
        <w:tc>
          <w:tcPr>
            <w:tcW w:w="20" w:type="dxa"/>
            <w:vAlign w:val="bottom"/>
          </w:tcPr>
          <w:p>
            <w:pPr>
              <w:spacing w:after="0"/>
              <w:rPr>
                <w:sz w:val="15"/>
                <w:szCs w:val="15"/>
                <w:color w:val="auto"/>
              </w:rPr>
            </w:pPr>
          </w:p>
        </w:tc>
      </w:tr>
      <w:tr>
        <w:trPr>
          <w:trHeight w:val="41"/>
        </w:trPr>
        <w:tc>
          <w:tcPr>
            <w:tcW w:w="180" w:type="dxa"/>
            <w:vAlign w:val="bottom"/>
          </w:tcPr>
          <w:p>
            <w:pPr>
              <w:spacing w:after="0"/>
              <w:rPr>
                <w:sz w:val="3"/>
                <w:szCs w:val="3"/>
                <w:color w:val="auto"/>
              </w:rPr>
            </w:pPr>
          </w:p>
        </w:tc>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180" w:type="dxa"/>
            <w:vAlign w:val="bottom"/>
            <w:tcBorders>
              <w:bottom w:val="single" w:sz="8" w:color="EBFBFF"/>
            </w:tcBorders>
            <w:shd w:val="clear" w:color="auto" w:fill="EBFBFF"/>
          </w:tcPr>
          <w:p>
            <w:pPr>
              <w:spacing w:after="0"/>
              <w:rPr>
                <w:sz w:val="19"/>
                <w:szCs w:val="19"/>
                <w:color w:val="auto"/>
              </w:rPr>
            </w:pPr>
          </w:p>
        </w:tc>
        <w:tc>
          <w:tcPr>
            <w:tcW w:w="5760" w:type="dxa"/>
            <w:vAlign w:val="bottom"/>
            <w:tcBorders>
              <w:bottom w:val="single" w:sz="8" w:color="EBFBFF"/>
            </w:tcBorders>
            <w:shd w:val="clear" w:color="auto" w:fill="EBFBFF"/>
          </w:tcPr>
          <w:p>
            <w:pPr>
              <w:ind w:left="60"/>
              <w:spacing w:after="0"/>
              <w:rPr>
                <w:sz w:val="20"/>
                <w:szCs w:val="20"/>
                <w:color w:val="auto"/>
              </w:rPr>
            </w:pPr>
            <w:r>
              <w:rPr>
                <w:rFonts w:ascii="Calibri" w:cs="Calibri" w:eastAsia="Calibri" w:hAnsi="Calibri"/>
                <w:sz w:val="16"/>
                <w:szCs w:val="16"/>
                <w:color w:val="51555C"/>
              </w:rPr>
              <w:t>Basic</w:t>
            </w:r>
          </w:p>
        </w:tc>
        <w:tc>
          <w:tcPr>
            <w:tcW w:w="300" w:type="dxa"/>
            <w:vAlign w:val="bottom"/>
            <w:tcBorders>
              <w:bottom w:val="single" w:sz="8" w:color="EBFBFF"/>
            </w:tcBorders>
            <w:shd w:val="clear" w:color="auto" w:fill="EBFBFF"/>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0.41</w:t>
            </w:r>
          </w:p>
        </w:tc>
        <w:tc>
          <w:tcPr>
            <w:tcW w:w="260" w:type="dxa"/>
            <w:vAlign w:val="bottom"/>
            <w:tcBorders>
              <w:bottom w:val="single" w:sz="8" w:color="EBFBFF"/>
            </w:tcBorders>
            <w:shd w:val="clear" w:color="auto" w:fill="EBFBFF"/>
          </w:tcPr>
          <w:p>
            <w:pPr>
              <w:jc w:val="right"/>
              <w:ind w:right="80"/>
              <w:spacing w:after="0"/>
              <w:rPr>
                <w:sz w:val="20"/>
                <w:szCs w:val="20"/>
                <w:color w:val="auto"/>
              </w:rPr>
            </w:pPr>
            <w:r>
              <w:rPr>
                <w:rFonts w:ascii="Calibri" w:cs="Calibri" w:eastAsia="Calibri" w:hAnsi="Calibri"/>
                <w:sz w:val="16"/>
                <w:szCs w:val="16"/>
                <w:color w:val="51555C"/>
                <w:w w:val="97"/>
              </w:rPr>
              <w:t>$</w:t>
            </w:r>
          </w:p>
        </w:tc>
        <w:tc>
          <w:tcPr>
            <w:tcW w:w="10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0.17</w:t>
            </w:r>
          </w:p>
        </w:tc>
        <w:tc>
          <w:tcPr>
            <w:tcW w:w="460" w:type="dxa"/>
            <w:vAlign w:val="bottom"/>
            <w:tcBorders>
              <w:bottom w:val="single" w:sz="8" w:color="EBFBFF"/>
            </w:tcBorders>
            <w:gridSpan w:val="2"/>
            <w:shd w:val="clear" w:color="auto" w:fill="EBFBFF"/>
          </w:tcPr>
          <w:p>
            <w:pPr>
              <w:jc w:val="right"/>
              <w:ind w:right="199"/>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0.93</w:t>
            </w:r>
          </w:p>
        </w:tc>
        <w:tc>
          <w:tcPr>
            <w:tcW w:w="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(0.07)</w:t>
            </w:r>
          </w:p>
        </w:tc>
        <w:tc>
          <w:tcPr>
            <w:tcW w:w="20" w:type="dxa"/>
            <w:vAlign w:val="bottom"/>
          </w:tcPr>
          <w:p>
            <w:pPr>
              <w:spacing w:after="0"/>
              <w:rPr>
                <w:sz w:val="19"/>
                <w:szCs w:val="19"/>
                <w:color w:val="auto"/>
              </w:rPr>
            </w:pPr>
          </w:p>
        </w:tc>
      </w:tr>
      <w:tr>
        <w:trPr>
          <w:trHeight w:val="202"/>
        </w:trPr>
        <w:tc>
          <w:tcPr>
            <w:tcW w:w="180" w:type="dxa"/>
            <w:vAlign w:val="bottom"/>
          </w:tcPr>
          <w:p>
            <w:pPr>
              <w:spacing w:after="0"/>
              <w:rPr>
                <w:sz w:val="17"/>
                <w:szCs w:val="17"/>
                <w:color w:val="auto"/>
              </w:rPr>
            </w:pPr>
          </w:p>
        </w:tc>
        <w:tc>
          <w:tcPr>
            <w:tcW w:w="5760" w:type="dxa"/>
            <w:vAlign w:val="bottom"/>
          </w:tcPr>
          <w:p>
            <w:pPr>
              <w:ind w:left="60"/>
              <w:spacing w:after="0"/>
              <w:rPr>
                <w:sz w:val="20"/>
                <w:szCs w:val="20"/>
                <w:color w:val="auto"/>
              </w:rPr>
            </w:pPr>
            <w:r>
              <w:rPr>
                <w:rFonts w:ascii="Calibri" w:cs="Calibri" w:eastAsia="Calibri" w:hAnsi="Calibri"/>
                <w:sz w:val="16"/>
                <w:szCs w:val="16"/>
                <w:color w:val="51555C"/>
              </w:rPr>
              <w:t>Diluted</w:t>
            </w:r>
          </w:p>
        </w:tc>
        <w:tc>
          <w:tcPr>
            <w:tcW w:w="300" w:type="dxa"/>
            <w:vAlign w:val="bottom"/>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0.40</w:t>
            </w:r>
          </w:p>
        </w:tc>
        <w:tc>
          <w:tcPr>
            <w:tcW w:w="260" w:type="dxa"/>
            <w:vAlign w:val="bottom"/>
          </w:tcPr>
          <w:p>
            <w:pPr>
              <w:jc w:val="right"/>
              <w:ind w:right="80"/>
              <w:spacing w:after="0"/>
              <w:rPr>
                <w:sz w:val="20"/>
                <w:szCs w:val="20"/>
                <w:color w:val="auto"/>
              </w:rPr>
            </w:pPr>
            <w:r>
              <w:rPr>
                <w:rFonts w:ascii="Calibri" w:cs="Calibri" w:eastAsia="Calibri" w:hAnsi="Calibri"/>
                <w:sz w:val="16"/>
                <w:szCs w:val="16"/>
                <w:color w:val="51555C"/>
                <w:w w:val="97"/>
              </w:rPr>
              <w:t>$</w:t>
            </w:r>
          </w:p>
        </w:tc>
        <w:tc>
          <w:tcPr>
            <w:tcW w:w="1060" w:type="dxa"/>
            <w:vAlign w:val="bottom"/>
          </w:tcPr>
          <w:p>
            <w:pPr>
              <w:jc w:val="right"/>
              <w:spacing w:after="0"/>
              <w:rPr>
                <w:sz w:val="20"/>
                <w:szCs w:val="20"/>
                <w:color w:val="auto"/>
              </w:rPr>
            </w:pPr>
            <w:r>
              <w:rPr>
                <w:rFonts w:ascii="Calibri" w:cs="Calibri" w:eastAsia="Calibri" w:hAnsi="Calibri"/>
                <w:sz w:val="16"/>
                <w:szCs w:val="16"/>
                <w:color w:val="51555C"/>
              </w:rPr>
              <w:t>0.17</w:t>
            </w:r>
          </w:p>
        </w:tc>
        <w:tc>
          <w:tcPr>
            <w:tcW w:w="460" w:type="dxa"/>
            <w:vAlign w:val="bottom"/>
            <w:gridSpan w:val="2"/>
          </w:tcPr>
          <w:p>
            <w:pPr>
              <w:jc w:val="right"/>
              <w:ind w:right="19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0.91</w:t>
            </w:r>
          </w:p>
        </w:tc>
        <w:tc>
          <w:tcPr>
            <w:tcW w:w="100" w:type="dxa"/>
            <w:vAlign w:val="bottom"/>
          </w:tcPr>
          <w:p>
            <w:pPr>
              <w:jc w:val="right"/>
              <w:spacing w:after="0"/>
              <w:rPr>
                <w:sz w:val="20"/>
                <w:szCs w:val="20"/>
                <w:color w:val="auto"/>
              </w:rPr>
            </w:pPr>
            <w:r>
              <w:rPr>
                <w:rFonts w:ascii="Calibri" w:cs="Calibri" w:eastAsia="Calibri" w:hAnsi="Calibri"/>
                <w:sz w:val="16"/>
                <w:szCs w:val="16"/>
                <w:color w:val="51555C"/>
                <w:w w:val="97"/>
              </w:rPr>
              <w:t>$</w:t>
            </w:r>
          </w:p>
        </w:tc>
        <w:tc>
          <w:tcPr>
            <w:tcW w:w="1200" w:type="dxa"/>
            <w:vAlign w:val="bottom"/>
          </w:tcPr>
          <w:p>
            <w:pPr>
              <w:jc w:val="right"/>
              <w:spacing w:after="0"/>
              <w:rPr>
                <w:sz w:val="20"/>
                <w:szCs w:val="20"/>
                <w:color w:val="auto"/>
              </w:rPr>
            </w:pPr>
            <w:r>
              <w:rPr>
                <w:rFonts w:ascii="Calibri" w:cs="Calibri" w:eastAsia="Calibri" w:hAnsi="Calibri"/>
                <w:sz w:val="16"/>
                <w:szCs w:val="16"/>
                <w:color w:val="51555C"/>
              </w:rPr>
              <w:t>(0.07)</w:t>
            </w:r>
          </w:p>
        </w:tc>
        <w:tc>
          <w:tcPr>
            <w:tcW w:w="20" w:type="dxa"/>
            <w:vAlign w:val="bottom"/>
          </w:tcPr>
          <w:p>
            <w:pPr>
              <w:spacing w:after="0"/>
              <w:rPr>
                <w:sz w:val="17"/>
                <w:szCs w:val="17"/>
                <w:color w:val="auto"/>
              </w:rPr>
            </w:pPr>
          </w:p>
        </w:tc>
      </w:tr>
      <w:tr>
        <w:trPr>
          <w:trHeight w:val="41"/>
        </w:trPr>
        <w:tc>
          <w:tcPr>
            <w:tcW w:w="594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5940" w:type="dxa"/>
            <w:vAlign w:val="bottom"/>
            <w:tcBorders>
              <w:bottom w:val="single" w:sz="8" w:color="EBFBFF"/>
            </w:tcBorders>
            <w:gridSpan w:val="2"/>
            <w:shd w:val="clear" w:color="auto" w:fill="EBFBFF"/>
          </w:tcPr>
          <w:p>
            <w:pPr>
              <w:ind w:left="20"/>
              <w:spacing w:after="0"/>
              <w:rPr>
                <w:sz w:val="20"/>
                <w:szCs w:val="20"/>
                <w:color w:val="auto"/>
              </w:rPr>
            </w:pPr>
            <w:r>
              <w:rPr>
                <w:rFonts w:ascii="Calibri" w:cs="Calibri" w:eastAsia="Calibri" w:hAnsi="Calibri"/>
                <w:sz w:val="16"/>
                <w:szCs w:val="16"/>
                <w:b w:val="1"/>
                <w:bCs w:val="1"/>
                <w:color w:val="51555C"/>
              </w:rPr>
              <w:t>Common shares and equivalents outstanding</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260" w:type="dxa"/>
            <w:vAlign w:val="bottom"/>
            <w:tcBorders>
              <w:bottom w:val="single" w:sz="8" w:color="EBFBFF"/>
            </w:tcBorders>
            <w:shd w:val="clear" w:color="auto" w:fill="EBFBFF"/>
          </w:tcPr>
          <w:p>
            <w:pPr>
              <w:spacing w:after="0"/>
              <w:rPr>
                <w:sz w:val="19"/>
                <w:szCs w:val="19"/>
                <w:color w:val="auto"/>
              </w:rPr>
            </w:pPr>
          </w:p>
        </w:tc>
        <w:tc>
          <w:tcPr>
            <w:tcW w:w="1060" w:type="dxa"/>
            <w:vAlign w:val="bottom"/>
            <w:tcBorders>
              <w:bottom w:val="single" w:sz="8" w:color="EBFBFF"/>
              <w:right w:val="single" w:sz="8" w:color="EBFBFF"/>
            </w:tcBorders>
            <w:shd w:val="clear" w:color="auto" w:fill="EBFBFF"/>
          </w:tcPr>
          <w:p>
            <w:pPr>
              <w:spacing w:after="0"/>
              <w:rPr>
                <w:sz w:val="19"/>
                <w:szCs w:val="19"/>
                <w:color w:val="auto"/>
              </w:rPr>
            </w:pPr>
          </w:p>
        </w:tc>
        <w:tc>
          <w:tcPr>
            <w:tcW w:w="80" w:type="dxa"/>
            <w:vAlign w:val="bottom"/>
            <w:tcBorders>
              <w:bottom w:val="single" w:sz="8" w:color="EBFBFF"/>
            </w:tcBorders>
            <w:shd w:val="clear" w:color="auto" w:fill="EBFBFF"/>
          </w:tcPr>
          <w:p>
            <w:pPr>
              <w:spacing w:after="0"/>
              <w:rPr>
                <w:sz w:val="19"/>
                <w:szCs w:val="19"/>
                <w:color w:val="auto"/>
              </w:rPr>
            </w:pPr>
          </w:p>
        </w:tc>
        <w:tc>
          <w:tcPr>
            <w:tcW w:w="380" w:type="dxa"/>
            <w:vAlign w:val="bottom"/>
            <w:tcBorders>
              <w:bottom w:val="single" w:sz="8" w:color="EBFBFF"/>
            </w:tcBorders>
            <w:shd w:val="clear" w:color="auto" w:fill="EBFBFF"/>
          </w:tcPr>
          <w:p>
            <w:pPr>
              <w:spacing w:after="0"/>
              <w:rPr>
                <w:sz w:val="19"/>
                <w:szCs w:val="19"/>
                <w:color w:val="auto"/>
              </w:rPr>
            </w:pPr>
          </w:p>
        </w:tc>
        <w:tc>
          <w:tcPr>
            <w:tcW w:w="920" w:type="dxa"/>
            <w:vAlign w:val="bottom"/>
            <w:tcBorders>
              <w:bottom w:val="single" w:sz="8" w:color="EBFBFF"/>
            </w:tcBorders>
            <w:shd w:val="clear" w:color="auto" w:fill="EBFBFF"/>
          </w:tcPr>
          <w:p>
            <w:pPr>
              <w:spacing w:after="0"/>
              <w:rPr>
                <w:sz w:val="19"/>
                <w:szCs w:val="19"/>
                <w:color w:val="auto"/>
              </w:rPr>
            </w:pPr>
          </w:p>
        </w:tc>
        <w:tc>
          <w:tcPr>
            <w:tcW w:w="100" w:type="dxa"/>
            <w:vAlign w:val="bottom"/>
            <w:tcBorders>
              <w:bottom w:val="single" w:sz="8" w:color="EBFBFF"/>
            </w:tcBorders>
            <w:shd w:val="clear" w:color="auto" w:fill="EBFBFF"/>
          </w:tcPr>
          <w:p>
            <w:pPr>
              <w:spacing w:after="0"/>
              <w:rPr>
                <w:sz w:val="19"/>
                <w:szCs w:val="19"/>
                <w:color w:val="auto"/>
              </w:rPr>
            </w:pPr>
          </w:p>
        </w:tc>
        <w:tc>
          <w:tcPr>
            <w:tcW w:w="1200" w:type="dxa"/>
            <w:vAlign w:val="bottom"/>
            <w:tcBorders>
              <w:bottom w:val="single" w:sz="8" w:color="EBFBFF"/>
            </w:tcBorders>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180" w:type="dxa"/>
            <w:vAlign w:val="bottom"/>
          </w:tcPr>
          <w:p>
            <w:pPr>
              <w:spacing w:after="0"/>
              <w:rPr>
                <w:sz w:val="17"/>
                <w:szCs w:val="17"/>
                <w:color w:val="auto"/>
              </w:rPr>
            </w:pPr>
          </w:p>
        </w:tc>
        <w:tc>
          <w:tcPr>
            <w:tcW w:w="5760" w:type="dxa"/>
            <w:vAlign w:val="bottom"/>
          </w:tcPr>
          <w:p>
            <w:pPr>
              <w:ind w:left="60"/>
              <w:spacing w:after="0"/>
              <w:rPr>
                <w:sz w:val="20"/>
                <w:szCs w:val="20"/>
                <w:color w:val="auto"/>
              </w:rPr>
            </w:pPr>
            <w:r>
              <w:rPr>
                <w:rFonts w:ascii="Calibri" w:cs="Calibri" w:eastAsia="Calibri" w:hAnsi="Calibri"/>
                <w:sz w:val="16"/>
                <w:szCs w:val="16"/>
                <w:color w:val="51555C"/>
              </w:rPr>
              <w:t>Basic weighted average shares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50,409,292</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alibri" w:cs="Calibri" w:eastAsia="Calibri" w:hAnsi="Calibri"/>
                <w:sz w:val="16"/>
                <w:szCs w:val="16"/>
                <w:color w:val="51555C"/>
              </w:rPr>
              <w:t>52,704,974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51,067,255</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alibri" w:cs="Calibri" w:eastAsia="Calibri" w:hAnsi="Calibri"/>
                <w:sz w:val="16"/>
                <w:szCs w:val="16"/>
                <w:color w:val="51555C"/>
              </w:rPr>
              <w:t>52,495,556</w:t>
            </w:r>
          </w:p>
        </w:tc>
        <w:tc>
          <w:tcPr>
            <w:tcW w:w="20" w:type="dxa"/>
            <w:vAlign w:val="bottom"/>
          </w:tcPr>
          <w:p>
            <w:pPr>
              <w:spacing w:after="0"/>
              <w:rPr>
                <w:sz w:val="17"/>
                <w:szCs w:val="17"/>
                <w:color w:val="auto"/>
              </w:rPr>
            </w:pPr>
          </w:p>
        </w:tc>
      </w:tr>
      <w:tr>
        <w:trPr>
          <w:trHeight w:val="41"/>
        </w:trPr>
        <w:tc>
          <w:tcPr>
            <w:tcW w:w="180" w:type="dxa"/>
            <w:vAlign w:val="bottom"/>
          </w:tcPr>
          <w:p>
            <w:pPr>
              <w:spacing w:after="0"/>
              <w:rPr>
                <w:sz w:val="3"/>
                <w:szCs w:val="3"/>
                <w:color w:val="auto"/>
              </w:rPr>
            </w:pPr>
          </w:p>
        </w:tc>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180" w:type="dxa"/>
            <w:vAlign w:val="bottom"/>
            <w:tcBorders>
              <w:bottom w:val="single" w:sz="8" w:color="EBFBFF"/>
            </w:tcBorders>
            <w:shd w:val="clear" w:color="auto" w:fill="EBFBFF"/>
          </w:tcPr>
          <w:p>
            <w:pPr>
              <w:spacing w:after="0"/>
              <w:rPr>
                <w:sz w:val="19"/>
                <w:szCs w:val="19"/>
                <w:color w:val="auto"/>
              </w:rPr>
            </w:pPr>
          </w:p>
        </w:tc>
        <w:tc>
          <w:tcPr>
            <w:tcW w:w="5760" w:type="dxa"/>
            <w:vAlign w:val="bottom"/>
            <w:tcBorders>
              <w:bottom w:val="single" w:sz="8" w:color="EBFBFF"/>
            </w:tcBorders>
            <w:shd w:val="clear" w:color="auto" w:fill="EBFBFF"/>
          </w:tcPr>
          <w:p>
            <w:pPr>
              <w:ind w:left="60"/>
              <w:spacing w:after="0"/>
              <w:rPr>
                <w:sz w:val="20"/>
                <w:szCs w:val="20"/>
                <w:color w:val="auto"/>
              </w:rPr>
            </w:pPr>
            <w:r>
              <w:rPr>
                <w:rFonts w:ascii="Calibri" w:cs="Calibri" w:eastAsia="Calibri" w:hAnsi="Calibri"/>
                <w:sz w:val="16"/>
                <w:szCs w:val="16"/>
                <w:color w:val="51555C"/>
              </w:rPr>
              <w:t>Diluted weighted average shares</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51,632,569</w:t>
            </w:r>
          </w:p>
        </w:tc>
        <w:tc>
          <w:tcPr>
            <w:tcW w:w="260" w:type="dxa"/>
            <w:vAlign w:val="bottom"/>
            <w:tcBorders>
              <w:bottom w:val="single" w:sz="8" w:color="EBFBFF"/>
            </w:tcBorders>
            <w:shd w:val="clear" w:color="auto" w:fill="EBFBFF"/>
          </w:tcPr>
          <w:p>
            <w:pPr>
              <w:spacing w:after="0"/>
              <w:rPr>
                <w:sz w:val="19"/>
                <w:szCs w:val="19"/>
                <w:color w:val="auto"/>
              </w:rPr>
            </w:pPr>
          </w:p>
        </w:tc>
        <w:tc>
          <w:tcPr>
            <w:tcW w:w="10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54,089,897</w:t>
            </w:r>
          </w:p>
        </w:tc>
        <w:tc>
          <w:tcPr>
            <w:tcW w:w="80" w:type="dxa"/>
            <w:vAlign w:val="bottom"/>
            <w:tcBorders>
              <w:bottom w:val="single" w:sz="8" w:color="EBFBFF"/>
            </w:tcBorders>
            <w:shd w:val="clear" w:color="auto" w:fill="EBFBFF"/>
          </w:tcPr>
          <w:p>
            <w:pPr>
              <w:spacing w:after="0"/>
              <w:rPr>
                <w:sz w:val="19"/>
                <w:szCs w:val="19"/>
                <w:color w:val="auto"/>
              </w:rPr>
            </w:pPr>
          </w:p>
        </w:tc>
        <w:tc>
          <w:tcPr>
            <w:tcW w:w="380" w:type="dxa"/>
            <w:vAlign w:val="bottom"/>
            <w:tcBorders>
              <w:bottom w:val="single" w:sz="8" w:color="EBFBFF"/>
            </w:tcBorders>
            <w:shd w:val="clear" w:color="auto" w:fill="EBFBFF"/>
          </w:tcPr>
          <w:p>
            <w:pPr>
              <w:spacing w:after="0"/>
              <w:rPr>
                <w:sz w:val="19"/>
                <w:szCs w:val="19"/>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52,107,147</w:t>
            </w:r>
          </w:p>
        </w:tc>
        <w:tc>
          <w:tcPr>
            <w:tcW w:w="100" w:type="dxa"/>
            <w:vAlign w:val="bottom"/>
            <w:tcBorders>
              <w:bottom w:val="single" w:sz="8" w:color="EBFBFF"/>
            </w:tcBorders>
            <w:shd w:val="clear" w:color="auto" w:fill="EBFBFF"/>
          </w:tcPr>
          <w:p>
            <w:pPr>
              <w:spacing w:after="0"/>
              <w:rPr>
                <w:sz w:val="19"/>
                <w:szCs w:val="19"/>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52,495,556</w:t>
            </w:r>
          </w:p>
        </w:tc>
        <w:tc>
          <w:tcPr>
            <w:tcW w:w="20" w:type="dxa"/>
            <w:vAlign w:val="bottom"/>
          </w:tcPr>
          <w:p>
            <w:pPr>
              <w:spacing w:after="0"/>
              <w:rPr>
                <w:sz w:val="19"/>
                <w:szCs w:val="19"/>
                <w:color w:val="auto"/>
              </w:rPr>
            </w:pPr>
          </w:p>
        </w:tc>
      </w:tr>
      <w:tr>
        <w:trPr>
          <w:trHeight w:val="202"/>
        </w:trPr>
        <w:tc>
          <w:tcPr>
            <w:tcW w:w="5940" w:type="dxa"/>
            <w:vAlign w:val="bottom"/>
            <w:gridSpan w:val="2"/>
          </w:tcPr>
          <w:p>
            <w:pPr>
              <w:ind w:left="20"/>
              <w:spacing w:after="0"/>
              <w:rPr>
                <w:sz w:val="20"/>
                <w:szCs w:val="20"/>
                <w:color w:val="auto"/>
              </w:rPr>
            </w:pPr>
            <w:r>
              <w:rPr>
                <w:rFonts w:ascii="Calibri" w:cs="Calibri" w:eastAsia="Calibri" w:hAnsi="Calibri"/>
                <w:sz w:val="16"/>
                <w:szCs w:val="16"/>
                <w:b w:val="1"/>
                <w:bCs w:val="1"/>
                <w:color w:val="51555C"/>
              </w:rPr>
              <w:t>Other comprehensive loss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
        </w:trPr>
        <w:tc>
          <w:tcPr>
            <w:tcW w:w="180" w:type="dxa"/>
            <w:vAlign w:val="bottom"/>
          </w:tcPr>
          <w:p>
            <w:pPr>
              <w:spacing w:after="0"/>
              <w:rPr>
                <w:sz w:val="3"/>
                <w:szCs w:val="3"/>
                <w:color w:val="auto"/>
              </w:rPr>
            </w:pPr>
          </w:p>
        </w:tc>
        <w:tc>
          <w:tcPr>
            <w:tcW w:w="5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180" w:type="dxa"/>
            <w:vAlign w:val="bottom"/>
            <w:tcBorders>
              <w:bottom w:val="single" w:sz="8" w:color="EBFBFF"/>
            </w:tcBorders>
            <w:shd w:val="clear" w:color="auto" w:fill="EBFBFF"/>
          </w:tcPr>
          <w:p>
            <w:pPr>
              <w:spacing w:after="0"/>
              <w:rPr>
                <w:sz w:val="19"/>
                <w:szCs w:val="19"/>
                <w:color w:val="auto"/>
              </w:rPr>
            </w:pPr>
          </w:p>
        </w:tc>
        <w:tc>
          <w:tcPr>
            <w:tcW w:w="5760" w:type="dxa"/>
            <w:vAlign w:val="bottom"/>
            <w:tcBorders>
              <w:bottom w:val="single" w:sz="8" w:color="EBFBFF"/>
            </w:tcBorders>
            <w:shd w:val="clear" w:color="auto" w:fill="EBFBFF"/>
          </w:tcPr>
          <w:p>
            <w:pPr>
              <w:ind w:left="60"/>
              <w:spacing w:after="0"/>
              <w:rPr>
                <w:sz w:val="20"/>
                <w:szCs w:val="20"/>
                <w:color w:val="auto"/>
              </w:rPr>
            </w:pPr>
            <w:r>
              <w:rPr>
                <w:rFonts w:ascii="Calibri" w:cs="Calibri" w:eastAsia="Calibri" w:hAnsi="Calibri"/>
                <w:sz w:val="16"/>
                <w:szCs w:val="16"/>
                <w:color w:val="51555C"/>
              </w:rPr>
              <w:t>Foreign currency translaton adjustment</w:t>
            </w:r>
          </w:p>
        </w:tc>
        <w:tc>
          <w:tcPr>
            <w:tcW w:w="300" w:type="dxa"/>
            <w:vAlign w:val="bottom"/>
            <w:tcBorders>
              <w:bottom w:val="single" w:sz="8" w:color="EBFBFF"/>
            </w:tcBorders>
            <w:shd w:val="clear" w:color="auto" w:fill="EBFBFF"/>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6,463</w:t>
            </w:r>
          </w:p>
        </w:tc>
        <w:tc>
          <w:tcPr>
            <w:tcW w:w="260" w:type="dxa"/>
            <w:vAlign w:val="bottom"/>
            <w:tcBorders>
              <w:bottom w:val="single" w:sz="8" w:color="EBFBFF"/>
            </w:tcBorders>
            <w:shd w:val="clear" w:color="auto" w:fill="EBFBFF"/>
          </w:tcPr>
          <w:p>
            <w:pPr>
              <w:jc w:val="right"/>
              <w:ind w:right="80"/>
              <w:spacing w:after="0"/>
              <w:rPr>
                <w:sz w:val="20"/>
                <w:szCs w:val="20"/>
                <w:color w:val="auto"/>
              </w:rPr>
            </w:pPr>
            <w:r>
              <w:rPr>
                <w:rFonts w:ascii="Calibri" w:cs="Calibri" w:eastAsia="Calibri" w:hAnsi="Calibri"/>
                <w:sz w:val="16"/>
                <w:szCs w:val="16"/>
                <w:color w:val="51555C"/>
                <w:w w:val="97"/>
              </w:rPr>
              <w:t>$</w:t>
            </w:r>
          </w:p>
        </w:tc>
        <w:tc>
          <w:tcPr>
            <w:tcW w:w="10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(4,794)</w:t>
            </w:r>
          </w:p>
        </w:tc>
        <w:tc>
          <w:tcPr>
            <w:tcW w:w="460" w:type="dxa"/>
            <w:vAlign w:val="bottom"/>
            <w:tcBorders>
              <w:bottom w:val="single" w:sz="8" w:color="EBFBFF"/>
            </w:tcBorders>
            <w:gridSpan w:val="2"/>
            <w:shd w:val="clear" w:color="auto" w:fill="EBFBFF"/>
          </w:tcPr>
          <w:p>
            <w:pPr>
              <w:jc w:val="right"/>
              <w:ind w:right="199"/>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5,617</w:t>
            </w:r>
          </w:p>
        </w:tc>
        <w:tc>
          <w:tcPr>
            <w:tcW w:w="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419</w:t>
            </w:r>
          </w:p>
        </w:tc>
        <w:tc>
          <w:tcPr>
            <w:tcW w:w="20" w:type="dxa"/>
            <w:vAlign w:val="bottom"/>
          </w:tcPr>
          <w:p>
            <w:pPr>
              <w:spacing w:after="0"/>
              <w:rPr>
                <w:sz w:val="19"/>
                <w:szCs w:val="19"/>
                <w:color w:val="auto"/>
              </w:rPr>
            </w:pPr>
          </w:p>
        </w:tc>
      </w:tr>
      <w:tr>
        <w:trPr>
          <w:trHeight w:val="202"/>
        </w:trPr>
        <w:tc>
          <w:tcPr>
            <w:tcW w:w="180" w:type="dxa"/>
            <w:vAlign w:val="bottom"/>
          </w:tcPr>
          <w:p>
            <w:pPr>
              <w:spacing w:after="0"/>
              <w:rPr>
                <w:sz w:val="17"/>
                <w:szCs w:val="17"/>
                <w:color w:val="auto"/>
              </w:rPr>
            </w:pPr>
          </w:p>
        </w:tc>
        <w:tc>
          <w:tcPr>
            <w:tcW w:w="5760" w:type="dxa"/>
            <w:vAlign w:val="bottom"/>
          </w:tcPr>
          <w:p>
            <w:pPr>
              <w:ind w:left="60"/>
              <w:spacing w:after="0"/>
              <w:rPr>
                <w:sz w:val="20"/>
                <w:szCs w:val="20"/>
                <w:color w:val="auto"/>
              </w:rPr>
            </w:pPr>
            <w:r>
              <w:rPr>
                <w:rFonts w:ascii="Calibri" w:cs="Calibri" w:eastAsia="Calibri" w:hAnsi="Calibri"/>
                <w:sz w:val="16"/>
                <w:szCs w:val="16"/>
                <w:color w:val="51555C"/>
              </w:rPr>
              <w:t>Unrealized (loss) gain on derivatve instruments, net of tax</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(13,525)</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alibri" w:cs="Calibri" w:eastAsia="Calibri" w:hAnsi="Calibri"/>
                <w:sz w:val="16"/>
                <w:szCs w:val="16"/>
                <w:color w:val="51555C"/>
              </w:rPr>
              <w:t>4,093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(10,816)</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alibri" w:cs="Calibri" w:eastAsia="Calibri" w:hAnsi="Calibri"/>
                <w:sz w:val="16"/>
                <w:szCs w:val="16"/>
                <w:color w:val="51555C"/>
              </w:rPr>
              <w:t>(1,216)</w:t>
            </w:r>
          </w:p>
        </w:tc>
        <w:tc>
          <w:tcPr>
            <w:tcW w:w="20" w:type="dxa"/>
            <w:vAlign w:val="bottom"/>
          </w:tcPr>
          <w:p>
            <w:pPr>
              <w:spacing w:after="0"/>
              <w:rPr>
                <w:sz w:val="17"/>
                <w:szCs w:val="17"/>
                <w:color w:val="auto"/>
              </w:rPr>
            </w:pPr>
          </w:p>
        </w:tc>
      </w:tr>
      <w:tr>
        <w:trPr>
          <w:trHeight w:val="41"/>
        </w:trPr>
        <w:tc>
          <w:tcPr>
            <w:tcW w:w="180" w:type="dxa"/>
            <w:vAlign w:val="bottom"/>
            <w:tcBorders>
              <w:bottom w:val="single" w:sz="8" w:color="EBFBFF"/>
            </w:tcBorders>
          </w:tcPr>
          <w:p>
            <w:pPr>
              <w:spacing w:after="0"/>
              <w:rPr>
                <w:sz w:val="3"/>
                <w:szCs w:val="3"/>
                <w:color w:val="auto"/>
              </w:rPr>
            </w:pPr>
          </w:p>
        </w:tc>
        <w:tc>
          <w:tcPr>
            <w:tcW w:w="5760" w:type="dxa"/>
            <w:vAlign w:val="bottom"/>
            <w:tcBorders>
              <w:bottom w:val="single" w:sz="8" w:color="EBFBFF"/>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60" w:type="dxa"/>
            <w:vAlign w:val="bottom"/>
            <w:tcBorders>
              <w:bottom w:val="single" w:sz="8" w:color="51555C"/>
            </w:tcBorders>
          </w:tcPr>
          <w:p>
            <w:pPr>
              <w:spacing w:after="0"/>
              <w:rPr>
                <w:sz w:val="3"/>
                <w:szCs w:val="3"/>
                <w:color w:val="auto"/>
              </w:rPr>
            </w:pPr>
          </w:p>
        </w:tc>
        <w:tc>
          <w:tcPr>
            <w:tcW w:w="1060" w:type="dxa"/>
            <w:vAlign w:val="bottom"/>
            <w:tcBorders>
              <w:bottom w:val="single" w:sz="8" w:color="51555C"/>
            </w:tcBorders>
          </w:tcPr>
          <w:p>
            <w:pPr>
              <w:spacing w:after="0"/>
              <w:rPr>
                <w:sz w:val="3"/>
                <w:szCs w:val="3"/>
                <w:color w:val="auto"/>
              </w:rPr>
            </w:pPr>
          </w:p>
        </w:tc>
        <w:tc>
          <w:tcPr>
            <w:tcW w:w="80" w:type="dxa"/>
            <w:vAlign w:val="bottom"/>
            <w:tcBorders>
              <w:bottom w:val="single" w:sz="8" w:color="EBFBFF"/>
            </w:tcBorders>
          </w:tcPr>
          <w:p>
            <w:pPr>
              <w:spacing w:after="0"/>
              <w:rPr>
                <w:sz w:val="3"/>
                <w:szCs w:val="3"/>
                <w:color w:val="auto"/>
              </w:rPr>
            </w:pPr>
          </w:p>
        </w:tc>
        <w:tc>
          <w:tcPr>
            <w:tcW w:w="38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00" w:type="dxa"/>
            <w:vAlign w:val="bottom"/>
            <w:tcBorders>
              <w:bottom w:val="single" w:sz="8" w:color="51555C"/>
            </w:tcBorders>
          </w:tcPr>
          <w:p>
            <w:pPr>
              <w:spacing w:after="0"/>
              <w:rPr>
                <w:sz w:val="3"/>
                <w:szCs w:val="3"/>
                <w:color w:val="auto"/>
              </w:rPr>
            </w:pPr>
          </w:p>
        </w:tc>
        <w:tc>
          <w:tcPr>
            <w:tcW w:w="12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180" w:type="dxa"/>
            <w:vAlign w:val="bottom"/>
            <w:tcBorders>
              <w:bottom w:val="single" w:sz="8" w:color="EBFBFF"/>
            </w:tcBorders>
            <w:shd w:val="clear" w:color="auto" w:fill="EBFBFF"/>
          </w:tcPr>
          <w:p>
            <w:pPr>
              <w:spacing w:after="0"/>
              <w:rPr>
                <w:sz w:val="20"/>
                <w:szCs w:val="20"/>
                <w:color w:val="auto"/>
              </w:rPr>
            </w:pPr>
          </w:p>
        </w:tc>
        <w:tc>
          <w:tcPr>
            <w:tcW w:w="5760" w:type="dxa"/>
            <w:vAlign w:val="bottom"/>
            <w:tcBorders>
              <w:bottom w:val="single" w:sz="8" w:color="EBFBFF"/>
            </w:tcBorders>
            <w:shd w:val="clear" w:color="auto" w:fill="EBFBFF"/>
          </w:tcPr>
          <w:p>
            <w:pPr>
              <w:ind w:left="280"/>
              <w:spacing w:after="0" w:line="182" w:lineRule="exact"/>
              <w:rPr>
                <w:sz w:val="20"/>
                <w:szCs w:val="20"/>
                <w:color w:val="auto"/>
              </w:rPr>
            </w:pPr>
            <w:r>
              <w:rPr>
                <w:rFonts w:ascii="Calibri" w:cs="Calibri" w:eastAsia="Calibri" w:hAnsi="Calibri"/>
                <w:sz w:val="16"/>
                <w:szCs w:val="16"/>
                <w:b w:val="1"/>
                <w:bCs w:val="1"/>
                <w:color w:val="51555C"/>
              </w:rPr>
              <w:t>Total other comprehensive loss</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(7,062)</w:t>
            </w:r>
          </w:p>
        </w:tc>
        <w:tc>
          <w:tcPr>
            <w:tcW w:w="260" w:type="dxa"/>
            <w:vAlign w:val="bottom"/>
            <w:tcBorders>
              <w:bottom w:val="single" w:sz="8" w:color="EBFBFF"/>
            </w:tcBorders>
            <w:shd w:val="clear" w:color="auto" w:fill="EBFBFF"/>
          </w:tcPr>
          <w:p>
            <w:pPr>
              <w:spacing w:after="0"/>
              <w:rPr>
                <w:sz w:val="20"/>
                <w:szCs w:val="20"/>
                <w:color w:val="auto"/>
              </w:rPr>
            </w:pPr>
          </w:p>
        </w:tc>
        <w:tc>
          <w:tcPr>
            <w:tcW w:w="10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(701)</w:t>
            </w:r>
          </w:p>
        </w:tc>
        <w:tc>
          <w:tcPr>
            <w:tcW w:w="80" w:type="dxa"/>
            <w:vAlign w:val="bottom"/>
            <w:tcBorders>
              <w:bottom w:val="single" w:sz="8" w:color="EBFBFF"/>
            </w:tcBorders>
            <w:shd w:val="clear" w:color="auto" w:fill="EBFBFF"/>
          </w:tcPr>
          <w:p>
            <w:pPr>
              <w:spacing w:after="0"/>
              <w:rPr>
                <w:sz w:val="20"/>
                <w:szCs w:val="20"/>
                <w:color w:val="auto"/>
              </w:rPr>
            </w:pPr>
          </w:p>
        </w:tc>
        <w:tc>
          <w:tcPr>
            <w:tcW w:w="380" w:type="dxa"/>
            <w:vAlign w:val="bottom"/>
            <w:tcBorders>
              <w:bottom w:val="single" w:sz="8" w:color="EBFBFF"/>
            </w:tcBorders>
            <w:shd w:val="clear" w:color="auto" w:fill="EBFBFF"/>
          </w:tcPr>
          <w:p>
            <w:pPr>
              <w:spacing w:after="0"/>
              <w:rPr>
                <w:sz w:val="20"/>
                <w:szCs w:val="20"/>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(5,199)</w:t>
            </w:r>
          </w:p>
        </w:tc>
        <w:tc>
          <w:tcPr>
            <w:tcW w:w="100" w:type="dxa"/>
            <w:vAlign w:val="bottom"/>
            <w:tcBorders>
              <w:bottom w:val="single" w:sz="8" w:color="EBFBFF"/>
            </w:tcBorders>
            <w:shd w:val="clear" w:color="auto" w:fill="EBFBFF"/>
          </w:tcPr>
          <w:p>
            <w:pPr>
              <w:spacing w:after="0"/>
              <w:rPr>
                <w:sz w:val="20"/>
                <w:szCs w:val="20"/>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(797)</w:t>
            </w:r>
          </w:p>
        </w:tc>
        <w:tc>
          <w:tcPr>
            <w:tcW w:w="20" w:type="dxa"/>
            <w:vAlign w:val="bottom"/>
          </w:tcPr>
          <w:p>
            <w:pPr>
              <w:spacing w:after="0"/>
              <w:rPr>
                <w:sz w:val="20"/>
                <w:szCs w:val="20"/>
                <w:color w:val="auto"/>
              </w:rPr>
            </w:pPr>
          </w:p>
        </w:tc>
      </w:tr>
      <w:tr>
        <w:trPr>
          <w:trHeight w:val="195"/>
        </w:trPr>
        <w:tc>
          <w:tcPr>
            <w:tcW w:w="5940" w:type="dxa"/>
            <w:vAlign w:val="bottom"/>
            <w:gridSpan w:val="2"/>
          </w:tcPr>
          <w:p>
            <w:pPr>
              <w:ind w:left="20"/>
              <w:spacing w:after="0" w:line="182" w:lineRule="exact"/>
              <w:rPr>
                <w:sz w:val="20"/>
                <w:szCs w:val="20"/>
                <w:color w:val="auto"/>
              </w:rPr>
            </w:pPr>
            <w:r>
              <w:rPr>
                <w:rFonts w:ascii="Calibri" w:cs="Calibri" w:eastAsia="Calibri" w:hAnsi="Calibri"/>
                <w:sz w:val="16"/>
                <w:szCs w:val="16"/>
                <w:b w:val="1"/>
                <w:bCs w:val="1"/>
                <w:color w:val="51555C"/>
              </w:rPr>
              <w:t>Comprehensive income (loss)</w:t>
            </w:r>
          </w:p>
        </w:tc>
        <w:tc>
          <w:tcPr>
            <w:tcW w:w="300" w:type="dxa"/>
            <w:vAlign w:val="bottom"/>
            <w:tcBorders>
              <w:top w:val="single" w:sz="8" w:color="51555C"/>
            </w:tcBorders>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13,480</w:t>
            </w:r>
          </w:p>
        </w:tc>
        <w:tc>
          <w:tcPr>
            <w:tcW w:w="260" w:type="dxa"/>
            <w:vAlign w:val="bottom"/>
            <w:tcBorders>
              <w:top w:val="single" w:sz="8" w:color="51555C"/>
            </w:tcBorders>
          </w:tcPr>
          <w:p>
            <w:pPr>
              <w:jc w:val="right"/>
              <w:ind w:right="80"/>
              <w:spacing w:after="0"/>
              <w:rPr>
                <w:sz w:val="20"/>
                <w:szCs w:val="20"/>
                <w:color w:val="auto"/>
              </w:rPr>
            </w:pPr>
            <w:r>
              <w:rPr>
                <w:rFonts w:ascii="Calibri" w:cs="Calibri" w:eastAsia="Calibri" w:hAnsi="Calibri"/>
                <w:sz w:val="16"/>
                <w:szCs w:val="16"/>
                <w:color w:val="51555C"/>
                <w:w w:val="97"/>
              </w:rPr>
              <w:t>$</w:t>
            </w:r>
          </w:p>
        </w:tc>
        <w:tc>
          <w:tcPr>
            <w:tcW w:w="10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8,316</w:t>
            </w:r>
          </w:p>
        </w:tc>
        <w:tc>
          <w:tcPr>
            <w:tcW w:w="80" w:type="dxa"/>
            <w:vAlign w:val="bottom"/>
          </w:tcPr>
          <w:p>
            <w:pPr>
              <w:spacing w:after="0"/>
              <w:rPr>
                <w:sz w:val="17"/>
                <w:szCs w:val="17"/>
                <w:color w:val="auto"/>
              </w:rPr>
            </w:pPr>
          </w:p>
        </w:tc>
        <w:tc>
          <w:tcPr>
            <w:tcW w:w="380" w:type="dxa"/>
            <w:vAlign w:val="bottom"/>
            <w:tcBorders>
              <w:top w:val="single" w:sz="8" w:color="51555C"/>
            </w:tcBorders>
          </w:tcPr>
          <w:p>
            <w:pPr>
              <w:jc w:val="right"/>
              <w:ind w:right="199"/>
              <w:spacing w:after="0"/>
              <w:rPr>
                <w:sz w:val="20"/>
                <w:szCs w:val="20"/>
                <w:color w:val="auto"/>
              </w:rPr>
            </w:pPr>
            <w:r>
              <w:rPr>
                <w:rFonts w:ascii="Calibri" w:cs="Calibri" w:eastAsia="Calibri" w:hAnsi="Calibri"/>
                <w:sz w:val="16"/>
                <w:szCs w:val="16"/>
                <w:color w:val="51555C"/>
                <w:w w:val="97"/>
              </w:rPr>
              <w:t>$</w:t>
            </w:r>
          </w:p>
        </w:tc>
        <w:tc>
          <w:tcPr>
            <w:tcW w:w="92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42,393</w:t>
            </w:r>
          </w:p>
        </w:tc>
        <w:tc>
          <w:tcPr>
            <w:tcW w:w="1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12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(4,376)</w:t>
            </w:r>
          </w:p>
        </w:tc>
        <w:tc>
          <w:tcPr>
            <w:tcW w:w="20" w:type="dxa"/>
            <w:vAlign w:val="bottom"/>
          </w:tcPr>
          <w:p>
            <w:pPr>
              <w:spacing w:after="0"/>
              <w:rPr>
                <w:sz w:val="17"/>
                <w:szCs w:val="17"/>
                <w:color w:val="auto"/>
              </w:rPr>
            </w:pPr>
          </w:p>
        </w:tc>
      </w:tr>
      <w:tr>
        <w:trPr>
          <w:trHeight w:val="41"/>
        </w:trPr>
        <w:tc>
          <w:tcPr>
            <w:tcW w:w="180" w:type="dxa"/>
            <w:vAlign w:val="bottom"/>
            <w:tcBorders>
              <w:bottom w:val="single" w:sz="8" w:color="0CD973"/>
            </w:tcBorders>
          </w:tcPr>
          <w:p>
            <w:pPr>
              <w:spacing w:after="0"/>
              <w:rPr>
                <w:sz w:val="3"/>
                <w:szCs w:val="3"/>
                <w:color w:val="auto"/>
              </w:rPr>
            </w:pPr>
          </w:p>
        </w:tc>
        <w:tc>
          <w:tcPr>
            <w:tcW w:w="5760" w:type="dxa"/>
            <w:vAlign w:val="bottom"/>
            <w:tcBorders>
              <w:bottom w:val="single" w:sz="8" w:color="0CD973"/>
            </w:tcBorders>
          </w:tcPr>
          <w:p>
            <w:pPr>
              <w:spacing w:after="0"/>
              <w:rPr>
                <w:sz w:val="3"/>
                <w:szCs w:val="3"/>
                <w:color w:val="auto"/>
              </w:rPr>
            </w:pPr>
          </w:p>
        </w:tc>
        <w:tc>
          <w:tcPr>
            <w:tcW w:w="1300" w:type="dxa"/>
            <w:vAlign w:val="bottom"/>
            <w:tcBorders>
              <w:bottom w:val="single" w:sz="8" w:color="0CD973"/>
            </w:tcBorders>
            <w:gridSpan w:val="2"/>
          </w:tcPr>
          <w:p>
            <w:pPr>
              <w:spacing w:after="0"/>
              <w:rPr>
                <w:sz w:val="3"/>
                <w:szCs w:val="3"/>
                <w:color w:val="auto"/>
              </w:rPr>
            </w:pPr>
          </w:p>
        </w:tc>
        <w:tc>
          <w:tcPr>
            <w:tcW w:w="1320" w:type="dxa"/>
            <w:vAlign w:val="bottom"/>
            <w:tcBorders>
              <w:bottom w:val="single" w:sz="8" w:color="0CD973"/>
            </w:tcBorders>
            <w:gridSpan w:val="2"/>
          </w:tcPr>
          <w:p>
            <w:pPr>
              <w:spacing w:after="0"/>
              <w:rPr>
                <w:sz w:val="3"/>
                <w:szCs w:val="3"/>
                <w:color w:val="auto"/>
              </w:rPr>
            </w:pPr>
          </w:p>
        </w:tc>
        <w:tc>
          <w:tcPr>
            <w:tcW w:w="80" w:type="dxa"/>
            <w:vAlign w:val="bottom"/>
            <w:tcBorders>
              <w:bottom w:val="single" w:sz="8" w:color="0CD973"/>
            </w:tcBorders>
          </w:tcPr>
          <w:p>
            <w:pPr>
              <w:spacing w:after="0"/>
              <w:rPr>
                <w:sz w:val="3"/>
                <w:szCs w:val="3"/>
                <w:color w:val="auto"/>
              </w:rPr>
            </w:pPr>
          </w:p>
        </w:tc>
        <w:tc>
          <w:tcPr>
            <w:tcW w:w="380" w:type="dxa"/>
            <w:vAlign w:val="bottom"/>
            <w:tcBorders>
              <w:bottom w:val="single" w:sz="8" w:color="0CD973"/>
            </w:tcBorders>
          </w:tcPr>
          <w:p>
            <w:pPr>
              <w:spacing w:after="0"/>
              <w:rPr>
                <w:sz w:val="3"/>
                <w:szCs w:val="3"/>
                <w:color w:val="auto"/>
              </w:rPr>
            </w:pPr>
          </w:p>
        </w:tc>
        <w:tc>
          <w:tcPr>
            <w:tcW w:w="920" w:type="dxa"/>
            <w:vAlign w:val="bottom"/>
            <w:tcBorders>
              <w:bottom w:val="single" w:sz="8" w:color="0CD973"/>
            </w:tcBorders>
          </w:tcPr>
          <w:p>
            <w:pPr>
              <w:spacing w:after="0"/>
              <w:rPr>
                <w:sz w:val="3"/>
                <w:szCs w:val="3"/>
                <w:color w:val="auto"/>
              </w:rPr>
            </w:pPr>
          </w:p>
        </w:tc>
        <w:tc>
          <w:tcPr>
            <w:tcW w:w="100" w:type="dxa"/>
            <w:vAlign w:val="bottom"/>
            <w:tcBorders>
              <w:bottom w:val="single" w:sz="8" w:color="0CD973"/>
            </w:tcBorders>
          </w:tcPr>
          <w:p>
            <w:pPr>
              <w:spacing w:after="0"/>
              <w:rPr>
                <w:sz w:val="3"/>
                <w:szCs w:val="3"/>
                <w:color w:val="auto"/>
              </w:rPr>
            </w:pPr>
          </w:p>
        </w:tc>
        <w:tc>
          <w:tcPr>
            <w:tcW w:w="1200" w:type="dxa"/>
            <w:vAlign w:val="bottom"/>
            <w:tcBorders>
              <w:bottom w:val="single" w:sz="8" w:color="0CD973"/>
            </w:tcBorders>
          </w:tcPr>
          <w:p>
            <w:pPr>
              <w:spacing w:after="0"/>
              <w:rPr>
                <w:sz w:val="3"/>
                <w:szCs w:val="3"/>
                <w:color w:val="auto"/>
              </w:rPr>
            </w:pPr>
          </w:p>
        </w:tc>
        <w:tc>
          <w:tcPr>
            <w:tcW w:w="20" w:type="dxa"/>
            <w:vAlign w:val="bottom"/>
          </w:tcPr>
          <w:p>
            <w:pPr>
              <w:spacing w:after="0"/>
              <w:rPr>
                <w:sz w:val="3"/>
                <w:szCs w:val="3"/>
                <w:color w:val="auto"/>
              </w:rPr>
            </w:pPr>
          </w:p>
        </w:tc>
      </w:tr>
      <w:tr>
        <w:trPr>
          <w:trHeight w:val="236"/>
        </w:trPr>
        <w:tc>
          <w:tcPr>
            <w:tcW w:w="180" w:type="dxa"/>
            <w:vAlign w:val="bottom"/>
          </w:tcPr>
          <w:p>
            <w:pPr>
              <w:spacing w:after="0"/>
              <w:rPr>
                <w:sz w:val="20"/>
                <w:szCs w:val="20"/>
                <w:color w:val="auto"/>
              </w:rPr>
            </w:pPr>
          </w:p>
        </w:tc>
        <w:tc>
          <w:tcPr>
            <w:tcW w:w="8840" w:type="dxa"/>
            <w:vAlign w:val="bottom"/>
            <w:gridSpan w:val="7"/>
          </w:tcPr>
          <w:p>
            <w:pPr>
              <w:ind w:left="2180"/>
              <w:spacing w:after="0"/>
              <w:rPr>
                <w:sz w:val="20"/>
                <w:szCs w:val="20"/>
                <w:color w:val="auto"/>
              </w:rPr>
            </w:pPr>
            <w:r>
              <w:rPr>
                <w:rFonts w:ascii="Calibri" w:cs="Calibri" w:eastAsia="Calibri" w:hAnsi="Calibri"/>
                <w:sz w:val="16"/>
                <w:szCs w:val="16"/>
                <w:color w:val="51555C"/>
              </w:rPr>
              <w:t>The accompanying notes are an integral part of these condensed consolidated fnancial statements.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96"/>
        </w:trPr>
        <w:tc>
          <w:tcPr>
            <w:tcW w:w="180" w:type="dxa"/>
            <w:vAlign w:val="bottom"/>
          </w:tcPr>
          <w:p>
            <w:pPr>
              <w:ind w:left="20"/>
              <w:spacing w:after="0"/>
              <w:rPr>
                <w:sz w:val="20"/>
                <w:szCs w:val="20"/>
                <w:color w:val="auto"/>
              </w:rPr>
            </w:pPr>
            <w:r>
              <w:rPr>
                <w:rFonts w:ascii="Calibri" w:cs="Calibri" w:eastAsia="Calibri" w:hAnsi="Calibri"/>
                <w:sz w:val="14"/>
                <w:szCs w:val="14"/>
                <w:color w:val="51555C"/>
              </w:rPr>
              <w:t>4</w:t>
            </w:r>
          </w:p>
        </w:tc>
        <w:tc>
          <w:tcPr>
            <w:tcW w:w="5760" w:type="dxa"/>
            <w:vAlign w:val="bottom"/>
          </w:tcPr>
          <w:p>
            <w:pPr>
              <w:ind w:left="1460"/>
              <w:spacing w:after="0"/>
              <w:rPr>
                <w:sz w:val="20"/>
                <w:szCs w:val="20"/>
                <w:color w:val="auto"/>
              </w:rPr>
            </w:pPr>
            <w:r>
              <w:rPr>
                <w:rFonts w:ascii="Calibri" w:cs="Calibri" w:eastAsia="Calibri" w:hAnsi="Calibri"/>
                <w:sz w:val="14"/>
                <w:szCs w:val="14"/>
                <w:color w:val="51555C"/>
              </w:rPr>
              <w:t>Third Quarter 2024 Form 10-Q</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18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-6034405</wp:posOffset>
            </wp:positionV>
            <wp:extent cx="33686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867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-376555</wp:posOffset>
            </wp:positionV>
            <wp:extent cx="67691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 w:name="page6"/>
    <w:bookmarkEnd w:id="5"/>
    <w:p>
      <w:pPr>
        <w:spacing w:after="0" w:line="23"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51555C"/>
        </w:rPr>
        <w:t>Blackbaud, Inc.</w:t>
      </w:r>
    </w:p>
    <w:p>
      <w:pPr>
        <w:jc w:val="center"/>
        <w:ind w:right="40"/>
        <w:spacing w:after="0" w:line="235" w:lineRule="auto"/>
        <w:rPr>
          <w:sz w:val="20"/>
          <w:szCs w:val="20"/>
          <w:color w:val="auto"/>
        </w:rPr>
      </w:pPr>
      <w:r>
        <w:rPr>
          <w:rFonts w:ascii="Calibri" w:cs="Calibri" w:eastAsia="Calibri" w:hAnsi="Calibri"/>
          <w:sz w:val="18"/>
          <w:szCs w:val="18"/>
          <w:b w:val="1"/>
          <w:bCs w:val="1"/>
          <w:color w:val="51555C"/>
        </w:rPr>
        <w:t>Condensed Consolidated Statements of Cash Flows</w:t>
      </w:r>
    </w:p>
    <w:p>
      <w:pPr>
        <w:jc w:val="center"/>
        <w:ind w:right="4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582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3430" cy="58293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Calibri" w:cs="Calibri" w:eastAsia="Calibri" w:hAnsi="Calibri"/>
          <w:sz w:val="14"/>
          <w:szCs w:val="14"/>
          <w:b w:val="1"/>
          <w:bCs w:val="1"/>
          <w:color w:val="FFFFFF"/>
        </w:rPr>
        <w:t>Nine months ended</w:t>
      </w:r>
    </w:p>
    <w:p>
      <w:pPr>
        <w:spacing w:after="0" w:line="5" w:lineRule="exact"/>
        <w:rPr>
          <w:sz w:val="20"/>
          <w:szCs w:val="20"/>
          <w:color w:val="auto"/>
        </w:rPr>
      </w:pPr>
    </w:p>
    <w:p>
      <w:pPr>
        <w:jc w:val="right"/>
        <w:ind w:right="60"/>
        <w:spacing w:after="0"/>
        <w:rPr>
          <w:sz w:val="20"/>
          <w:szCs w:val="20"/>
          <w:color w:val="auto"/>
        </w:rPr>
      </w:pPr>
      <w:r>
        <w:rPr>
          <w:rFonts w:ascii="Calibri" w:cs="Calibri" w:eastAsia="Calibri" w:hAnsi="Calibri"/>
          <w:sz w:val="14"/>
          <w:szCs w:val="14"/>
          <w:b w:val="1"/>
          <w:bCs w:val="1"/>
          <w:color w:val="FFFFFF"/>
        </w:rPr>
        <w:t>September 30,</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r>
      <w:tr>
        <w:trPr>
          <w:trHeight w:val="53"/>
        </w:trPr>
        <w:tc>
          <w:tcPr>
            <w:tcW w:w="8800" w:type="dxa"/>
            <w:vAlign w:val="bottom"/>
            <w:tcBorders>
              <w:bottom w:val="single" w:sz="8" w:color="004054"/>
            </w:tcBorders>
          </w:tcPr>
          <w:p>
            <w:pPr>
              <w:spacing w:after="0"/>
              <w:rPr>
                <w:sz w:val="4"/>
                <w:szCs w:val="4"/>
                <w:color w:val="auto"/>
              </w:rPr>
            </w:pPr>
          </w:p>
        </w:tc>
        <w:tc>
          <w:tcPr>
            <w:tcW w:w="1220" w:type="dxa"/>
            <w:vAlign w:val="bottom"/>
            <w:tcBorders>
              <w:bottom w:val="single" w:sz="8" w:color="004054"/>
            </w:tcBorders>
            <w:shd w:val="clear" w:color="auto" w:fill="004054"/>
          </w:tcPr>
          <w:p>
            <w:pPr>
              <w:spacing w:after="0"/>
              <w:rPr>
                <w:sz w:val="4"/>
                <w:szCs w:val="4"/>
                <w:color w:val="auto"/>
              </w:rPr>
            </w:pPr>
          </w:p>
        </w:tc>
        <w:tc>
          <w:tcPr>
            <w:tcW w:w="1200" w:type="dxa"/>
            <w:vAlign w:val="bottom"/>
            <w:tcBorders>
              <w:bottom w:val="single" w:sz="8" w:color="004054"/>
            </w:tcBorders>
            <w:shd w:val="clear" w:color="auto" w:fill="004054"/>
          </w:tcPr>
          <w:p>
            <w:pPr>
              <w:spacing w:after="0"/>
              <w:rPr>
                <w:sz w:val="4"/>
                <w:szCs w:val="4"/>
                <w:color w:val="auto"/>
              </w:rPr>
            </w:pPr>
          </w:p>
        </w:tc>
      </w:tr>
    </w:tbl>
    <w:p>
      <w:pPr>
        <w:spacing w:after="0" w:line="7" w:lineRule="exact"/>
        <w:rPr>
          <w:sz w:val="20"/>
          <w:szCs w:val="20"/>
          <w:color w:val="auto"/>
        </w:rPr>
      </w:pPr>
    </w:p>
    <w:p>
      <w:pPr>
        <w:sectPr>
          <w:pgSz w:w="11900" w:h="16838" w:orient="portrait"/>
          <w:cols w:equalWidth="0" w:num="1">
            <w:col w:w="11260"/>
          </w:cols>
          <w:pgMar w:left="320" w:top="1440" w:right="319" w:bottom="744" w:gutter="0" w:footer="0" w:header="0"/>
        </w:sectPr>
      </w:pPr>
    </w:p>
    <w:p>
      <w:pPr>
        <w:ind w:left="20"/>
        <w:spacing w:after="0"/>
        <w:rPr>
          <w:sz w:val="20"/>
          <w:szCs w:val="20"/>
          <w:color w:val="auto"/>
        </w:rPr>
      </w:pPr>
      <w:r>
        <w:rPr>
          <w:rFonts w:ascii="Calibri" w:cs="Calibri" w:eastAsia="Calibri" w:hAnsi="Calibri"/>
          <w:sz w:val="16"/>
          <w:szCs w:val="16"/>
          <w:b w:val="1"/>
          <w:bCs w:val="1"/>
          <w:color w:val="51555C"/>
        </w:rPr>
        <w:t>Cash fows from operatng actvites</w:t>
      </w:r>
    </w:p>
    <w:p>
      <w:pPr>
        <w:spacing w:after="0" w:line="4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Adjustments to reconcile net income (loss) to net cash provided by operatng actvites:</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Depreciaton and amortzaton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Provision for credit losses and sales returns</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Stock-based compensaton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Deferred taxes</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Amortzaton of deferred fnancing costs and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Loss on dispositon of business</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Other non-cash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Changes in operatng assets and liabilites, net of acquisiton and disposal of businesses:</w:t>
      </w:r>
    </w:p>
    <w:p>
      <w:pPr>
        <w:spacing w:after="0" w:line="48" w:lineRule="exact"/>
        <w:rPr>
          <w:sz w:val="20"/>
          <w:szCs w:val="20"/>
          <w:color w:val="auto"/>
        </w:rPr>
      </w:pPr>
    </w:p>
    <w:p>
      <w:pPr>
        <w:ind w:left="560"/>
        <w:spacing w:after="0"/>
        <w:rPr>
          <w:sz w:val="20"/>
          <w:szCs w:val="20"/>
          <w:color w:val="auto"/>
        </w:rPr>
      </w:pPr>
      <w:r>
        <w:rPr>
          <w:rFonts w:ascii="Calibri" w:cs="Calibri" w:eastAsia="Calibri" w:hAnsi="Calibri"/>
          <w:sz w:val="16"/>
          <w:szCs w:val="16"/>
          <w:color w:val="51555C"/>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560"/>
        <w:spacing w:after="0"/>
        <w:rPr>
          <w:sz w:val="20"/>
          <w:szCs w:val="20"/>
          <w:color w:val="auto"/>
        </w:rPr>
      </w:pPr>
      <w:r>
        <w:rPr>
          <w:rFonts w:ascii="Calibri" w:cs="Calibri" w:eastAsia="Calibri" w:hAnsi="Calibri"/>
          <w:sz w:val="16"/>
          <w:szCs w:val="16"/>
          <w:color w:val="51555C"/>
        </w:rPr>
        <w:t>Prepaid expenses and other assets</w:t>
      </w:r>
    </w:p>
    <w:p>
      <w:pPr>
        <w:spacing w:after="0" w:line="48" w:lineRule="exact"/>
        <w:rPr>
          <w:sz w:val="20"/>
          <w:szCs w:val="20"/>
          <w:color w:val="auto"/>
        </w:rPr>
      </w:pPr>
    </w:p>
    <w:p>
      <w:pPr>
        <w:ind w:left="560"/>
        <w:spacing w:after="0"/>
        <w:rPr>
          <w:sz w:val="20"/>
          <w:szCs w:val="20"/>
          <w:color w:val="auto"/>
        </w:rPr>
      </w:pPr>
      <w:r>
        <w:rPr>
          <w:rFonts w:ascii="Calibri" w:cs="Calibri" w:eastAsia="Calibri" w:hAnsi="Calibri"/>
          <w:sz w:val="16"/>
          <w:szCs w:val="16"/>
          <w:color w:val="51555C"/>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560"/>
        <w:spacing w:after="0"/>
        <w:rPr>
          <w:sz w:val="20"/>
          <w:szCs w:val="20"/>
          <w:color w:val="auto"/>
        </w:rPr>
      </w:pPr>
      <w:r>
        <w:rPr>
          <w:rFonts w:ascii="Calibri" w:cs="Calibri" w:eastAsia="Calibri" w:hAnsi="Calibri"/>
          <w:sz w:val="16"/>
          <w:szCs w:val="16"/>
          <w:color w:val="51555C"/>
        </w:rPr>
        <w:t>Accrued expenses and other liabilites</w:t>
      </w:r>
    </w:p>
    <w:p>
      <w:pPr>
        <w:spacing w:after="0" w:line="48" w:lineRule="exact"/>
        <w:rPr>
          <w:sz w:val="20"/>
          <w:szCs w:val="20"/>
          <w:color w:val="auto"/>
        </w:rPr>
      </w:pPr>
    </w:p>
    <w:p>
      <w:pPr>
        <w:ind w:left="560"/>
        <w:spacing w:after="0"/>
        <w:rPr>
          <w:sz w:val="20"/>
          <w:szCs w:val="20"/>
          <w:color w:val="auto"/>
        </w:rPr>
      </w:pPr>
      <w:r>
        <w:rPr>
          <w:rFonts w:ascii="Calibri" w:cs="Calibri" w:eastAsia="Calibri" w:hAnsi="Calibri"/>
          <w:sz w:val="16"/>
          <w:szCs w:val="16"/>
          <w:color w:val="51555C"/>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8" w:lineRule="exact"/>
        <w:rPr>
          <w:sz w:val="20"/>
          <w:szCs w:val="20"/>
          <w:color w:val="auto"/>
        </w:rPr>
      </w:pPr>
    </w:p>
    <w:p>
      <w:pPr>
        <w:ind w:left="780"/>
        <w:spacing w:after="0"/>
        <w:rPr>
          <w:sz w:val="20"/>
          <w:szCs w:val="20"/>
          <w:color w:val="auto"/>
        </w:rPr>
      </w:pPr>
      <w:r>
        <w:rPr>
          <w:rFonts w:ascii="Calibri" w:cs="Calibri" w:eastAsia="Calibri" w:hAnsi="Calibri"/>
          <w:sz w:val="16"/>
          <w:szCs w:val="16"/>
          <w:b w:val="1"/>
          <w:bCs w:val="1"/>
          <w:color w:val="51555C"/>
        </w:rPr>
        <w:t>Net cash provided by operatng actvites</w:t>
      </w:r>
    </w:p>
    <w:p>
      <w:pPr>
        <w:spacing w:after="0" w:line="61"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Cash fows from investng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Purchase of property and equipment</w:t>
      </w:r>
    </w:p>
    <w:p>
      <w:pPr>
        <w:spacing w:after="0" w:line="4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Capitalized sofware and content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Purchase of net assets of acquired companies, net of cash and restricted cash acquired</w:t>
      </w:r>
    </w:p>
    <w:p>
      <w:pPr>
        <w:spacing w:after="0" w:line="4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Net cash used in dispositon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Other investng actvites</w:t>
      </w:r>
    </w:p>
    <w:p>
      <w:pPr>
        <w:spacing w:after="0" w:line="48" w:lineRule="exact"/>
        <w:rPr>
          <w:sz w:val="20"/>
          <w:szCs w:val="20"/>
          <w:color w:val="auto"/>
        </w:rPr>
      </w:pPr>
    </w:p>
    <w:p>
      <w:pPr>
        <w:ind w:left="780"/>
        <w:spacing w:after="0"/>
        <w:rPr>
          <w:sz w:val="20"/>
          <w:szCs w:val="20"/>
          <w:color w:val="auto"/>
        </w:rPr>
      </w:pPr>
      <w:r>
        <w:rPr>
          <w:rFonts w:ascii="Calibri" w:cs="Calibri" w:eastAsia="Calibri" w:hAnsi="Calibri"/>
          <w:sz w:val="16"/>
          <w:szCs w:val="16"/>
          <w:b w:val="1"/>
          <w:bCs w:val="1"/>
          <w:color w:val="51555C"/>
        </w:rPr>
        <w:t>Net cash used in investng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1517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Cash fows from fnancing actvites</w:t>
      </w:r>
    </w:p>
    <w:p>
      <w:pPr>
        <w:spacing w:after="0" w:line="4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Proceeds from issuance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Payments on debt</w:t>
      </w:r>
    </w:p>
    <w:p>
      <w:pPr>
        <w:spacing w:after="0" w:line="4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0" w:lineRule="exact"/>
        <w:rPr>
          <w:sz w:val="20"/>
          <w:szCs w:val="20"/>
          <w:color w:val="auto"/>
        </w:rPr>
      </w:pPr>
    </w:p>
    <w:p>
      <w:pPr>
        <w:ind w:left="140" w:right="3280"/>
        <w:spacing w:after="0" w:line="296" w:lineRule="auto"/>
        <w:rPr>
          <w:sz w:val="20"/>
          <w:szCs w:val="20"/>
          <w:color w:val="auto"/>
        </w:rPr>
      </w:pPr>
      <w:r>
        <w:rPr>
          <w:rFonts w:ascii="Calibri" w:cs="Calibri" w:eastAsia="Calibri" w:hAnsi="Calibri"/>
          <w:sz w:val="16"/>
          <w:szCs w:val="16"/>
          <w:color w:val="51555C"/>
        </w:rPr>
        <w:t>Employee taxes paid for withheld shares upon equity award setlement Change in due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140"/>
        <w:spacing w:after="0"/>
        <w:rPr>
          <w:sz w:val="20"/>
          <w:szCs w:val="20"/>
          <w:color w:val="auto"/>
        </w:rPr>
      </w:pPr>
      <w:r>
        <w:rPr>
          <w:rFonts w:ascii="Calibri" w:cs="Calibri" w:eastAsia="Calibri" w:hAnsi="Calibri"/>
          <w:sz w:val="16"/>
          <w:szCs w:val="16"/>
          <w:color w:val="51555C"/>
        </w:rPr>
        <w:t>Change in customer funds receivable</w:t>
      </w:r>
    </w:p>
    <w:p>
      <w:pPr>
        <w:spacing w:after="0" w:line="4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Purchase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8" w:lineRule="exact"/>
        <w:rPr>
          <w:sz w:val="20"/>
          <w:szCs w:val="20"/>
          <w:color w:val="auto"/>
        </w:rPr>
      </w:pPr>
    </w:p>
    <w:p>
      <w:pPr>
        <w:ind w:left="780"/>
        <w:spacing w:after="0"/>
        <w:rPr>
          <w:sz w:val="20"/>
          <w:szCs w:val="20"/>
          <w:color w:val="auto"/>
        </w:rPr>
      </w:pPr>
      <w:r>
        <w:rPr>
          <w:rFonts w:ascii="Calibri" w:cs="Calibri" w:eastAsia="Calibri" w:hAnsi="Calibri"/>
          <w:sz w:val="16"/>
          <w:szCs w:val="16"/>
          <w:b w:val="1"/>
          <w:bCs w:val="1"/>
          <w:color w:val="51555C"/>
        </w:rPr>
        <w:t>Net cash used in fnancing actvites</w:t>
      </w:r>
    </w:p>
    <w:p>
      <w:pPr>
        <w:spacing w:after="0" w:line="61"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Efect of exchange rate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Net decrease in cash, cash equivalents and restricted cash</w:t>
      </w:r>
    </w:p>
    <w:p>
      <w:pPr>
        <w:spacing w:after="0" w:line="61"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47,592</w:t>
            </w:r>
          </w:p>
        </w:tc>
        <w:tc>
          <w:tcPr>
            <w:tcW w:w="340" w:type="dxa"/>
            <w:vAlign w:val="bottom"/>
          </w:tcPr>
          <w:p>
            <w:pPr>
              <w:jc w:val="right"/>
              <w:ind w:right="139"/>
              <w:spacing w:after="0"/>
              <w:rPr>
                <w:sz w:val="20"/>
                <w:szCs w:val="20"/>
                <w:color w:val="auto"/>
              </w:rPr>
            </w:pPr>
            <w:r>
              <w:rPr>
                <w:rFonts w:ascii="Calibri" w:cs="Calibri" w:eastAsia="Calibri" w:hAnsi="Calibri"/>
                <w:sz w:val="16"/>
                <w:szCs w:val="16"/>
                <w:color w:val="51555C"/>
              </w:rPr>
              <w:t>$</w:t>
            </w:r>
          </w:p>
        </w:tc>
        <w:tc>
          <w:tcPr>
            <w:tcW w:w="880" w:type="dxa"/>
            <w:vAlign w:val="bottom"/>
          </w:tcPr>
          <w:p>
            <w:pPr>
              <w:jc w:val="right"/>
              <w:spacing w:after="0"/>
              <w:rPr>
                <w:sz w:val="20"/>
                <w:szCs w:val="20"/>
                <w:color w:val="auto"/>
              </w:rPr>
            </w:pPr>
            <w:r>
              <w:rPr>
                <w:rFonts w:ascii="Calibri" w:cs="Calibri" w:eastAsia="Calibri" w:hAnsi="Calibri"/>
                <w:sz w:val="16"/>
                <w:szCs w:val="16"/>
                <w:color w:val="51555C"/>
              </w:rPr>
              <w:t>(3,579)</w:t>
            </w:r>
          </w:p>
        </w:tc>
      </w:tr>
      <w:tr>
        <w:trPr>
          <w:trHeight w:val="486"/>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91,618</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81,627</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1,721</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4,815</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76,430</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95,668</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(21,776)</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(31,163)</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1,786</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1,388</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1,561</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2,462</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5,106</w:t>
            </w:r>
          </w:p>
        </w:tc>
      </w:tr>
      <w:tr>
        <w:trPr>
          <w:trHeight w:val="486"/>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918</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(4,757)</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(873)</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14,488</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18,322</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(3,362)</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(16,373)</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9,073</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18,998</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33,679</w:t>
            </w:r>
          </w:p>
        </w:tc>
      </w:tr>
      <w:tr>
        <w:trPr>
          <w:trHeight w:val="41"/>
        </w:trPr>
        <w:tc>
          <w:tcPr>
            <w:tcW w:w="28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34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r>
      <w:tr>
        <w:trPr>
          <w:trHeight w:val="195"/>
        </w:trPr>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222,386</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202,983</w:t>
            </w:r>
          </w:p>
        </w:tc>
      </w:tr>
      <w:tr>
        <w:trPr>
          <w:trHeight w:val="486"/>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(7,235)</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(4,243)</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(42,882)</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(44,664)</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(13)</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(1,179)</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(5,029)</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(250)</w:t>
            </w:r>
          </w:p>
        </w:tc>
      </w:tr>
      <w:tr>
        <w:trPr>
          <w:trHeight w:val="41"/>
        </w:trPr>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96"/>
        </w:trPr>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(56,325)</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(49,170)</w:t>
            </w:r>
          </w:p>
        </w:tc>
      </w:tr>
      <w:tr>
        <w:trPr>
          <w:trHeight w:val="486"/>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1,303,400</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175,800</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(1,080,192)</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(293,957)</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(6,458)</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(55,950)</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(35,568)</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(263,732)</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(339,735)</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(6,777)</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(3,286)</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(325,408)</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41"/>
        </w:trPr>
        <w:tc>
          <w:tcPr>
            <w:tcW w:w="28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34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r>
      <w:tr>
        <w:trPr>
          <w:trHeight w:val="195"/>
        </w:trPr>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(435,117)</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(496,746)</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3,527</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(311)</w:t>
            </w:r>
          </w:p>
        </w:tc>
      </w:tr>
      <w:tr>
        <w:trPr>
          <w:trHeight w:val="41"/>
        </w:trPr>
        <w:tc>
          <w:tcPr>
            <w:tcW w:w="28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34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r>
      <w:tr>
        <w:trPr>
          <w:trHeight w:val="195"/>
        </w:trPr>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(265,529)</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(343,244)</w:t>
            </w:r>
          </w:p>
        </w:tc>
      </w:tr>
      <w:tr>
        <w:trPr>
          <w:trHeight w:val="243"/>
        </w:trPr>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728,257</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733,931</w:t>
            </w:r>
          </w:p>
        </w:tc>
      </w:tr>
      <w:tr>
        <w:trPr>
          <w:trHeight w:val="41"/>
        </w:trPr>
        <w:tc>
          <w:tcPr>
            <w:tcW w:w="28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34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r>
      <w:tr>
        <w:trPr>
          <w:trHeight w:val="195"/>
        </w:trPr>
        <w:tc>
          <w:tcPr>
            <w:tcW w:w="2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462,728</w:t>
            </w:r>
          </w:p>
        </w:tc>
        <w:tc>
          <w:tcPr>
            <w:tcW w:w="340" w:type="dxa"/>
            <w:vAlign w:val="bottom"/>
          </w:tcPr>
          <w:p>
            <w:pPr>
              <w:jc w:val="right"/>
              <w:ind w:right="139"/>
              <w:spacing w:after="0"/>
              <w:rPr>
                <w:sz w:val="20"/>
                <w:szCs w:val="20"/>
                <w:color w:val="auto"/>
              </w:rPr>
            </w:pPr>
            <w:r>
              <w:rPr>
                <w:rFonts w:ascii="Calibri" w:cs="Calibri" w:eastAsia="Calibri" w:hAnsi="Calibri"/>
                <w:sz w:val="16"/>
                <w:szCs w:val="16"/>
                <w:color w:val="51555C"/>
              </w:rPr>
              <w:t>$</w:t>
            </w:r>
          </w:p>
        </w:tc>
        <w:tc>
          <w:tcPr>
            <w:tcW w:w="880" w:type="dxa"/>
            <w:vAlign w:val="bottom"/>
          </w:tcPr>
          <w:p>
            <w:pPr>
              <w:jc w:val="right"/>
              <w:spacing w:after="0"/>
              <w:rPr>
                <w:sz w:val="20"/>
                <w:szCs w:val="20"/>
                <w:color w:val="auto"/>
              </w:rPr>
            </w:pPr>
            <w:r>
              <w:rPr>
                <w:rFonts w:ascii="Calibri" w:cs="Calibri" w:eastAsia="Calibri" w:hAnsi="Calibri"/>
                <w:sz w:val="16"/>
                <w:szCs w:val="16"/>
                <w:color w:val="51555C"/>
              </w:rPr>
              <w:t>390,687</w:t>
            </w:r>
          </w:p>
        </w:tc>
      </w:tr>
    </w:tbl>
    <w:p>
      <w:pPr>
        <w:spacing w:after="0" w:line="200" w:lineRule="exact"/>
        <w:rPr>
          <w:sz w:val="20"/>
          <w:szCs w:val="20"/>
          <w:color w:val="auto"/>
        </w:rPr>
      </w:pPr>
    </w:p>
    <w:p>
      <w:pPr>
        <w:sectPr>
          <w:pgSz w:w="11900" w:h="16838" w:orient="portrait"/>
          <w:cols w:equalWidth="0" w:num="2">
            <w:col w:w="8080" w:space="720"/>
            <w:col w:w="2460"/>
          </w:cols>
          <w:pgMar w:left="320" w:top="1440" w:right="319" w:bottom="744" w:gutter="0" w:footer="0" w:header="0"/>
          <w:type w:val="continuous"/>
        </w:sectPr>
      </w:pPr>
    </w:p>
    <w:p>
      <w:pPr>
        <w:spacing w:after="0" w:line="38" w:lineRule="exact"/>
        <w:rPr>
          <w:sz w:val="20"/>
          <w:szCs w:val="20"/>
          <w:color w:val="auto"/>
        </w:rPr>
      </w:pPr>
    </w:p>
    <w:p>
      <w:pPr>
        <w:ind w:right="20"/>
        <w:spacing w:after="0" w:line="235" w:lineRule="auto"/>
        <w:rPr>
          <w:sz w:val="20"/>
          <w:szCs w:val="20"/>
          <w:color w:val="auto"/>
        </w:rPr>
      </w:pPr>
      <w:r>
        <w:rPr>
          <w:rFonts w:ascii="Calibri" w:cs="Calibri" w:eastAsia="Calibri" w:hAnsi="Calibri"/>
          <w:sz w:val="16"/>
          <w:szCs w:val="16"/>
          <w:color w:val="51555C"/>
        </w:rPr>
        <w:t>The following table provides a reconciliaton of cash and cash equivalents and restricted cash reported within the condensed consolidated balance sheets that sum to the total of the same such amounts shown above in the condensed consolidated statements of cash fows: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4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1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44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170"/>
        </w:trPr>
        <w:tc>
          <w:tcPr>
            <w:tcW w:w="79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440" w:type="dxa"/>
            <w:vAlign w:val="bottom"/>
            <w:shd w:val="clear" w:color="auto" w:fill="004054"/>
          </w:tcPr>
          <w:p>
            <w:pPr>
              <w:spacing w:after="0"/>
              <w:rPr>
                <w:sz w:val="14"/>
                <w:szCs w:val="14"/>
                <w:color w:val="auto"/>
              </w:rPr>
            </w:pPr>
          </w:p>
        </w:tc>
        <w:tc>
          <w:tcPr>
            <w:tcW w:w="1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440" w:type="dxa"/>
            <w:vAlign w:val="bottom"/>
            <w:shd w:val="clear" w:color="auto" w:fill="004054"/>
          </w:tcPr>
          <w:p>
            <w:pPr>
              <w:spacing w:after="0"/>
              <w:rPr>
                <w:sz w:val="14"/>
                <w:szCs w:val="14"/>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4"/>
                <w:szCs w:val="14"/>
                <w:color w:val="auto"/>
              </w:rPr>
            </w:pPr>
          </w:p>
        </w:tc>
      </w:tr>
      <w:tr>
        <w:trPr>
          <w:trHeight w:val="74"/>
        </w:trPr>
        <w:tc>
          <w:tcPr>
            <w:tcW w:w="794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122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23"/>
        </w:trPr>
        <w:tc>
          <w:tcPr>
            <w:tcW w:w="7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color w:val="51555C"/>
              </w:rPr>
              <w:t>Cash and cash equivalents</w:t>
            </w:r>
          </w:p>
        </w:tc>
        <w:tc>
          <w:tcPr>
            <w:tcW w:w="440" w:type="dxa"/>
            <w:vAlign w:val="bottom"/>
            <w:tcBorders>
              <w:bottom w:val="single" w:sz="8" w:color="EBFBFF"/>
            </w:tcBorders>
            <w:shd w:val="clear" w:color="auto" w:fill="EBFBFF"/>
          </w:tcPr>
          <w:p>
            <w:pPr>
              <w:jc w:val="right"/>
              <w:ind w:right="259"/>
              <w:spacing w:after="0"/>
              <w:rPr>
                <w:sz w:val="20"/>
                <w:szCs w:val="20"/>
                <w:color w:val="auto"/>
              </w:rPr>
            </w:pPr>
            <w:r>
              <w:rPr>
                <w:rFonts w:ascii="Calibri" w:cs="Calibri" w:eastAsia="Calibri" w:hAnsi="Calibri"/>
                <w:sz w:val="16"/>
                <w:szCs w:val="16"/>
                <w:color w:val="51555C"/>
                <w:w w:val="97"/>
              </w:rPr>
              <w:t>$</w:t>
            </w:r>
          </w:p>
        </w:tc>
        <w:tc>
          <w:tcPr>
            <w:tcW w:w="1220" w:type="dxa"/>
            <w:vAlign w:val="bottom"/>
            <w:tcBorders>
              <w:bottom w:val="single" w:sz="8" w:color="EBFBFF"/>
            </w:tcBorders>
            <w:shd w:val="clear" w:color="auto" w:fill="EBFBFF"/>
          </w:tcPr>
          <w:p>
            <w:pPr>
              <w:jc w:val="right"/>
              <w:ind w:right="3"/>
              <w:spacing w:after="0"/>
              <w:rPr>
                <w:sz w:val="20"/>
                <w:szCs w:val="20"/>
                <w:color w:val="auto"/>
              </w:rPr>
            </w:pPr>
            <w:r>
              <w:rPr>
                <w:rFonts w:ascii="Calibri" w:cs="Calibri" w:eastAsia="Calibri" w:hAnsi="Calibri"/>
                <w:sz w:val="16"/>
                <w:szCs w:val="16"/>
                <w:color w:val="51555C"/>
              </w:rPr>
              <w:t>34,633</w:t>
            </w:r>
          </w:p>
        </w:tc>
        <w:tc>
          <w:tcPr>
            <w:tcW w:w="440" w:type="dxa"/>
            <w:vAlign w:val="bottom"/>
            <w:tcBorders>
              <w:bottom w:val="single" w:sz="8" w:color="EBFBFF"/>
            </w:tcBorders>
            <w:shd w:val="clear" w:color="auto" w:fill="EBFBFF"/>
          </w:tcPr>
          <w:p>
            <w:pPr>
              <w:jc w:val="right"/>
              <w:ind w:right="259"/>
              <w:spacing w:after="0"/>
              <w:rPr>
                <w:sz w:val="20"/>
                <w:szCs w:val="20"/>
                <w:color w:val="auto"/>
              </w:rPr>
            </w:pPr>
            <w:r>
              <w:rPr>
                <w:rFonts w:ascii="Calibri" w:cs="Calibri" w:eastAsia="Calibri" w:hAnsi="Calibri"/>
                <w:sz w:val="16"/>
                <w:szCs w:val="16"/>
                <w:color w:val="51555C"/>
                <w:w w:val="97"/>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31,251</w:t>
            </w:r>
          </w:p>
        </w:tc>
        <w:tc>
          <w:tcPr>
            <w:tcW w:w="20" w:type="dxa"/>
            <w:vAlign w:val="bottom"/>
          </w:tcPr>
          <w:p>
            <w:pPr>
              <w:spacing w:after="0"/>
              <w:rPr>
                <w:sz w:val="19"/>
                <w:szCs w:val="19"/>
                <w:color w:val="auto"/>
              </w:rPr>
            </w:pPr>
          </w:p>
        </w:tc>
      </w:tr>
      <w:tr>
        <w:trPr>
          <w:trHeight w:val="202"/>
        </w:trPr>
        <w:tc>
          <w:tcPr>
            <w:tcW w:w="7940" w:type="dxa"/>
            <w:vAlign w:val="bottom"/>
          </w:tcPr>
          <w:p>
            <w:pPr>
              <w:ind w:left="20"/>
              <w:spacing w:after="0"/>
              <w:rPr>
                <w:sz w:val="20"/>
                <w:szCs w:val="20"/>
                <w:color w:val="auto"/>
              </w:rPr>
            </w:pPr>
            <w:r>
              <w:rPr>
                <w:rFonts w:ascii="Calibri" w:cs="Calibri" w:eastAsia="Calibri" w:hAnsi="Calibri"/>
                <w:sz w:val="16"/>
                <w:szCs w:val="16"/>
                <w:color w:val="51555C"/>
              </w:rPr>
              <w:t>Restricted cash</w:t>
            </w:r>
          </w:p>
        </w:tc>
        <w:tc>
          <w:tcPr>
            <w:tcW w:w="44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Calibri" w:cs="Calibri" w:eastAsia="Calibri" w:hAnsi="Calibri"/>
                <w:sz w:val="16"/>
                <w:szCs w:val="16"/>
                <w:color w:val="51555C"/>
              </w:rPr>
              <w:t>428,095</w:t>
            </w: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alibri" w:cs="Calibri" w:eastAsia="Calibri" w:hAnsi="Calibri"/>
                <w:sz w:val="16"/>
                <w:szCs w:val="16"/>
                <w:color w:val="51555C"/>
              </w:rPr>
              <w:t>697,006</w:t>
            </w:r>
          </w:p>
        </w:tc>
        <w:tc>
          <w:tcPr>
            <w:tcW w:w="20" w:type="dxa"/>
            <w:vAlign w:val="bottom"/>
          </w:tcPr>
          <w:p>
            <w:pPr>
              <w:spacing w:after="0"/>
              <w:rPr>
                <w:sz w:val="17"/>
                <w:szCs w:val="17"/>
                <w:color w:val="auto"/>
              </w:rPr>
            </w:pPr>
          </w:p>
        </w:tc>
      </w:tr>
      <w:tr>
        <w:trPr>
          <w:trHeight w:val="41"/>
        </w:trPr>
        <w:tc>
          <w:tcPr>
            <w:tcW w:w="7940" w:type="dxa"/>
            <w:vAlign w:val="bottom"/>
            <w:tcBorders>
              <w:bottom w:val="single" w:sz="8" w:color="EBFBFF"/>
            </w:tcBorders>
          </w:tcPr>
          <w:p>
            <w:pPr>
              <w:spacing w:after="0"/>
              <w:rPr>
                <w:sz w:val="3"/>
                <w:szCs w:val="3"/>
                <w:color w:val="auto"/>
              </w:rPr>
            </w:pPr>
          </w:p>
        </w:tc>
        <w:tc>
          <w:tcPr>
            <w:tcW w:w="440" w:type="dxa"/>
            <w:vAlign w:val="bottom"/>
            <w:tcBorders>
              <w:bottom w:val="single" w:sz="8" w:color="51555C"/>
            </w:tcBorders>
          </w:tcPr>
          <w:p>
            <w:pPr>
              <w:spacing w:after="0"/>
              <w:rPr>
                <w:sz w:val="3"/>
                <w:szCs w:val="3"/>
                <w:color w:val="auto"/>
              </w:rPr>
            </w:pPr>
          </w:p>
        </w:tc>
        <w:tc>
          <w:tcPr>
            <w:tcW w:w="1220" w:type="dxa"/>
            <w:vAlign w:val="bottom"/>
            <w:tcBorders>
              <w:bottom w:val="single" w:sz="8" w:color="51555C"/>
            </w:tcBorders>
          </w:tcPr>
          <w:p>
            <w:pPr>
              <w:spacing w:after="0"/>
              <w:rPr>
                <w:sz w:val="3"/>
                <w:szCs w:val="3"/>
                <w:color w:val="auto"/>
              </w:rPr>
            </w:pPr>
          </w:p>
        </w:tc>
        <w:tc>
          <w:tcPr>
            <w:tcW w:w="440" w:type="dxa"/>
            <w:vAlign w:val="bottom"/>
            <w:tcBorders>
              <w:bottom w:val="single" w:sz="8" w:color="51555C"/>
            </w:tcBorders>
          </w:tcPr>
          <w:p>
            <w:pPr>
              <w:spacing w:after="0"/>
              <w:rPr>
                <w:sz w:val="3"/>
                <w:szCs w:val="3"/>
                <w:color w:val="auto"/>
              </w:rPr>
            </w:pPr>
          </w:p>
        </w:tc>
        <w:tc>
          <w:tcPr>
            <w:tcW w:w="12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16"/>
        </w:trPr>
        <w:tc>
          <w:tcPr>
            <w:tcW w:w="7940" w:type="dxa"/>
            <w:vAlign w:val="bottom"/>
            <w:tcBorders>
              <w:bottom w:val="single" w:sz="8" w:color="EBFBFF"/>
            </w:tcBorders>
            <w:shd w:val="clear" w:color="auto" w:fill="EBFBFF"/>
          </w:tcPr>
          <w:p>
            <w:pPr>
              <w:ind w:left="140"/>
              <w:spacing w:after="0" w:line="182" w:lineRule="exact"/>
              <w:rPr>
                <w:sz w:val="20"/>
                <w:szCs w:val="20"/>
                <w:color w:val="auto"/>
              </w:rPr>
            </w:pPr>
            <w:r>
              <w:rPr>
                <w:rFonts w:ascii="Calibri" w:cs="Calibri" w:eastAsia="Calibri" w:hAnsi="Calibri"/>
                <w:sz w:val="16"/>
                <w:szCs w:val="16"/>
                <w:color w:val="51555C"/>
              </w:rPr>
              <w:t>Total cash, cash equivalents and restricted cash in the statement of cash fows</w:t>
            </w:r>
          </w:p>
        </w:tc>
        <w:tc>
          <w:tcPr>
            <w:tcW w:w="440" w:type="dxa"/>
            <w:vAlign w:val="bottom"/>
            <w:tcBorders>
              <w:bottom w:val="single" w:sz="8" w:color="EBFBFF"/>
            </w:tcBorders>
            <w:shd w:val="clear" w:color="auto" w:fill="EBFBFF"/>
          </w:tcPr>
          <w:p>
            <w:pPr>
              <w:jc w:val="right"/>
              <w:ind w:right="259"/>
              <w:spacing w:after="0"/>
              <w:rPr>
                <w:sz w:val="20"/>
                <w:szCs w:val="20"/>
                <w:color w:val="auto"/>
              </w:rPr>
            </w:pPr>
            <w:r>
              <w:rPr>
                <w:rFonts w:ascii="Calibri" w:cs="Calibri" w:eastAsia="Calibri" w:hAnsi="Calibri"/>
                <w:sz w:val="16"/>
                <w:szCs w:val="16"/>
                <w:color w:val="51555C"/>
                <w:w w:val="97"/>
              </w:rPr>
              <w:t>$</w:t>
            </w:r>
          </w:p>
        </w:tc>
        <w:tc>
          <w:tcPr>
            <w:tcW w:w="1220" w:type="dxa"/>
            <w:vAlign w:val="bottom"/>
            <w:tcBorders>
              <w:bottom w:val="single" w:sz="8" w:color="EBFBFF"/>
            </w:tcBorders>
            <w:shd w:val="clear" w:color="auto" w:fill="EBFBFF"/>
          </w:tcPr>
          <w:p>
            <w:pPr>
              <w:jc w:val="right"/>
              <w:ind w:right="3"/>
              <w:spacing w:after="0"/>
              <w:rPr>
                <w:sz w:val="20"/>
                <w:szCs w:val="20"/>
                <w:color w:val="auto"/>
              </w:rPr>
            </w:pPr>
            <w:r>
              <w:rPr>
                <w:rFonts w:ascii="Calibri" w:cs="Calibri" w:eastAsia="Calibri" w:hAnsi="Calibri"/>
                <w:sz w:val="16"/>
                <w:szCs w:val="16"/>
                <w:color w:val="51555C"/>
              </w:rPr>
              <w:t>462,728</w:t>
            </w:r>
          </w:p>
        </w:tc>
        <w:tc>
          <w:tcPr>
            <w:tcW w:w="440" w:type="dxa"/>
            <w:vAlign w:val="bottom"/>
            <w:tcBorders>
              <w:bottom w:val="single" w:sz="8" w:color="EBFBFF"/>
            </w:tcBorders>
            <w:shd w:val="clear" w:color="auto" w:fill="EBFBFF"/>
          </w:tcPr>
          <w:p>
            <w:pPr>
              <w:jc w:val="right"/>
              <w:ind w:right="259"/>
              <w:spacing w:after="0"/>
              <w:rPr>
                <w:sz w:val="20"/>
                <w:szCs w:val="20"/>
                <w:color w:val="auto"/>
              </w:rPr>
            </w:pPr>
            <w:r>
              <w:rPr>
                <w:rFonts w:ascii="Calibri" w:cs="Calibri" w:eastAsia="Calibri" w:hAnsi="Calibri"/>
                <w:sz w:val="16"/>
                <w:szCs w:val="16"/>
                <w:color w:val="51555C"/>
                <w:w w:val="97"/>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728,257</w:t>
            </w:r>
          </w:p>
        </w:tc>
        <w:tc>
          <w:tcPr>
            <w:tcW w:w="20" w:type="dxa"/>
            <w:vAlign w:val="bottom"/>
          </w:tcPr>
          <w:p>
            <w:pPr>
              <w:spacing w:after="0"/>
              <w:rPr>
                <w:sz w:val="18"/>
                <w:szCs w:val="18"/>
                <w:color w:val="auto"/>
              </w:rPr>
            </w:pPr>
          </w:p>
        </w:tc>
      </w:tr>
      <w:tr>
        <w:trPr>
          <w:trHeight w:val="20"/>
        </w:trPr>
        <w:tc>
          <w:tcPr>
            <w:tcW w:w="794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122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color w:val="51555C"/>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565785</wp:posOffset>
            </wp:positionV>
            <wp:extent cx="67691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6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880" w:type="dxa"/>
            <w:vAlign w:val="bottom"/>
          </w:tcPr>
          <w:p>
            <w:pPr>
              <w:jc w:val="right"/>
              <w:spacing w:after="0"/>
              <w:rPr>
                <w:sz w:val="20"/>
                <w:szCs w:val="20"/>
                <w:color w:val="auto"/>
              </w:rPr>
            </w:pPr>
            <w:r>
              <w:rPr>
                <w:rFonts w:ascii="Calibri" w:cs="Calibri" w:eastAsia="Calibri" w:hAnsi="Calibri"/>
                <w:sz w:val="14"/>
                <w:szCs w:val="14"/>
                <w:color w:val="51555C"/>
              </w:rPr>
              <w:t>5</w:t>
            </w:r>
          </w:p>
        </w:tc>
      </w:tr>
      <w:tr>
        <w:trPr>
          <w:trHeight w:val="364"/>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744" w:gutter="0" w:footer="0" w:header="0"/>
          <w:type w:val="continuous"/>
        </w:sectPr>
      </w:pPr>
    </w:p>
    <w:bookmarkStart w:id="6" w:name="page7"/>
    <w:bookmarkEnd w:id="6"/>
    <w:p>
      <w:pPr>
        <w:jc w:val="center"/>
        <w:ind w:right="-319"/>
        <w:spacing w:after="0"/>
        <w:rPr>
          <w:sz w:val="20"/>
          <w:szCs w:val="20"/>
          <w:color w:val="auto"/>
        </w:rPr>
      </w:pPr>
      <w:r>
        <w:rPr>
          <w:rFonts w:ascii="Calibri" w:cs="Calibri" w:eastAsia="Calibri" w:hAnsi="Calibri"/>
          <w:sz w:val="18"/>
          <w:szCs w:val="18"/>
          <w:b w:val="1"/>
          <w:bCs w:val="1"/>
          <w:color w:val="51555C"/>
        </w:rPr>
        <w:t>Blackbaud, Inc.</w:t>
      </w:r>
    </w:p>
    <w:p>
      <w:pPr>
        <w:jc w:val="center"/>
        <w:ind w:right="-339"/>
        <w:spacing w:after="0" w:line="235" w:lineRule="auto"/>
        <w:rPr>
          <w:sz w:val="20"/>
          <w:szCs w:val="20"/>
          <w:color w:val="auto"/>
        </w:rPr>
      </w:pPr>
      <w:r>
        <w:rPr>
          <w:rFonts w:ascii="Calibri" w:cs="Calibri" w:eastAsia="Calibri" w:hAnsi="Calibri"/>
          <w:sz w:val="18"/>
          <w:szCs w:val="18"/>
          <w:b w:val="1"/>
          <w:bCs w:val="1"/>
          <w:color w:val="51555C"/>
        </w:rPr>
        <w:t>Condensed Consolidated Statements of Stockholders' Equity</w:t>
      </w:r>
    </w:p>
    <w:p>
      <w:pPr>
        <w:jc w:val="center"/>
        <w:ind w:right="-319"/>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shd w:val="clear" w:color="auto" w:fill="004054"/>
          </w:tcPr>
          <w:p>
            <w:pPr>
              <w:spacing w:after="0"/>
              <w:rPr>
                <w:sz w:val="17"/>
                <w:szCs w:val="17"/>
                <w:color w:val="auto"/>
              </w:rPr>
            </w:pPr>
          </w:p>
        </w:tc>
        <w:tc>
          <w:tcPr>
            <w:tcW w:w="900" w:type="dxa"/>
            <w:vAlign w:val="bottom"/>
            <w:shd w:val="clear" w:color="auto" w:fill="004054"/>
          </w:tcPr>
          <w:p>
            <w:pPr>
              <w:spacing w:after="0"/>
              <w:rPr>
                <w:sz w:val="17"/>
                <w:szCs w:val="17"/>
                <w:color w:val="auto"/>
              </w:rPr>
            </w:pPr>
          </w:p>
        </w:tc>
        <w:tc>
          <w:tcPr>
            <w:tcW w:w="120" w:type="dxa"/>
            <w:vAlign w:val="bottom"/>
            <w:shd w:val="clear" w:color="auto" w:fill="004054"/>
          </w:tcPr>
          <w:p>
            <w:pPr>
              <w:spacing w:after="0"/>
              <w:rPr>
                <w:sz w:val="17"/>
                <w:szCs w:val="17"/>
                <w:color w:val="auto"/>
              </w:rPr>
            </w:pPr>
          </w:p>
        </w:tc>
        <w:tc>
          <w:tcPr>
            <w:tcW w:w="540" w:type="dxa"/>
            <w:vAlign w:val="bottom"/>
            <w:shd w:val="clear" w:color="auto" w:fill="004054"/>
          </w:tcPr>
          <w:p>
            <w:pPr>
              <w:spacing w:after="0"/>
              <w:rPr>
                <w:sz w:val="17"/>
                <w:szCs w:val="17"/>
                <w:color w:val="auto"/>
              </w:rPr>
            </w:pPr>
          </w:p>
        </w:tc>
        <w:tc>
          <w:tcPr>
            <w:tcW w:w="120" w:type="dxa"/>
            <w:vAlign w:val="bottom"/>
            <w:shd w:val="clear" w:color="auto" w:fill="004054"/>
          </w:tcPr>
          <w:p>
            <w:pPr>
              <w:spacing w:after="0"/>
              <w:rPr>
                <w:sz w:val="17"/>
                <w:szCs w:val="17"/>
                <w:color w:val="auto"/>
              </w:rPr>
            </w:pPr>
          </w:p>
        </w:tc>
        <w:tc>
          <w:tcPr>
            <w:tcW w:w="880" w:type="dxa"/>
            <w:vAlign w:val="bottom"/>
            <w:shd w:val="clear" w:color="auto" w:fill="004054"/>
          </w:tcPr>
          <w:p>
            <w:pPr>
              <w:spacing w:after="0"/>
              <w:rPr>
                <w:sz w:val="17"/>
                <w:szCs w:val="17"/>
                <w:color w:val="auto"/>
              </w:rPr>
            </w:pPr>
          </w:p>
        </w:tc>
        <w:tc>
          <w:tcPr>
            <w:tcW w:w="800" w:type="dxa"/>
            <w:vAlign w:val="bottom"/>
            <w:shd w:val="clear" w:color="auto" w:fill="004054"/>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820" w:type="dxa"/>
            <w:vAlign w:val="bottom"/>
            <w:shd w:val="clear" w:color="auto" w:fill="004054"/>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Accumulated</w:t>
            </w:r>
          </w:p>
        </w:tc>
        <w:tc>
          <w:tcPr>
            <w:tcW w:w="160" w:type="dxa"/>
            <w:vAlign w:val="bottom"/>
            <w:shd w:val="clear" w:color="auto" w:fill="004054"/>
          </w:tcPr>
          <w:p>
            <w:pPr>
              <w:spacing w:after="0"/>
              <w:rPr>
                <w:sz w:val="17"/>
                <w:szCs w:val="17"/>
                <w:color w:val="auto"/>
              </w:rPr>
            </w:pPr>
          </w:p>
        </w:tc>
        <w:tc>
          <w:tcPr>
            <w:tcW w:w="640" w:type="dxa"/>
            <w:vAlign w:val="bottom"/>
            <w:shd w:val="clear" w:color="auto" w:fill="004054"/>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86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004054"/>
          </w:tcPr>
          <w:p>
            <w:pPr>
              <w:spacing w:after="0"/>
              <w:rPr>
                <w:sz w:val="15"/>
                <w:szCs w:val="15"/>
                <w:color w:val="auto"/>
              </w:rPr>
            </w:pPr>
          </w:p>
        </w:tc>
        <w:tc>
          <w:tcPr>
            <w:tcW w:w="1560" w:type="dxa"/>
            <w:vAlign w:val="bottom"/>
            <w:gridSpan w:val="3"/>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Common stock</w:t>
            </w:r>
          </w:p>
        </w:tc>
        <w:tc>
          <w:tcPr>
            <w:tcW w:w="120" w:type="dxa"/>
            <w:vAlign w:val="bottom"/>
            <w:shd w:val="clear" w:color="auto" w:fill="004054"/>
          </w:tcPr>
          <w:p>
            <w:pPr>
              <w:spacing w:after="0"/>
              <w:rPr>
                <w:sz w:val="15"/>
                <w:szCs w:val="15"/>
                <w:color w:val="auto"/>
              </w:rPr>
            </w:pPr>
          </w:p>
        </w:tc>
        <w:tc>
          <w:tcPr>
            <w:tcW w:w="1680" w:type="dxa"/>
            <w:vAlign w:val="bottom"/>
            <w:gridSpan w:val="2"/>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Treasury stock</w:t>
            </w:r>
          </w:p>
        </w:tc>
        <w:tc>
          <w:tcPr>
            <w:tcW w:w="140" w:type="dxa"/>
            <w:vAlign w:val="bottom"/>
            <w:shd w:val="clear" w:color="auto" w:fill="004054"/>
          </w:tcPr>
          <w:p>
            <w:pPr>
              <w:spacing w:after="0"/>
              <w:rPr>
                <w:sz w:val="15"/>
                <w:szCs w:val="15"/>
                <w:color w:val="auto"/>
              </w:rPr>
            </w:pPr>
          </w:p>
        </w:tc>
        <w:tc>
          <w:tcPr>
            <w:tcW w:w="8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Additonal</w:t>
            </w:r>
          </w:p>
        </w:tc>
        <w:tc>
          <w:tcPr>
            <w:tcW w:w="140" w:type="dxa"/>
            <w:vAlign w:val="bottom"/>
            <w:shd w:val="clear" w:color="auto" w:fill="004054"/>
          </w:tcPr>
          <w:p>
            <w:pPr>
              <w:spacing w:after="0"/>
              <w:rPr>
                <w:sz w:val="15"/>
                <w:szCs w:val="15"/>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other</w:t>
            </w:r>
          </w:p>
        </w:tc>
        <w:tc>
          <w:tcPr>
            <w:tcW w:w="160" w:type="dxa"/>
            <w:vAlign w:val="bottom"/>
            <w:shd w:val="clear" w:color="auto" w:fill="004054"/>
          </w:tcPr>
          <w:p>
            <w:pPr>
              <w:spacing w:after="0"/>
              <w:rPr>
                <w:sz w:val="15"/>
                <w:szCs w:val="15"/>
                <w:color w:val="auto"/>
              </w:rPr>
            </w:pPr>
          </w:p>
        </w:tc>
        <w:tc>
          <w:tcPr>
            <w:tcW w:w="64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Retained</w:t>
            </w:r>
          </w:p>
        </w:tc>
        <w:tc>
          <w:tcPr>
            <w:tcW w:w="140" w:type="dxa"/>
            <w:vAlign w:val="bottom"/>
            <w:shd w:val="clear" w:color="auto" w:fill="004054"/>
          </w:tcPr>
          <w:p>
            <w:pPr>
              <w:spacing w:after="0"/>
              <w:rPr>
                <w:sz w:val="15"/>
                <w:szCs w:val="15"/>
                <w:color w:val="auto"/>
              </w:rPr>
            </w:pPr>
          </w:p>
        </w:tc>
        <w:tc>
          <w:tcPr>
            <w:tcW w:w="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p>
        </w:tc>
        <w:tc>
          <w:tcPr>
            <w:tcW w:w="0" w:type="dxa"/>
            <w:vAlign w:val="bottom"/>
          </w:tcPr>
          <w:p>
            <w:pPr>
              <w:spacing w:after="0"/>
              <w:rPr>
                <w:sz w:val="1"/>
                <w:szCs w:val="1"/>
                <w:color w:val="auto"/>
              </w:rPr>
            </w:pPr>
          </w:p>
        </w:tc>
      </w:tr>
      <w:tr>
        <w:trPr>
          <w:trHeight w:val="95"/>
        </w:trPr>
        <w:tc>
          <w:tcPr>
            <w:tcW w:w="3700" w:type="dxa"/>
            <w:vAlign w:val="bottom"/>
            <w:shd w:val="clear" w:color="auto" w:fill="004054"/>
          </w:tcPr>
          <w:p>
            <w:pPr>
              <w:spacing w:after="0"/>
              <w:rPr>
                <w:sz w:val="8"/>
                <w:szCs w:val="8"/>
                <w:color w:val="auto"/>
              </w:rPr>
            </w:pPr>
          </w:p>
        </w:tc>
        <w:tc>
          <w:tcPr>
            <w:tcW w:w="1560" w:type="dxa"/>
            <w:vAlign w:val="bottom"/>
            <w:gridSpan w:val="3"/>
            <w:vMerge w:val="continue"/>
            <w:shd w:val="clear" w:color="auto" w:fill="004054"/>
          </w:tcPr>
          <w:p>
            <w:pPr>
              <w:spacing w:after="0"/>
              <w:rPr>
                <w:sz w:val="8"/>
                <w:szCs w:val="8"/>
                <w:color w:val="auto"/>
              </w:rPr>
            </w:pPr>
          </w:p>
        </w:tc>
        <w:tc>
          <w:tcPr>
            <w:tcW w:w="120" w:type="dxa"/>
            <w:vAlign w:val="bottom"/>
            <w:shd w:val="clear" w:color="auto" w:fill="004054"/>
          </w:tcPr>
          <w:p>
            <w:pPr>
              <w:spacing w:after="0"/>
              <w:rPr>
                <w:sz w:val="8"/>
                <w:szCs w:val="8"/>
                <w:color w:val="auto"/>
              </w:rPr>
            </w:pPr>
          </w:p>
        </w:tc>
        <w:tc>
          <w:tcPr>
            <w:tcW w:w="1680" w:type="dxa"/>
            <w:vAlign w:val="bottom"/>
            <w:gridSpan w:val="2"/>
            <w:vMerge w:val="continue"/>
            <w:shd w:val="clear" w:color="auto" w:fill="004054"/>
          </w:tcPr>
          <w:p>
            <w:pPr>
              <w:spacing w:after="0"/>
              <w:rPr>
                <w:sz w:val="8"/>
                <w:szCs w:val="8"/>
                <w:color w:val="auto"/>
              </w:rPr>
            </w:pPr>
          </w:p>
        </w:tc>
        <w:tc>
          <w:tcPr>
            <w:tcW w:w="140" w:type="dxa"/>
            <w:vAlign w:val="bottom"/>
            <w:shd w:val="clear" w:color="auto" w:fill="004054"/>
          </w:tcPr>
          <w:p>
            <w:pPr>
              <w:spacing w:after="0"/>
              <w:rPr>
                <w:sz w:val="8"/>
                <w:szCs w:val="8"/>
                <w:color w:val="auto"/>
              </w:rPr>
            </w:pPr>
          </w:p>
        </w:tc>
        <w:tc>
          <w:tcPr>
            <w:tcW w:w="820" w:type="dxa"/>
            <w:vAlign w:val="bottom"/>
            <w:vMerge w:val="restart"/>
            <w:shd w:val="clear" w:color="auto" w:fill="004054"/>
          </w:tcPr>
          <w:p>
            <w:pPr>
              <w:jc w:val="right"/>
              <w:spacing w:after="0" w:line="155" w:lineRule="exact"/>
              <w:rPr>
                <w:sz w:val="20"/>
                <w:szCs w:val="20"/>
                <w:color w:val="auto"/>
              </w:rPr>
            </w:pPr>
            <w:r>
              <w:rPr>
                <w:rFonts w:ascii="Calibri" w:cs="Calibri" w:eastAsia="Calibri" w:hAnsi="Calibri"/>
                <w:sz w:val="14"/>
                <w:szCs w:val="14"/>
                <w:b w:val="1"/>
                <w:bCs w:val="1"/>
                <w:color w:val="FFFFFF"/>
              </w:rPr>
              <w:t>paid-in</w:t>
            </w:r>
          </w:p>
        </w:tc>
        <w:tc>
          <w:tcPr>
            <w:tcW w:w="140" w:type="dxa"/>
            <w:vAlign w:val="bottom"/>
            <w:shd w:val="clear" w:color="auto" w:fill="004054"/>
          </w:tcPr>
          <w:p>
            <w:pPr>
              <w:spacing w:after="0"/>
              <w:rPr>
                <w:sz w:val="8"/>
                <w:szCs w:val="8"/>
                <w:color w:val="auto"/>
              </w:rPr>
            </w:pPr>
          </w:p>
        </w:tc>
        <w:tc>
          <w:tcPr>
            <w:tcW w:w="960" w:type="dxa"/>
            <w:vAlign w:val="bottom"/>
            <w:vMerge w:val="restart"/>
            <w:shd w:val="clear" w:color="auto" w:fill="004054"/>
          </w:tcPr>
          <w:p>
            <w:pPr>
              <w:jc w:val="right"/>
              <w:spacing w:after="0" w:line="155" w:lineRule="exact"/>
              <w:rPr>
                <w:sz w:val="20"/>
                <w:szCs w:val="20"/>
                <w:color w:val="auto"/>
              </w:rPr>
            </w:pPr>
            <w:r>
              <w:rPr>
                <w:rFonts w:ascii="Calibri" w:cs="Calibri" w:eastAsia="Calibri" w:hAnsi="Calibri"/>
                <w:sz w:val="14"/>
                <w:szCs w:val="14"/>
                <w:b w:val="1"/>
                <w:bCs w:val="1"/>
                <w:color w:val="FFFFFF"/>
              </w:rPr>
              <w:t>comprehensive</w:t>
            </w:r>
          </w:p>
        </w:tc>
        <w:tc>
          <w:tcPr>
            <w:tcW w:w="160" w:type="dxa"/>
            <w:vAlign w:val="bottom"/>
            <w:shd w:val="clear" w:color="auto" w:fill="004054"/>
          </w:tcPr>
          <w:p>
            <w:pPr>
              <w:spacing w:after="0"/>
              <w:rPr>
                <w:sz w:val="8"/>
                <w:szCs w:val="8"/>
                <w:color w:val="auto"/>
              </w:rPr>
            </w:pPr>
          </w:p>
        </w:tc>
        <w:tc>
          <w:tcPr>
            <w:tcW w:w="640" w:type="dxa"/>
            <w:vAlign w:val="bottom"/>
            <w:vMerge w:val="continue"/>
            <w:shd w:val="clear" w:color="auto" w:fill="004054"/>
          </w:tcPr>
          <w:p>
            <w:pPr>
              <w:spacing w:after="0"/>
              <w:rPr>
                <w:sz w:val="8"/>
                <w:szCs w:val="8"/>
                <w:color w:val="auto"/>
              </w:rPr>
            </w:pPr>
          </w:p>
        </w:tc>
        <w:tc>
          <w:tcPr>
            <w:tcW w:w="140" w:type="dxa"/>
            <w:vAlign w:val="bottom"/>
            <w:shd w:val="clear" w:color="auto" w:fill="004054"/>
          </w:tcPr>
          <w:p>
            <w:pPr>
              <w:spacing w:after="0"/>
              <w:rPr>
                <w:sz w:val="8"/>
                <w:szCs w:val="8"/>
                <w:color w:val="auto"/>
              </w:rPr>
            </w:pPr>
          </w:p>
        </w:tc>
        <w:tc>
          <w:tcPr>
            <w:tcW w:w="860" w:type="dxa"/>
            <w:vAlign w:val="bottom"/>
            <w:vMerge w:val="restart"/>
            <w:shd w:val="clear" w:color="auto" w:fill="004054"/>
          </w:tcPr>
          <w:p>
            <w:pPr>
              <w:jc w:val="right"/>
              <w:spacing w:after="0" w:line="155" w:lineRule="exact"/>
              <w:rPr>
                <w:sz w:val="20"/>
                <w:szCs w:val="20"/>
                <w:color w:val="auto"/>
              </w:rPr>
            </w:pPr>
            <w:r>
              <w:rPr>
                <w:rFonts w:ascii="Calibri" w:cs="Calibri" w:eastAsia="Calibri" w:hAnsi="Calibri"/>
                <w:sz w:val="14"/>
                <w:szCs w:val="14"/>
                <w:b w:val="1"/>
                <w:bCs w:val="1"/>
                <w:color w:val="FFFFFF"/>
              </w:rPr>
              <w:t>stockholders'</w:t>
            </w:r>
          </w:p>
        </w:tc>
        <w:tc>
          <w:tcPr>
            <w:tcW w:w="0" w:type="dxa"/>
            <w:vAlign w:val="bottom"/>
          </w:tcPr>
          <w:p>
            <w:pPr>
              <w:spacing w:after="0"/>
              <w:rPr>
                <w:sz w:val="1"/>
                <w:szCs w:val="1"/>
                <w:color w:val="auto"/>
              </w:rPr>
            </w:pPr>
          </w:p>
        </w:tc>
      </w:tr>
      <w:tr>
        <w:trPr>
          <w:trHeight w:val="60"/>
        </w:trPr>
        <w:tc>
          <w:tcPr>
            <w:tcW w:w="3700" w:type="dxa"/>
            <w:vAlign w:val="bottom"/>
            <w:shd w:val="clear" w:color="auto" w:fill="004054"/>
          </w:tcPr>
          <w:p>
            <w:pPr>
              <w:spacing w:after="0"/>
              <w:rPr>
                <w:sz w:val="5"/>
                <w:szCs w:val="5"/>
                <w:color w:val="auto"/>
              </w:rPr>
            </w:pPr>
          </w:p>
        </w:tc>
        <w:tc>
          <w:tcPr>
            <w:tcW w:w="90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54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880" w:type="dxa"/>
            <w:vAlign w:val="bottom"/>
            <w:shd w:val="clear" w:color="auto" w:fill="004054"/>
          </w:tcPr>
          <w:p>
            <w:pPr>
              <w:spacing w:after="0"/>
              <w:rPr>
                <w:sz w:val="5"/>
                <w:szCs w:val="5"/>
                <w:color w:val="auto"/>
              </w:rPr>
            </w:pPr>
          </w:p>
        </w:tc>
        <w:tc>
          <w:tcPr>
            <w:tcW w:w="80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820" w:type="dxa"/>
            <w:vAlign w:val="bottom"/>
            <w:vMerge w:val="continue"/>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960" w:type="dxa"/>
            <w:vAlign w:val="bottom"/>
            <w:vMerge w:val="continue"/>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640" w:type="dxa"/>
            <w:vAlign w:val="bottom"/>
            <w:vMerge w:val="continue"/>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860" w:type="dxa"/>
            <w:vAlign w:val="bottom"/>
            <w:vMerge w:val="continue"/>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Shares</w:t>
            </w:r>
          </w:p>
        </w:tc>
        <w:tc>
          <w:tcPr>
            <w:tcW w:w="120" w:type="dxa"/>
            <w:vAlign w:val="bottom"/>
            <w:shd w:val="clear" w:color="auto" w:fill="004054"/>
          </w:tcPr>
          <w:p>
            <w:pPr>
              <w:spacing w:after="0"/>
              <w:rPr>
                <w:sz w:val="17"/>
                <w:szCs w:val="17"/>
                <w:color w:val="auto"/>
              </w:rPr>
            </w:pPr>
          </w:p>
        </w:tc>
        <w:tc>
          <w:tcPr>
            <w:tcW w:w="5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Amount</w:t>
            </w:r>
          </w:p>
        </w:tc>
        <w:tc>
          <w:tcPr>
            <w:tcW w:w="120" w:type="dxa"/>
            <w:vAlign w:val="bottom"/>
            <w:shd w:val="clear" w:color="auto" w:fill="004054"/>
          </w:tcPr>
          <w:p>
            <w:pPr>
              <w:spacing w:after="0"/>
              <w:rPr>
                <w:sz w:val="17"/>
                <w:szCs w:val="17"/>
                <w:color w:val="auto"/>
              </w:rPr>
            </w:pPr>
          </w:p>
        </w:tc>
        <w:tc>
          <w:tcPr>
            <w:tcW w:w="8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Shares</w:t>
            </w:r>
          </w:p>
        </w:tc>
        <w:tc>
          <w:tcPr>
            <w:tcW w:w="8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Amount</w:t>
            </w:r>
          </w:p>
        </w:tc>
        <w:tc>
          <w:tcPr>
            <w:tcW w:w="140" w:type="dxa"/>
            <w:vAlign w:val="bottom"/>
            <w:shd w:val="clear" w:color="auto" w:fill="004054"/>
          </w:tcPr>
          <w:p>
            <w:pPr>
              <w:spacing w:after="0"/>
              <w:rPr>
                <w:sz w:val="17"/>
                <w:szCs w:val="17"/>
                <w:color w:val="auto"/>
              </w:rPr>
            </w:pPr>
          </w:p>
        </w:tc>
        <w:tc>
          <w:tcPr>
            <w:tcW w:w="8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capital</w:t>
            </w:r>
          </w:p>
        </w:tc>
        <w:tc>
          <w:tcPr>
            <w:tcW w:w="140" w:type="dxa"/>
            <w:vAlign w:val="bottom"/>
            <w:shd w:val="clear" w:color="auto" w:fill="004054"/>
          </w:tcPr>
          <w:p>
            <w:pPr>
              <w:spacing w:after="0"/>
              <w:rPr>
                <w:sz w:val="17"/>
                <w:szCs w:val="17"/>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(loss) income</w:t>
            </w:r>
          </w:p>
        </w:tc>
        <w:tc>
          <w:tcPr>
            <w:tcW w:w="160" w:type="dxa"/>
            <w:vAlign w:val="bottom"/>
            <w:shd w:val="clear" w:color="auto" w:fill="004054"/>
          </w:tcPr>
          <w:p>
            <w:pPr>
              <w:spacing w:after="0"/>
              <w:rPr>
                <w:sz w:val="17"/>
                <w:szCs w:val="17"/>
                <w:color w:val="auto"/>
              </w:rPr>
            </w:pPr>
          </w:p>
        </w:tc>
        <w:tc>
          <w:tcPr>
            <w:tcW w:w="6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earnings</w:t>
            </w:r>
          </w:p>
        </w:tc>
        <w:tc>
          <w:tcPr>
            <w:tcW w:w="140" w:type="dxa"/>
            <w:vAlign w:val="bottom"/>
            <w:shd w:val="clear" w:color="auto" w:fill="004054"/>
          </w:tcPr>
          <w:p>
            <w:pPr>
              <w:spacing w:after="0"/>
              <w:rPr>
                <w:sz w:val="17"/>
                <w:szCs w:val="17"/>
                <w:color w:val="auto"/>
              </w:rPr>
            </w:pPr>
          </w:p>
        </w:tc>
        <w:tc>
          <w:tcPr>
            <w:tcW w:w="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equity</w:t>
            </w:r>
          </w:p>
        </w:tc>
        <w:tc>
          <w:tcPr>
            <w:tcW w:w="0" w:type="dxa"/>
            <w:vAlign w:val="bottom"/>
          </w:tcPr>
          <w:p>
            <w:pPr>
              <w:spacing w:after="0"/>
              <w:rPr>
                <w:sz w:val="1"/>
                <w:szCs w:val="1"/>
                <w:color w:val="auto"/>
              </w:rPr>
            </w:pPr>
          </w:p>
        </w:tc>
      </w:tr>
      <w:tr>
        <w:trPr>
          <w:trHeight w:val="60"/>
        </w:trPr>
        <w:tc>
          <w:tcPr>
            <w:tcW w:w="3700" w:type="dxa"/>
            <w:vAlign w:val="bottom"/>
            <w:shd w:val="clear" w:color="auto" w:fill="004054"/>
          </w:tcPr>
          <w:p>
            <w:pPr>
              <w:spacing w:after="0"/>
              <w:rPr>
                <w:sz w:val="5"/>
                <w:szCs w:val="5"/>
                <w:color w:val="auto"/>
              </w:rPr>
            </w:pPr>
          </w:p>
        </w:tc>
        <w:tc>
          <w:tcPr>
            <w:tcW w:w="90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54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880" w:type="dxa"/>
            <w:vAlign w:val="bottom"/>
            <w:shd w:val="clear" w:color="auto" w:fill="004054"/>
          </w:tcPr>
          <w:p>
            <w:pPr>
              <w:spacing w:after="0"/>
              <w:rPr>
                <w:sz w:val="5"/>
                <w:szCs w:val="5"/>
                <w:color w:val="auto"/>
              </w:rPr>
            </w:pPr>
          </w:p>
        </w:tc>
        <w:tc>
          <w:tcPr>
            <w:tcW w:w="80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82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96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64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86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b w:val="1"/>
                <w:bCs w:val="1"/>
                <w:color w:val="51555C"/>
              </w:rPr>
              <w:t>Balance at December 31, 2023</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69,188,304</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69</w:t>
            </w:r>
          </w:p>
        </w:tc>
        <w:tc>
          <w:tcPr>
            <w:tcW w:w="100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(15,562,864)</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 (591,557)</w:t>
            </w:r>
          </w:p>
        </w:tc>
        <w:tc>
          <w:tcPr>
            <w:tcW w:w="96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$ 1,203,012</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(1,688)</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198,869</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808,705</w:t>
            </w: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Calibri" w:cs="Calibri" w:eastAsia="Calibri" w:hAnsi="Calibri"/>
                <w:sz w:val="16"/>
                <w:szCs w:val="16"/>
                <w:color w:val="51555C"/>
              </w:rPr>
              <w:t>Net income</w:t>
            </w:r>
          </w:p>
        </w:tc>
        <w:tc>
          <w:tcPr>
            <w:tcW w:w="9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5,246</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5,246</w:t>
            </w:r>
          </w:p>
        </w:tc>
        <w:tc>
          <w:tcPr>
            <w:tcW w:w="0" w:type="dxa"/>
            <w:vAlign w:val="bottom"/>
          </w:tcPr>
          <w:p>
            <w:pPr>
              <w:spacing w:after="0"/>
              <w:rPr>
                <w:sz w:val="1"/>
                <w:szCs w:val="1"/>
                <w:color w:val="auto"/>
              </w:rPr>
            </w:pPr>
          </w:p>
        </w:tc>
      </w:tr>
      <w:tr>
        <w:trPr>
          <w:trHeight w:val="41"/>
        </w:trPr>
        <w:tc>
          <w:tcPr>
            <w:tcW w:w="3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EBFBFF"/>
          </w:tcPr>
          <w:p>
            <w:pPr>
              <w:ind w:left="140"/>
              <w:spacing w:after="0"/>
              <w:rPr>
                <w:sz w:val="20"/>
                <w:szCs w:val="20"/>
                <w:color w:val="auto"/>
              </w:rPr>
            </w:pPr>
            <w:r>
              <w:rPr>
                <w:rFonts w:ascii="Calibri" w:cs="Calibri" w:eastAsia="Calibri" w:hAnsi="Calibri"/>
                <w:sz w:val="16"/>
                <w:szCs w:val="16"/>
                <w:color w:val="51555C"/>
              </w:rPr>
              <w:t>Purchase of treasury shares under stock repurchase</w:t>
            </w:r>
          </w:p>
        </w:tc>
        <w:tc>
          <w:tcPr>
            <w:tcW w:w="900" w:type="dxa"/>
            <w:vAlign w:val="bottom"/>
            <w:shd w:val="clear" w:color="auto" w:fill="EBFBFF"/>
          </w:tcPr>
          <w:p>
            <w:pPr>
              <w:spacing w:after="0"/>
              <w:rPr>
                <w:sz w:val="17"/>
                <w:szCs w:val="17"/>
                <w:color w:val="auto"/>
              </w:rPr>
            </w:pPr>
          </w:p>
        </w:tc>
        <w:tc>
          <w:tcPr>
            <w:tcW w:w="120" w:type="dxa"/>
            <w:vAlign w:val="bottom"/>
            <w:shd w:val="clear" w:color="auto" w:fill="EBFBFF"/>
          </w:tcPr>
          <w:p>
            <w:pPr>
              <w:spacing w:after="0"/>
              <w:rPr>
                <w:sz w:val="17"/>
                <w:szCs w:val="17"/>
                <w:color w:val="auto"/>
              </w:rPr>
            </w:pPr>
          </w:p>
        </w:tc>
        <w:tc>
          <w:tcPr>
            <w:tcW w:w="540" w:type="dxa"/>
            <w:vAlign w:val="bottom"/>
            <w:shd w:val="clear" w:color="auto" w:fill="EBFBFF"/>
          </w:tcPr>
          <w:p>
            <w:pPr>
              <w:spacing w:after="0"/>
              <w:rPr>
                <w:sz w:val="17"/>
                <w:szCs w:val="17"/>
                <w:color w:val="auto"/>
              </w:rPr>
            </w:pPr>
          </w:p>
        </w:tc>
        <w:tc>
          <w:tcPr>
            <w:tcW w:w="120" w:type="dxa"/>
            <w:vAlign w:val="bottom"/>
            <w:shd w:val="clear" w:color="auto" w:fill="EBFBFF"/>
          </w:tcPr>
          <w:p>
            <w:pPr>
              <w:spacing w:after="0"/>
              <w:rPr>
                <w:sz w:val="17"/>
                <w:szCs w:val="17"/>
                <w:color w:val="auto"/>
              </w:rPr>
            </w:pPr>
          </w:p>
        </w:tc>
        <w:tc>
          <w:tcPr>
            <w:tcW w:w="880" w:type="dxa"/>
            <w:vAlign w:val="bottom"/>
            <w:shd w:val="clear" w:color="auto" w:fill="EBFBFF"/>
          </w:tcPr>
          <w:p>
            <w:pPr>
              <w:spacing w:after="0"/>
              <w:rPr>
                <w:sz w:val="17"/>
                <w:szCs w:val="17"/>
                <w:color w:val="auto"/>
              </w:rPr>
            </w:pPr>
          </w:p>
        </w:tc>
        <w:tc>
          <w:tcPr>
            <w:tcW w:w="80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82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960" w:type="dxa"/>
            <w:vAlign w:val="bottom"/>
            <w:shd w:val="clear" w:color="auto" w:fill="EBFBFF"/>
          </w:tcPr>
          <w:p>
            <w:pPr>
              <w:spacing w:after="0"/>
              <w:rPr>
                <w:sz w:val="17"/>
                <w:szCs w:val="17"/>
                <w:color w:val="auto"/>
              </w:rPr>
            </w:pPr>
          </w:p>
        </w:tc>
        <w:tc>
          <w:tcPr>
            <w:tcW w:w="160" w:type="dxa"/>
            <w:vAlign w:val="bottom"/>
            <w:shd w:val="clear" w:color="auto" w:fill="EBFBFF"/>
          </w:tcPr>
          <w:p>
            <w:pPr>
              <w:spacing w:after="0"/>
              <w:rPr>
                <w:sz w:val="17"/>
                <w:szCs w:val="17"/>
                <w:color w:val="auto"/>
              </w:rPr>
            </w:pPr>
          </w:p>
        </w:tc>
        <w:tc>
          <w:tcPr>
            <w:tcW w:w="64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860" w:type="dxa"/>
            <w:vAlign w:val="bottom"/>
            <w:shd w:val="clear" w:color="auto" w:fill="EBFB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00" w:type="dxa"/>
            <w:vAlign w:val="bottom"/>
            <w:tcBorders>
              <w:bottom w:val="single" w:sz="8" w:color="EBFBFF"/>
            </w:tcBorders>
            <w:shd w:val="clear" w:color="auto" w:fill="EBFBFF"/>
          </w:tcPr>
          <w:p>
            <w:pPr>
              <w:ind w:left="140"/>
              <w:spacing w:after="0" w:line="193" w:lineRule="exact"/>
              <w:rPr>
                <w:sz w:val="20"/>
                <w:szCs w:val="20"/>
                <w:color w:val="auto"/>
              </w:rPr>
            </w:pPr>
            <w:r>
              <w:rPr>
                <w:rFonts w:ascii="Calibri" w:cs="Calibri" w:eastAsia="Calibri" w:hAnsi="Calibri"/>
                <w:sz w:val="16"/>
                <w:szCs w:val="16"/>
                <w:color w:val="51555C"/>
              </w:rPr>
              <w:t>program, inclusive of excise tax</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00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(2,954,211)</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(211,412)</w:t>
            </w:r>
          </w:p>
        </w:tc>
        <w:tc>
          <w:tcPr>
            <w:tcW w:w="96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(52,244)</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(263,656)</w:t>
            </w: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Calibri" w:cs="Calibri" w:eastAsia="Calibri" w:hAnsi="Calibri"/>
                <w:sz w:val="16"/>
                <w:szCs w:val="16"/>
                <w:color w:val="51555C"/>
              </w:rPr>
              <w:t>Vestng of restricted stock units</w:t>
            </w:r>
          </w:p>
        </w:tc>
        <w:tc>
          <w:tcPr>
            <w:tcW w:w="900" w:type="dxa"/>
            <w:vAlign w:val="bottom"/>
          </w:tcPr>
          <w:p>
            <w:pPr>
              <w:jc w:val="right"/>
              <w:spacing w:after="0"/>
              <w:rPr>
                <w:sz w:val="20"/>
                <w:szCs w:val="20"/>
                <w:color w:val="auto"/>
              </w:rPr>
            </w:pPr>
            <w:r>
              <w:rPr>
                <w:rFonts w:ascii="Calibri" w:cs="Calibri" w:eastAsia="Calibri" w:hAnsi="Calibri"/>
                <w:sz w:val="16"/>
                <w:szCs w:val="16"/>
                <w:color w:val="51555C"/>
              </w:rPr>
              <w:t>1,357,125</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41"/>
        </w:trPr>
        <w:tc>
          <w:tcPr>
            <w:tcW w:w="3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Shares withheld to satsfy tax withholdings</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00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(720,189)</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(52,723)</w:t>
            </w:r>
          </w:p>
        </w:tc>
        <w:tc>
          <w:tcPr>
            <w:tcW w:w="14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(52,723)</w:t>
            </w: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Calibri" w:cs="Calibri" w:eastAsia="Calibri" w:hAnsi="Calibri"/>
                <w:sz w:val="16"/>
                <w:szCs w:val="16"/>
                <w:color w:val="51555C"/>
              </w:rPr>
              <w:t>Stock-based compensaton</w:t>
            </w:r>
          </w:p>
        </w:tc>
        <w:tc>
          <w:tcPr>
            <w:tcW w:w="9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960" w:type="dxa"/>
            <w:vAlign w:val="bottom"/>
            <w:gridSpan w:val="2"/>
          </w:tcPr>
          <w:p>
            <w:pPr>
              <w:jc w:val="right"/>
              <w:spacing w:after="0"/>
              <w:rPr>
                <w:sz w:val="20"/>
                <w:szCs w:val="20"/>
                <w:color w:val="auto"/>
              </w:rPr>
            </w:pPr>
            <w:r>
              <w:rPr>
                <w:rFonts w:ascii="Calibri" w:cs="Calibri" w:eastAsia="Calibri" w:hAnsi="Calibri"/>
                <w:sz w:val="16"/>
                <w:szCs w:val="16"/>
                <w:color w:val="51555C"/>
              </w:rPr>
              <w:t>33,570</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33,570</w:t>
            </w:r>
          </w:p>
        </w:tc>
        <w:tc>
          <w:tcPr>
            <w:tcW w:w="0" w:type="dxa"/>
            <w:vAlign w:val="bottom"/>
          </w:tcPr>
          <w:p>
            <w:pPr>
              <w:spacing w:after="0"/>
              <w:rPr>
                <w:sz w:val="1"/>
                <w:szCs w:val="1"/>
                <w:color w:val="auto"/>
              </w:rPr>
            </w:pPr>
          </w:p>
        </w:tc>
      </w:tr>
      <w:tr>
        <w:trPr>
          <w:trHeight w:val="41"/>
        </w:trPr>
        <w:tc>
          <w:tcPr>
            <w:tcW w:w="3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Restricted stock grants</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335,237</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w:t>
            </w: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Calibri" w:cs="Calibri" w:eastAsia="Calibri" w:hAnsi="Calibri"/>
                <w:sz w:val="16"/>
                <w:szCs w:val="16"/>
                <w:color w:val="51555C"/>
              </w:rPr>
              <w:t>Restricted stock cancellatons</w:t>
            </w:r>
          </w:p>
        </w:tc>
        <w:tc>
          <w:tcPr>
            <w:tcW w:w="900" w:type="dxa"/>
            <w:vAlign w:val="bottom"/>
          </w:tcPr>
          <w:p>
            <w:pPr>
              <w:jc w:val="right"/>
              <w:spacing w:after="0"/>
              <w:rPr>
                <w:sz w:val="20"/>
                <w:szCs w:val="20"/>
                <w:color w:val="auto"/>
              </w:rPr>
            </w:pPr>
            <w:r>
              <w:rPr>
                <w:rFonts w:ascii="Calibri" w:cs="Calibri" w:eastAsia="Calibri" w:hAnsi="Calibri"/>
                <w:sz w:val="16"/>
                <w:szCs w:val="16"/>
                <w:color w:val="51555C"/>
              </w:rPr>
              <w:t>(19,159)</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41"/>
        </w:trPr>
        <w:tc>
          <w:tcPr>
            <w:tcW w:w="3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Other comprehensive income</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21"/>
                <w:szCs w:val="21"/>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21"/>
                <w:szCs w:val="21"/>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21"/>
                <w:szCs w:val="21"/>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2,910</w:t>
            </w:r>
          </w:p>
        </w:tc>
        <w:tc>
          <w:tcPr>
            <w:tcW w:w="160" w:type="dxa"/>
            <w:vAlign w:val="bottom"/>
            <w:tcBorders>
              <w:bottom w:val="single" w:sz="8" w:color="EBFBFF"/>
            </w:tcBorders>
            <w:shd w:val="clear" w:color="auto" w:fill="EBFBFF"/>
          </w:tcPr>
          <w:p>
            <w:pPr>
              <w:spacing w:after="0"/>
              <w:rPr>
                <w:sz w:val="21"/>
                <w:szCs w:val="21"/>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2,910</w:t>
            </w:r>
          </w:p>
        </w:tc>
        <w:tc>
          <w:tcPr>
            <w:tcW w:w="0" w:type="dxa"/>
            <w:vAlign w:val="bottom"/>
          </w:tcPr>
          <w:p>
            <w:pPr>
              <w:spacing w:after="0"/>
              <w:rPr>
                <w:sz w:val="1"/>
                <w:szCs w:val="1"/>
                <w:color w:val="auto"/>
              </w:rPr>
            </w:pPr>
          </w:p>
        </w:tc>
      </w:tr>
      <w:tr>
        <w:trPr>
          <w:trHeight w:val="196"/>
        </w:trPr>
        <w:tc>
          <w:tcPr>
            <w:tcW w:w="3700" w:type="dxa"/>
            <w:vAlign w:val="bottom"/>
          </w:tcPr>
          <w:p>
            <w:pPr>
              <w:ind w:left="20"/>
              <w:spacing w:after="0" w:line="182" w:lineRule="exact"/>
              <w:rPr>
                <w:sz w:val="20"/>
                <w:szCs w:val="20"/>
                <w:color w:val="auto"/>
              </w:rPr>
            </w:pPr>
            <w:r>
              <w:rPr>
                <w:rFonts w:ascii="Calibri" w:cs="Calibri" w:eastAsia="Calibri" w:hAnsi="Calibri"/>
                <w:sz w:val="16"/>
                <w:szCs w:val="16"/>
                <w:b w:val="1"/>
                <w:bCs w:val="1"/>
                <w:color w:val="51555C"/>
              </w:rPr>
              <w:t>Balance at March 31, 2024</w:t>
            </w:r>
          </w:p>
        </w:tc>
        <w:tc>
          <w:tcPr>
            <w:tcW w:w="9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70,861,507</w:t>
            </w:r>
          </w:p>
        </w:tc>
        <w:tc>
          <w:tcPr>
            <w:tcW w:w="12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54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71</w:t>
            </w:r>
          </w:p>
        </w:tc>
        <w:tc>
          <w:tcPr>
            <w:tcW w:w="1000" w:type="dxa"/>
            <w:vAlign w:val="bottom"/>
            <w:tcBorders>
              <w:top w:val="single" w:sz="8" w:color="51555C"/>
            </w:tcBorders>
            <w:gridSpan w:val="2"/>
          </w:tcPr>
          <w:p>
            <w:pPr>
              <w:jc w:val="right"/>
              <w:spacing w:after="0"/>
              <w:rPr>
                <w:sz w:val="20"/>
                <w:szCs w:val="20"/>
                <w:color w:val="auto"/>
              </w:rPr>
            </w:pPr>
            <w:r>
              <w:rPr>
                <w:rFonts w:ascii="Calibri" w:cs="Calibri" w:eastAsia="Calibri" w:hAnsi="Calibri"/>
                <w:sz w:val="16"/>
                <w:szCs w:val="16"/>
                <w:color w:val="51555C"/>
              </w:rPr>
              <w:t>(19,237,264)</w:t>
            </w:r>
          </w:p>
        </w:tc>
        <w:tc>
          <w:tcPr>
            <w:tcW w:w="8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 (855,692)</w:t>
            </w:r>
          </w:p>
        </w:tc>
        <w:tc>
          <w:tcPr>
            <w:tcW w:w="960" w:type="dxa"/>
            <w:vAlign w:val="bottom"/>
            <w:tcBorders>
              <w:top w:val="single" w:sz="8" w:color="51555C"/>
            </w:tcBorders>
            <w:gridSpan w:val="2"/>
          </w:tcPr>
          <w:p>
            <w:pPr>
              <w:jc w:val="right"/>
              <w:spacing w:after="0"/>
              <w:rPr>
                <w:sz w:val="20"/>
                <w:szCs w:val="20"/>
                <w:color w:val="auto"/>
              </w:rPr>
            </w:pPr>
            <w:r>
              <w:rPr>
                <w:rFonts w:ascii="Calibri" w:cs="Calibri" w:eastAsia="Calibri" w:hAnsi="Calibri"/>
                <w:sz w:val="16"/>
                <w:szCs w:val="16"/>
                <w:color w:val="51555C"/>
              </w:rPr>
              <w:t>$ 1,184,338</w:t>
            </w:r>
          </w:p>
        </w:tc>
        <w:tc>
          <w:tcPr>
            <w:tcW w:w="14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9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1,222</w:t>
            </w:r>
          </w:p>
        </w:tc>
        <w:tc>
          <w:tcPr>
            <w:tcW w:w="1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64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204,115</w:t>
            </w:r>
          </w:p>
        </w:tc>
        <w:tc>
          <w:tcPr>
            <w:tcW w:w="14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534,054</w:t>
            </w:r>
          </w:p>
        </w:tc>
        <w:tc>
          <w:tcPr>
            <w:tcW w:w="0" w:type="dxa"/>
            <w:vAlign w:val="bottom"/>
          </w:tcPr>
          <w:p>
            <w:pPr>
              <w:spacing w:after="0"/>
              <w:rPr>
                <w:sz w:val="1"/>
                <w:szCs w:val="1"/>
                <w:color w:val="auto"/>
              </w:rPr>
            </w:pPr>
          </w:p>
        </w:tc>
      </w:tr>
      <w:tr>
        <w:trPr>
          <w:trHeight w:val="41"/>
        </w:trPr>
        <w:tc>
          <w:tcPr>
            <w:tcW w:w="3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Net income</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21,804</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21,804</w:t>
            </w: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Calibri" w:cs="Calibri" w:eastAsia="Calibri" w:hAnsi="Calibri"/>
                <w:sz w:val="16"/>
                <w:szCs w:val="16"/>
                <w:color w:val="51555C"/>
              </w:rPr>
              <w:t>Vestng of restricted stock units</w:t>
            </w:r>
          </w:p>
        </w:tc>
        <w:tc>
          <w:tcPr>
            <w:tcW w:w="900" w:type="dxa"/>
            <w:vAlign w:val="bottom"/>
          </w:tcPr>
          <w:p>
            <w:pPr>
              <w:jc w:val="right"/>
              <w:spacing w:after="0"/>
              <w:rPr>
                <w:sz w:val="20"/>
                <w:szCs w:val="20"/>
                <w:color w:val="auto"/>
              </w:rPr>
            </w:pPr>
            <w:r>
              <w:rPr>
                <w:rFonts w:ascii="Calibri" w:cs="Calibri" w:eastAsia="Calibri" w:hAnsi="Calibri"/>
                <w:sz w:val="16"/>
                <w:szCs w:val="16"/>
                <w:color w:val="51555C"/>
              </w:rPr>
              <w:t>10,719</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41"/>
        </w:trPr>
        <w:tc>
          <w:tcPr>
            <w:tcW w:w="3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Shares withheld to satsfy tax withholdings</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00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(22,273)</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(1,760)</w:t>
            </w:r>
          </w:p>
        </w:tc>
        <w:tc>
          <w:tcPr>
            <w:tcW w:w="14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(1,760)</w:t>
            </w: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Calibri" w:cs="Calibri" w:eastAsia="Calibri" w:hAnsi="Calibri"/>
                <w:sz w:val="16"/>
                <w:szCs w:val="16"/>
                <w:color w:val="51555C"/>
              </w:rPr>
              <w:t>Stock-based compensaton</w:t>
            </w:r>
          </w:p>
        </w:tc>
        <w:tc>
          <w:tcPr>
            <w:tcW w:w="9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960" w:type="dxa"/>
            <w:vAlign w:val="bottom"/>
            <w:gridSpan w:val="2"/>
          </w:tcPr>
          <w:p>
            <w:pPr>
              <w:jc w:val="right"/>
              <w:spacing w:after="0"/>
              <w:rPr>
                <w:sz w:val="20"/>
                <w:szCs w:val="20"/>
                <w:color w:val="auto"/>
              </w:rPr>
            </w:pPr>
            <w:r>
              <w:rPr>
                <w:rFonts w:ascii="Calibri" w:cs="Calibri" w:eastAsia="Calibri" w:hAnsi="Calibri"/>
                <w:sz w:val="16"/>
                <w:szCs w:val="16"/>
                <w:color w:val="51555C"/>
              </w:rPr>
              <w:t>24,286</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24,286</w:t>
            </w:r>
          </w:p>
        </w:tc>
        <w:tc>
          <w:tcPr>
            <w:tcW w:w="0" w:type="dxa"/>
            <w:vAlign w:val="bottom"/>
          </w:tcPr>
          <w:p>
            <w:pPr>
              <w:spacing w:after="0"/>
              <w:rPr>
                <w:sz w:val="1"/>
                <w:szCs w:val="1"/>
                <w:color w:val="auto"/>
              </w:rPr>
            </w:pPr>
          </w:p>
        </w:tc>
      </w:tr>
      <w:tr>
        <w:trPr>
          <w:trHeight w:val="41"/>
        </w:trPr>
        <w:tc>
          <w:tcPr>
            <w:tcW w:w="3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Restricted stock grants</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21,164</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Calibri" w:cs="Calibri" w:eastAsia="Calibri" w:hAnsi="Calibri"/>
                <w:sz w:val="16"/>
                <w:szCs w:val="16"/>
                <w:color w:val="51555C"/>
              </w:rPr>
              <w:t>Restricted stock cancellatons</w:t>
            </w:r>
          </w:p>
        </w:tc>
        <w:tc>
          <w:tcPr>
            <w:tcW w:w="900" w:type="dxa"/>
            <w:vAlign w:val="bottom"/>
          </w:tcPr>
          <w:p>
            <w:pPr>
              <w:jc w:val="right"/>
              <w:spacing w:after="0"/>
              <w:rPr>
                <w:sz w:val="20"/>
                <w:szCs w:val="20"/>
                <w:color w:val="auto"/>
              </w:rPr>
            </w:pPr>
            <w:r>
              <w:rPr>
                <w:rFonts w:ascii="Calibri" w:cs="Calibri" w:eastAsia="Calibri" w:hAnsi="Calibri"/>
                <w:sz w:val="16"/>
                <w:szCs w:val="16"/>
                <w:color w:val="51555C"/>
              </w:rPr>
              <w:t>(9,902)</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41"/>
        </w:trPr>
        <w:tc>
          <w:tcPr>
            <w:tcW w:w="3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Other comprehensive loss</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21"/>
                <w:szCs w:val="21"/>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21"/>
                <w:szCs w:val="21"/>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21"/>
                <w:szCs w:val="21"/>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(1,047)</w:t>
            </w:r>
          </w:p>
        </w:tc>
        <w:tc>
          <w:tcPr>
            <w:tcW w:w="160" w:type="dxa"/>
            <w:vAlign w:val="bottom"/>
            <w:tcBorders>
              <w:bottom w:val="single" w:sz="8" w:color="EBFBFF"/>
            </w:tcBorders>
            <w:shd w:val="clear" w:color="auto" w:fill="EBFBFF"/>
          </w:tcPr>
          <w:p>
            <w:pPr>
              <w:spacing w:after="0"/>
              <w:rPr>
                <w:sz w:val="21"/>
                <w:szCs w:val="21"/>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(1,047)</w:t>
            </w:r>
          </w:p>
        </w:tc>
        <w:tc>
          <w:tcPr>
            <w:tcW w:w="0" w:type="dxa"/>
            <w:vAlign w:val="bottom"/>
          </w:tcPr>
          <w:p>
            <w:pPr>
              <w:spacing w:after="0"/>
              <w:rPr>
                <w:sz w:val="1"/>
                <w:szCs w:val="1"/>
                <w:color w:val="auto"/>
              </w:rPr>
            </w:pPr>
          </w:p>
        </w:tc>
      </w:tr>
      <w:tr>
        <w:trPr>
          <w:trHeight w:val="196"/>
        </w:trPr>
        <w:tc>
          <w:tcPr>
            <w:tcW w:w="3700" w:type="dxa"/>
            <w:vAlign w:val="bottom"/>
          </w:tcPr>
          <w:p>
            <w:pPr>
              <w:ind w:left="20"/>
              <w:spacing w:after="0" w:line="182" w:lineRule="exact"/>
              <w:rPr>
                <w:sz w:val="20"/>
                <w:szCs w:val="20"/>
                <w:color w:val="auto"/>
              </w:rPr>
            </w:pPr>
            <w:r>
              <w:rPr>
                <w:rFonts w:ascii="Calibri" w:cs="Calibri" w:eastAsia="Calibri" w:hAnsi="Calibri"/>
                <w:sz w:val="16"/>
                <w:szCs w:val="16"/>
                <w:b w:val="1"/>
                <w:bCs w:val="1"/>
                <w:color w:val="51555C"/>
              </w:rPr>
              <w:t>Balance at June 30, 2024</w:t>
            </w:r>
          </w:p>
        </w:tc>
        <w:tc>
          <w:tcPr>
            <w:tcW w:w="9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70,883,488</w:t>
            </w:r>
          </w:p>
        </w:tc>
        <w:tc>
          <w:tcPr>
            <w:tcW w:w="12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54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71</w:t>
            </w:r>
          </w:p>
        </w:tc>
        <w:tc>
          <w:tcPr>
            <w:tcW w:w="1000" w:type="dxa"/>
            <w:vAlign w:val="bottom"/>
            <w:tcBorders>
              <w:top w:val="single" w:sz="8" w:color="51555C"/>
            </w:tcBorders>
            <w:gridSpan w:val="2"/>
          </w:tcPr>
          <w:p>
            <w:pPr>
              <w:jc w:val="right"/>
              <w:spacing w:after="0"/>
              <w:rPr>
                <w:sz w:val="20"/>
                <w:szCs w:val="20"/>
                <w:color w:val="auto"/>
              </w:rPr>
            </w:pPr>
            <w:r>
              <w:rPr>
                <w:rFonts w:ascii="Calibri" w:cs="Calibri" w:eastAsia="Calibri" w:hAnsi="Calibri"/>
                <w:sz w:val="16"/>
                <w:szCs w:val="16"/>
                <w:color w:val="51555C"/>
              </w:rPr>
              <w:t>(19,259,537)</w:t>
            </w:r>
          </w:p>
        </w:tc>
        <w:tc>
          <w:tcPr>
            <w:tcW w:w="8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 (857,452)</w:t>
            </w:r>
          </w:p>
        </w:tc>
        <w:tc>
          <w:tcPr>
            <w:tcW w:w="960" w:type="dxa"/>
            <w:vAlign w:val="bottom"/>
            <w:tcBorders>
              <w:top w:val="single" w:sz="8" w:color="51555C"/>
            </w:tcBorders>
            <w:gridSpan w:val="2"/>
          </w:tcPr>
          <w:p>
            <w:pPr>
              <w:jc w:val="right"/>
              <w:spacing w:after="0"/>
              <w:rPr>
                <w:sz w:val="20"/>
                <w:szCs w:val="20"/>
                <w:color w:val="auto"/>
              </w:rPr>
            </w:pPr>
            <w:r>
              <w:rPr>
                <w:rFonts w:ascii="Calibri" w:cs="Calibri" w:eastAsia="Calibri" w:hAnsi="Calibri"/>
                <w:sz w:val="16"/>
                <w:szCs w:val="16"/>
                <w:color w:val="51555C"/>
              </w:rPr>
              <w:t>$ 1,208,624</w:t>
            </w:r>
          </w:p>
        </w:tc>
        <w:tc>
          <w:tcPr>
            <w:tcW w:w="14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9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175</w:t>
            </w:r>
          </w:p>
        </w:tc>
        <w:tc>
          <w:tcPr>
            <w:tcW w:w="1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64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225,919</w:t>
            </w:r>
          </w:p>
        </w:tc>
        <w:tc>
          <w:tcPr>
            <w:tcW w:w="14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577,337</w:t>
            </w:r>
          </w:p>
        </w:tc>
        <w:tc>
          <w:tcPr>
            <w:tcW w:w="0" w:type="dxa"/>
            <w:vAlign w:val="bottom"/>
          </w:tcPr>
          <w:p>
            <w:pPr>
              <w:spacing w:after="0"/>
              <w:rPr>
                <w:sz w:val="1"/>
                <w:szCs w:val="1"/>
                <w:color w:val="auto"/>
              </w:rPr>
            </w:pPr>
          </w:p>
        </w:tc>
      </w:tr>
      <w:tr>
        <w:trPr>
          <w:trHeight w:val="41"/>
        </w:trPr>
        <w:tc>
          <w:tcPr>
            <w:tcW w:w="3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Net income</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20,542</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20,542</w:t>
            </w:r>
          </w:p>
        </w:tc>
        <w:tc>
          <w:tcPr>
            <w:tcW w:w="0" w:type="dxa"/>
            <w:vAlign w:val="bottom"/>
          </w:tcPr>
          <w:p>
            <w:pPr>
              <w:spacing w:after="0"/>
              <w:rPr>
                <w:sz w:val="1"/>
                <w:szCs w:val="1"/>
                <w:color w:val="auto"/>
              </w:rPr>
            </w:pPr>
          </w:p>
        </w:tc>
      </w:tr>
      <w:tr>
        <w:trPr>
          <w:trHeight w:val="197"/>
        </w:trPr>
        <w:tc>
          <w:tcPr>
            <w:tcW w:w="3700" w:type="dxa"/>
            <w:vAlign w:val="bottom"/>
          </w:tcPr>
          <w:p>
            <w:pPr>
              <w:ind w:left="140"/>
              <w:spacing w:after="0"/>
              <w:rPr>
                <w:sz w:val="20"/>
                <w:szCs w:val="20"/>
                <w:color w:val="auto"/>
              </w:rPr>
            </w:pPr>
            <w:r>
              <w:rPr>
                <w:rFonts w:ascii="Calibri" w:cs="Calibri" w:eastAsia="Calibri" w:hAnsi="Calibri"/>
                <w:sz w:val="16"/>
                <w:szCs w:val="16"/>
                <w:color w:val="51555C"/>
              </w:rPr>
              <w:t>Purchase of treasury shares under stock repurchase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00" w:type="dxa"/>
            <w:vAlign w:val="bottom"/>
          </w:tcPr>
          <w:p>
            <w:pPr>
              <w:ind w:left="140"/>
              <w:spacing w:after="0" w:line="193" w:lineRule="exact"/>
              <w:rPr>
                <w:sz w:val="20"/>
                <w:szCs w:val="20"/>
                <w:color w:val="auto"/>
              </w:rPr>
            </w:pPr>
            <w:r>
              <w:rPr>
                <w:rFonts w:ascii="Calibri" w:cs="Calibri" w:eastAsia="Calibri" w:hAnsi="Calibri"/>
                <w:sz w:val="16"/>
                <w:szCs w:val="16"/>
                <w:color w:val="51555C"/>
              </w:rPr>
              <w:t>program, inclusive of excise tax</w:t>
            </w:r>
          </w:p>
        </w:tc>
        <w:tc>
          <w:tcPr>
            <w:tcW w:w="9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000" w:type="dxa"/>
            <w:vAlign w:val="bottom"/>
            <w:gridSpan w:val="2"/>
          </w:tcPr>
          <w:p>
            <w:pPr>
              <w:jc w:val="right"/>
              <w:spacing w:after="0"/>
              <w:rPr>
                <w:sz w:val="20"/>
                <w:szCs w:val="20"/>
                <w:color w:val="auto"/>
              </w:rPr>
            </w:pPr>
            <w:r>
              <w:rPr>
                <w:rFonts w:ascii="Calibri" w:cs="Calibri" w:eastAsia="Calibri" w:hAnsi="Calibri"/>
                <w:sz w:val="16"/>
                <w:szCs w:val="16"/>
                <w:color w:val="51555C"/>
              </w:rPr>
              <w:t>(807,774)</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(63,597)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(63,597)</w:t>
            </w:r>
          </w:p>
        </w:tc>
        <w:tc>
          <w:tcPr>
            <w:tcW w:w="0" w:type="dxa"/>
            <w:vAlign w:val="bottom"/>
          </w:tcPr>
          <w:p>
            <w:pPr>
              <w:spacing w:after="0"/>
              <w:rPr>
                <w:sz w:val="1"/>
                <w:szCs w:val="1"/>
                <w:color w:val="auto"/>
              </w:rPr>
            </w:pPr>
          </w:p>
        </w:tc>
      </w:tr>
      <w:tr>
        <w:trPr>
          <w:trHeight w:val="41"/>
        </w:trPr>
        <w:tc>
          <w:tcPr>
            <w:tcW w:w="3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Vestng of restricted stock units</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20,659</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Calibri" w:cs="Calibri" w:eastAsia="Calibri" w:hAnsi="Calibri"/>
                <w:sz w:val="16"/>
                <w:szCs w:val="16"/>
                <w:color w:val="51555C"/>
              </w:rPr>
              <w:t>Shares withheld to satsfy tax withholdings</w:t>
            </w:r>
          </w:p>
        </w:tc>
        <w:tc>
          <w:tcPr>
            <w:tcW w:w="9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000" w:type="dxa"/>
            <w:vAlign w:val="bottom"/>
            <w:gridSpan w:val="2"/>
          </w:tcPr>
          <w:p>
            <w:pPr>
              <w:jc w:val="right"/>
              <w:spacing w:after="0"/>
              <w:rPr>
                <w:sz w:val="20"/>
                <w:szCs w:val="20"/>
                <w:color w:val="auto"/>
              </w:rPr>
            </w:pPr>
            <w:r>
              <w:rPr>
                <w:rFonts w:ascii="Calibri" w:cs="Calibri" w:eastAsia="Calibri" w:hAnsi="Calibri"/>
                <w:sz w:val="16"/>
                <w:szCs w:val="16"/>
                <w:color w:val="51555C"/>
              </w:rPr>
              <w:t>(19,411)</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(1,467)</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(1,467)</w:t>
            </w:r>
          </w:p>
        </w:tc>
        <w:tc>
          <w:tcPr>
            <w:tcW w:w="0" w:type="dxa"/>
            <w:vAlign w:val="bottom"/>
          </w:tcPr>
          <w:p>
            <w:pPr>
              <w:spacing w:after="0"/>
              <w:rPr>
                <w:sz w:val="1"/>
                <w:szCs w:val="1"/>
                <w:color w:val="auto"/>
              </w:rPr>
            </w:pPr>
          </w:p>
        </w:tc>
      </w:tr>
      <w:tr>
        <w:trPr>
          <w:trHeight w:val="41"/>
        </w:trPr>
        <w:tc>
          <w:tcPr>
            <w:tcW w:w="3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Stock-based compensaton</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96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18,574</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18,574</w:t>
            </w: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Calibri" w:cs="Calibri" w:eastAsia="Calibri" w:hAnsi="Calibri"/>
                <w:sz w:val="16"/>
                <w:szCs w:val="16"/>
                <w:color w:val="51555C"/>
              </w:rPr>
              <w:t>Restricted stock grants</w:t>
            </w:r>
          </w:p>
        </w:tc>
        <w:tc>
          <w:tcPr>
            <w:tcW w:w="900" w:type="dxa"/>
            <w:vAlign w:val="bottom"/>
          </w:tcPr>
          <w:p>
            <w:pPr>
              <w:jc w:val="right"/>
              <w:spacing w:after="0"/>
              <w:rPr>
                <w:sz w:val="20"/>
                <w:szCs w:val="20"/>
                <w:color w:val="auto"/>
              </w:rPr>
            </w:pPr>
            <w:r>
              <w:rPr>
                <w:rFonts w:ascii="Calibri" w:cs="Calibri" w:eastAsia="Calibri" w:hAnsi="Calibri"/>
                <w:sz w:val="16"/>
                <w:szCs w:val="16"/>
                <w:color w:val="51555C"/>
              </w:rPr>
              <w:t>62,998</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41"/>
        </w:trPr>
        <w:tc>
          <w:tcPr>
            <w:tcW w:w="3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Restricted stock cancellatons</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(11,205)</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202"/>
        </w:trPr>
        <w:tc>
          <w:tcPr>
            <w:tcW w:w="3700" w:type="dxa"/>
            <w:vAlign w:val="bottom"/>
          </w:tcPr>
          <w:p>
            <w:pPr>
              <w:ind w:left="140"/>
              <w:spacing w:after="0"/>
              <w:rPr>
                <w:sz w:val="20"/>
                <w:szCs w:val="20"/>
                <w:color w:val="auto"/>
              </w:rPr>
            </w:pPr>
            <w:r>
              <w:rPr>
                <w:rFonts w:ascii="Calibri" w:cs="Calibri" w:eastAsia="Calibri" w:hAnsi="Calibri"/>
                <w:sz w:val="16"/>
                <w:szCs w:val="16"/>
                <w:color w:val="51555C"/>
              </w:rPr>
              <w:t>Other comprehensive loss</w:t>
            </w:r>
          </w:p>
        </w:tc>
        <w:tc>
          <w:tcPr>
            <w:tcW w:w="9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(7,062)</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(7,062)</w:t>
            </w:r>
          </w:p>
        </w:tc>
        <w:tc>
          <w:tcPr>
            <w:tcW w:w="0" w:type="dxa"/>
            <w:vAlign w:val="bottom"/>
          </w:tcPr>
          <w:p>
            <w:pPr>
              <w:spacing w:after="0"/>
              <w:rPr>
                <w:sz w:val="1"/>
                <w:szCs w:val="1"/>
                <w:color w:val="auto"/>
              </w:rPr>
            </w:pPr>
          </w:p>
        </w:tc>
      </w:tr>
      <w:tr>
        <w:trPr>
          <w:trHeight w:val="41"/>
        </w:trPr>
        <w:tc>
          <w:tcPr>
            <w:tcW w:w="3700" w:type="dxa"/>
            <w:vAlign w:val="bottom"/>
            <w:tcBorders>
              <w:bottom w:val="single" w:sz="8" w:color="EBFBFF"/>
            </w:tcBorders>
          </w:tcPr>
          <w:p>
            <w:pPr>
              <w:spacing w:after="0"/>
              <w:rPr>
                <w:sz w:val="3"/>
                <w:szCs w:val="3"/>
                <w:color w:val="auto"/>
              </w:rPr>
            </w:pPr>
          </w:p>
        </w:tc>
        <w:tc>
          <w:tcPr>
            <w:tcW w:w="90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54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c>
          <w:tcPr>
            <w:tcW w:w="80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96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64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EBFBFF"/>
            </w:tcBorders>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Balance at September 30, 2024</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70,955,940</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71</w:t>
            </w:r>
          </w:p>
        </w:tc>
        <w:tc>
          <w:tcPr>
            <w:tcW w:w="100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(20,086,722)</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 (922,516)</w:t>
            </w:r>
          </w:p>
        </w:tc>
        <w:tc>
          <w:tcPr>
            <w:tcW w:w="96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$ 1,227,198</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(6,887)</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246,461</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544,327</w:t>
            </w:r>
          </w:p>
        </w:tc>
        <w:tc>
          <w:tcPr>
            <w:tcW w:w="0" w:type="dxa"/>
            <w:vAlign w:val="bottom"/>
          </w:tcPr>
          <w:p>
            <w:pPr>
              <w:spacing w:after="0"/>
              <w:rPr>
                <w:sz w:val="1"/>
                <w:szCs w:val="1"/>
                <w:color w:val="auto"/>
              </w:rPr>
            </w:pPr>
          </w:p>
        </w:tc>
      </w:tr>
      <w:tr>
        <w:trPr>
          <w:trHeight w:val="20"/>
        </w:trPr>
        <w:tc>
          <w:tcPr>
            <w:tcW w:w="3700" w:type="dxa"/>
            <w:vAlign w:val="bottom"/>
            <w:shd w:val="clear" w:color="auto" w:fill="0CD973"/>
          </w:tcPr>
          <w:p>
            <w:pPr>
              <w:spacing w:after="0" w:line="20" w:lineRule="exact"/>
              <w:rPr>
                <w:sz w:val="1"/>
                <w:szCs w:val="1"/>
                <w:color w:val="auto"/>
              </w:rPr>
            </w:pPr>
          </w:p>
        </w:tc>
        <w:tc>
          <w:tcPr>
            <w:tcW w:w="90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880" w:type="dxa"/>
            <w:vAlign w:val="bottom"/>
            <w:shd w:val="clear" w:color="auto" w:fill="0CD973"/>
          </w:tcPr>
          <w:p>
            <w:pPr>
              <w:spacing w:after="0" w:line="20" w:lineRule="exact"/>
              <w:rPr>
                <w:sz w:val="1"/>
                <w:szCs w:val="1"/>
                <w:color w:val="auto"/>
              </w:rPr>
            </w:pPr>
          </w:p>
        </w:tc>
        <w:tc>
          <w:tcPr>
            <w:tcW w:w="800" w:type="dxa"/>
            <w:vAlign w:val="bottom"/>
            <w:shd w:val="clear" w:color="auto" w:fill="0CD973"/>
          </w:tcPr>
          <w:p>
            <w:pPr>
              <w:spacing w:after="0" w:line="20" w:lineRule="exact"/>
              <w:rPr>
                <w:sz w:val="1"/>
                <w:szCs w:val="1"/>
                <w:color w:val="auto"/>
              </w:rPr>
            </w:pPr>
          </w:p>
        </w:tc>
        <w:tc>
          <w:tcPr>
            <w:tcW w:w="140" w:type="dxa"/>
            <w:vAlign w:val="bottom"/>
            <w:shd w:val="clear" w:color="auto" w:fill="0CD973"/>
          </w:tcPr>
          <w:p>
            <w:pPr>
              <w:spacing w:after="0" w:line="20" w:lineRule="exact"/>
              <w:rPr>
                <w:sz w:val="1"/>
                <w:szCs w:val="1"/>
                <w:color w:val="auto"/>
              </w:rPr>
            </w:pPr>
          </w:p>
        </w:tc>
        <w:tc>
          <w:tcPr>
            <w:tcW w:w="820" w:type="dxa"/>
            <w:vAlign w:val="bottom"/>
            <w:shd w:val="clear" w:color="auto" w:fill="0CD973"/>
          </w:tcPr>
          <w:p>
            <w:pPr>
              <w:spacing w:after="0" w:line="20" w:lineRule="exact"/>
              <w:rPr>
                <w:sz w:val="1"/>
                <w:szCs w:val="1"/>
                <w:color w:val="auto"/>
              </w:rPr>
            </w:pPr>
          </w:p>
        </w:tc>
        <w:tc>
          <w:tcPr>
            <w:tcW w:w="14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640" w:type="dxa"/>
            <w:vAlign w:val="bottom"/>
            <w:shd w:val="clear" w:color="auto" w:fill="0CD973"/>
          </w:tcPr>
          <w:p>
            <w:pPr>
              <w:spacing w:after="0" w:line="20" w:lineRule="exact"/>
              <w:rPr>
                <w:sz w:val="1"/>
                <w:szCs w:val="1"/>
                <w:color w:val="auto"/>
              </w:rPr>
            </w:pPr>
          </w:p>
        </w:tc>
        <w:tc>
          <w:tcPr>
            <w:tcW w:w="14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-4620260</wp:posOffset>
            </wp:positionV>
            <wp:extent cx="21431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hanging="314"/>
        <w:spacing w:after="0"/>
        <w:tabs>
          <w:tab w:leader="none" w:pos="340" w:val="left"/>
        </w:tabs>
        <w:numPr>
          <w:ilvl w:val="0"/>
          <w:numId w:val="3"/>
        </w:numPr>
        <w:rPr>
          <w:rFonts w:ascii="Calibri" w:cs="Calibri" w:eastAsia="Calibri" w:hAnsi="Calibri"/>
          <w:sz w:val="14"/>
          <w:szCs w:val="14"/>
          <w:color w:val="51555C"/>
        </w:rPr>
      </w:pPr>
      <w:r>
        <w:rPr>
          <w:rFonts w:ascii="Calibri" w:cs="Calibri" w:eastAsia="Calibri" w:hAnsi="Calibri"/>
          <w:sz w:val="1"/>
          <w:szCs w:val="1"/>
          <w:color w:val="51555C"/>
        </w:rPr>
        <w:drawing>
          <wp:inline distT="0" distB="0" distL="0" distR="0">
            <wp:extent cx="651510" cy="1714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2" w:right="65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Condensed Consolidated Statements of Stockholders' Equity (contnued)</w:t>
      </w:r>
    </w:p>
    <w:p>
      <w:pPr>
        <w:jc w:val="center"/>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60" w:type="dxa"/>
            <w:vAlign w:val="bottom"/>
            <w:shd w:val="clear" w:color="auto" w:fill="004054"/>
          </w:tcPr>
          <w:p>
            <w:pPr>
              <w:spacing w:after="0"/>
              <w:rPr>
                <w:sz w:val="17"/>
                <w:szCs w:val="17"/>
                <w:color w:val="auto"/>
              </w:rPr>
            </w:pPr>
          </w:p>
        </w:tc>
        <w:tc>
          <w:tcPr>
            <w:tcW w:w="860" w:type="dxa"/>
            <w:vAlign w:val="bottom"/>
            <w:shd w:val="clear" w:color="auto" w:fill="004054"/>
          </w:tcPr>
          <w:p>
            <w:pPr>
              <w:spacing w:after="0"/>
              <w:rPr>
                <w:sz w:val="17"/>
                <w:szCs w:val="17"/>
                <w:color w:val="auto"/>
              </w:rPr>
            </w:pPr>
          </w:p>
        </w:tc>
        <w:tc>
          <w:tcPr>
            <w:tcW w:w="120" w:type="dxa"/>
            <w:vAlign w:val="bottom"/>
            <w:shd w:val="clear" w:color="auto" w:fill="004054"/>
          </w:tcPr>
          <w:p>
            <w:pPr>
              <w:spacing w:after="0"/>
              <w:rPr>
                <w:sz w:val="17"/>
                <w:szCs w:val="17"/>
                <w:color w:val="auto"/>
              </w:rPr>
            </w:pPr>
          </w:p>
        </w:tc>
        <w:tc>
          <w:tcPr>
            <w:tcW w:w="540" w:type="dxa"/>
            <w:vAlign w:val="bottom"/>
            <w:shd w:val="clear" w:color="auto" w:fill="004054"/>
          </w:tcPr>
          <w:p>
            <w:pPr>
              <w:spacing w:after="0"/>
              <w:rPr>
                <w:sz w:val="17"/>
                <w:szCs w:val="17"/>
                <w:color w:val="auto"/>
              </w:rPr>
            </w:pPr>
          </w:p>
        </w:tc>
        <w:tc>
          <w:tcPr>
            <w:tcW w:w="120" w:type="dxa"/>
            <w:vAlign w:val="bottom"/>
            <w:shd w:val="clear" w:color="auto" w:fill="004054"/>
          </w:tcPr>
          <w:p>
            <w:pPr>
              <w:spacing w:after="0"/>
              <w:rPr>
                <w:sz w:val="17"/>
                <w:szCs w:val="17"/>
                <w:color w:val="auto"/>
              </w:rPr>
            </w:pPr>
          </w:p>
        </w:tc>
        <w:tc>
          <w:tcPr>
            <w:tcW w:w="960" w:type="dxa"/>
            <w:vAlign w:val="bottom"/>
            <w:shd w:val="clear" w:color="auto" w:fill="004054"/>
          </w:tcPr>
          <w:p>
            <w:pPr>
              <w:spacing w:after="0"/>
              <w:rPr>
                <w:sz w:val="17"/>
                <w:szCs w:val="17"/>
                <w:color w:val="auto"/>
              </w:rPr>
            </w:pPr>
          </w:p>
        </w:tc>
        <w:tc>
          <w:tcPr>
            <w:tcW w:w="800" w:type="dxa"/>
            <w:vAlign w:val="bottom"/>
            <w:shd w:val="clear" w:color="auto" w:fill="004054"/>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820" w:type="dxa"/>
            <w:vAlign w:val="bottom"/>
            <w:shd w:val="clear" w:color="auto" w:fill="004054"/>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Accumulated</w:t>
            </w:r>
          </w:p>
        </w:tc>
        <w:tc>
          <w:tcPr>
            <w:tcW w:w="160" w:type="dxa"/>
            <w:vAlign w:val="bottom"/>
            <w:shd w:val="clear" w:color="auto" w:fill="004054"/>
          </w:tcPr>
          <w:p>
            <w:pPr>
              <w:spacing w:after="0"/>
              <w:rPr>
                <w:sz w:val="17"/>
                <w:szCs w:val="17"/>
                <w:color w:val="auto"/>
              </w:rPr>
            </w:pPr>
          </w:p>
        </w:tc>
        <w:tc>
          <w:tcPr>
            <w:tcW w:w="640" w:type="dxa"/>
            <w:vAlign w:val="bottom"/>
            <w:shd w:val="clear" w:color="auto" w:fill="004054"/>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86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004054"/>
          </w:tcPr>
          <w:p>
            <w:pPr>
              <w:spacing w:after="0"/>
              <w:rPr>
                <w:sz w:val="15"/>
                <w:szCs w:val="15"/>
                <w:color w:val="auto"/>
              </w:rPr>
            </w:pPr>
          </w:p>
        </w:tc>
        <w:tc>
          <w:tcPr>
            <w:tcW w:w="1520" w:type="dxa"/>
            <w:vAlign w:val="bottom"/>
            <w:gridSpan w:val="3"/>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Common stock</w:t>
            </w:r>
          </w:p>
        </w:tc>
        <w:tc>
          <w:tcPr>
            <w:tcW w:w="120" w:type="dxa"/>
            <w:vAlign w:val="bottom"/>
            <w:shd w:val="clear" w:color="auto" w:fill="004054"/>
          </w:tcPr>
          <w:p>
            <w:pPr>
              <w:spacing w:after="0"/>
              <w:rPr>
                <w:sz w:val="15"/>
                <w:szCs w:val="15"/>
                <w:color w:val="auto"/>
              </w:rPr>
            </w:pPr>
          </w:p>
        </w:tc>
        <w:tc>
          <w:tcPr>
            <w:tcW w:w="1760" w:type="dxa"/>
            <w:vAlign w:val="bottom"/>
            <w:gridSpan w:val="2"/>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Treasury stock</w:t>
            </w:r>
          </w:p>
        </w:tc>
        <w:tc>
          <w:tcPr>
            <w:tcW w:w="140" w:type="dxa"/>
            <w:vAlign w:val="bottom"/>
            <w:shd w:val="clear" w:color="auto" w:fill="004054"/>
          </w:tcPr>
          <w:p>
            <w:pPr>
              <w:spacing w:after="0"/>
              <w:rPr>
                <w:sz w:val="15"/>
                <w:szCs w:val="15"/>
                <w:color w:val="auto"/>
              </w:rPr>
            </w:pPr>
          </w:p>
        </w:tc>
        <w:tc>
          <w:tcPr>
            <w:tcW w:w="8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Additonal</w:t>
            </w:r>
          </w:p>
        </w:tc>
        <w:tc>
          <w:tcPr>
            <w:tcW w:w="140" w:type="dxa"/>
            <w:vAlign w:val="bottom"/>
            <w:shd w:val="clear" w:color="auto" w:fill="004054"/>
          </w:tcPr>
          <w:p>
            <w:pPr>
              <w:spacing w:after="0"/>
              <w:rPr>
                <w:sz w:val="15"/>
                <w:szCs w:val="15"/>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other</w:t>
            </w:r>
          </w:p>
        </w:tc>
        <w:tc>
          <w:tcPr>
            <w:tcW w:w="160" w:type="dxa"/>
            <w:vAlign w:val="bottom"/>
            <w:shd w:val="clear" w:color="auto" w:fill="004054"/>
          </w:tcPr>
          <w:p>
            <w:pPr>
              <w:spacing w:after="0"/>
              <w:rPr>
                <w:sz w:val="15"/>
                <w:szCs w:val="15"/>
                <w:color w:val="auto"/>
              </w:rPr>
            </w:pPr>
          </w:p>
        </w:tc>
        <w:tc>
          <w:tcPr>
            <w:tcW w:w="640" w:type="dxa"/>
            <w:vAlign w:val="bottom"/>
            <w:vMerge w:val="restart"/>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Retained</w:t>
            </w:r>
          </w:p>
        </w:tc>
        <w:tc>
          <w:tcPr>
            <w:tcW w:w="140" w:type="dxa"/>
            <w:vAlign w:val="bottom"/>
            <w:shd w:val="clear" w:color="auto" w:fill="004054"/>
          </w:tcPr>
          <w:p>
            <w:pPr>
              <w:spacing w:after="0"/>
              <w:rPr>
                <w:sz w:val="15"/>
                <w:szCs w:val="15"/>
                <w:color w:val="auto"/>
              </w:rPr>
            </w:pPr>
          </w:p>
        </w:tc>
        <w:tc>
          <w:tcPr>
            <w:tcW w:w="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p>
        </w:tc>
        <w:tc>
          <w:tcPr>
            <w:tcW w:w="0" w:type="dxa"/>
            <w:vAlign w:val="bottom"/>
          </w:tcPr>
          <w:p>
            <w:pPr>
              <w:spacing w:after="0"/>
              <w:rPr>
                <w:sz w:val="1"/>
                <w:szCs w:val="1"/>
                <w:color w:val="auto"/>
              </w:rPr>
            </w:pPr>
          </w:p>
        </w:tc>
      </w:tr>
      <w:tr>
        <w:trPr>
          <w:trHeight w:val="95"/>
        </w:trPr>
        <w:tc>
          <w:tcPr>
            <w:tcW w:w="3660" w:type="dxa"/>
            <w:vAlign w:val="bottom"/>
            <w:shd w:val="clear" w:color="auto" w:fill="004054"/>
          </w:tcPr>
          <w:p>
            <w:pPr>
              <w:spacing w:after="0"/>
              <w:rPr>
                <w:sz w:val="8"/>
                <w:szCs w:val="8"/>
                <w:color w:val="auto"/>
              </w:rPr>
            </w:pPr>
          </w:p>
        </w:tc>
        <w:tc>
          <w:tcPr>
            <w:tcW w:w="1520" w:type="dxa"/>
            <w:vAlign w:val="bottom"/>
            <w:gridSpan w:val="3"/>
            <w:vMerge w:val="continue"/>
            <w:shd w:val="clear" w:color="auto" w:fill="004054"/>
          </w:tcPr>
          <w:p>
            <w:pPr>
              <w:spacing w:after="0"/>
              <w:rPr>
                <w:sz w:val="8"/>
                <w:szCs w:val="8"/>
                <w:color w:val="auto"/>
              </w:rPr>
            </w:pPr>
          </w:p>
        </w:tc>
        <w:tc>
          <w:tcPr>
            <w:tcW w:w="120" w:type="dxa"/>
            <w:vAlign w:val="bottom"/>
            <w:shd w:val="clear" w:color="auto" w:fill="004054"/>
          </w:tcPr>
          <w:p>
            <w:pPr>
              <w:spacing w:after="0"/>
              <w:rPr>
                <w:sz w:val="8"/>
                <w:szCs w:val="8"/>
                <w:color w:val="auto"/>
              </w:rPr>
            </w:pPr>
          </w:p>
        </w:tc>
        <w:tc>
          <w:tcPr>
            <w:tcW w:w="1760" w:type="dxa"/>
            <w:vAlign w:val="bottom"/>
            <w:gridSpan w:val="2"/>
            <w:vMerge w:val="continue"/>
            <w:shd w:val="clear" w:color="auto" w:fill="004054"/>
          </w:tcPr>
          <w:p>
            <w:pPr>
              <w:spacing w:after="0"/>
              <w:rPr>
                <w:sz w:val="8"/>
                <w:szCs w:val="8"/>
                <w:color w:val="auto"/>
              </w:rPr>
            </w:pPr>
          </w:p>
        </w:tc>
        <w:tc>
          <w:tcPr>
            <w:tcW w:w="140" w:type="dxa"/>
            <w:vAlign w:val="bottom"/>
            <w:shd w:val="clear" w:color="auto" w:fill="004054"/>
          </w:tcPr>
          <w:p>
            <w:pPr>
              <w:spacing w:after="0"/>
              <w:rPr>
                <w:sz w:val="8"/>
                <w:szCs w:val="8"/>
                <w:color w:val="auto"/>
              </w:rPr>
            </w:pPr>
          </w:p>
        </w:tc>
        <w:tc>
          <w:tcPr>
            <w:tcW w:w="820" w:type="dxa"/>
            <w:vAlign w:val="bottom"/>
            <w:vMerge w:val="restart"/>
            <w:shd w:val="clear" w:color="auto" w:fill="004054"/>
          </w:tcPr>
          <w:p>
            <w:pPr>
              <w:jc w:val="right"/>
              <w:spacing w:after="0" w:line="155" w:lineRule="exact"/>
              <w:rPr>
                <w:sz w:val="20"/>
                <w:szCs w:val="20"/>
                <w:color w:val="auto"/>
              </w:rPr>
            </w:pPr>
            <w:r>
              <w:rPr>
                <w:rFonts w:ascii="Calibri" w:cs="Calibri" w:eastAsia="Calibri" w:hAnsi="Calibri"/>
                <w:sz w:val="14"/>
                <w:szCs w:val="14"/>
                <w:b w:val="1"/>
                <w:bCs w:val="1"/>
                <w:color w:val="FFFFFF"/>
              </w:rPr>
              <w:t>paid-in</w:t>
            </w:r>
          </w:p>
        </w:tc>
        <w:tc>
          <w:tcPr>
            <w:tcW w:w="140" w:type="dxa"/>
            <w:vAlign w:val="bottom"/>
            <w:shd w:val="clear" w:color="auto" w:fill="004054"/>
          </w:tcPr>
          <w:p>
            <w:pPr>
              <w:spacing w:after="0"/>
              <w:rPr>
                <w:sz w:val="8"/>
                <w:szCs w:val="8"/>
                <w:color w:val="auto"/>
              </w:rPr>
            </w:pPr>
          </w:p>
        </w:tc>
        <w:tc>
          <w:tcPr>
            <w:tcW w:w="960" w:type="dxa"/>
            <w:vAlign w:val="bottom"/>
            <w:vMerge w:val="restart"/>
            <w:shd w:val="clear" w:color="auto" w:fill="004054"/>
          </w:tcPr>
          <w:p>
            <w:pPr>
              <w:jc w:val="right"/>
              <w:spacing w:after="0" w:line="155" w:lineRule="exact"/>
              <w:rPr>
                <w:sz w:val="20"/>
                <w:szCs w:val="20"/>
                <w:color w:val="auto"/>
              </w:rPr>
            </w:pPr>
            <w:r>
              <w:rPr>
                <w:rFonts w:ascii="Calibri" w:cs="Calibri" w:eastAsia="Calibri" w:hAnsi="Calibri"/>
                <w:sz w:val="14"/>
                <w:szCs w:val="14"/>
                <w:b w:val="1"/>
                <w:bCs w:val="1"/>
                <w:color w:val="FFFFFF"/>
              </w:rPr>
              <w:t>comprehensive</w:t>
            </w:r>
          </w:p>
        </w:tc>
        <w:tc>
          <w:tcPr>
            <w:tcW w:w="160" w:type="dxa"/>
            <w:vAlign w:val="bottom"/>
            <w:shd w:val="clear" w:color="auto" w:fill="004054"/>
          </w:tcPr>
          <w:p>
            <w:pPr>
              <w:spacing w:after="0"/>
              <w:rPr>
                <w:sz w:val="8"/>
                <w:szCs w:val="8"/>
                <w:color w:val="auto"/>
              </w:rPr>
            </w:pPr>
          </w:p>
        </w:tc>
        <w:tc>
          <w:tcPr>
            <w:tcW w:w="640" w:type="dxa"/>
            <w:vAlign w:val="bottom"/>
            <w:vMerge w:val="continue"/>
            <w:shd w:val="clear" w:color="auto" w:fill="004054"/>
          </w:tcPr>
          <w:p>
            <w:pPr>
              <w:spacing w:after="0"/>
              <w:rPr>
                <w:sz w:val="8"/>
                <w:szCs w:val="8"/>
                <w:color w:val="auto"/>
              </w:rPr>
            </w:pPr>
          </w:p>
        </w:tc>
        <w:tc>
          <w:tcPr>
            <w:tcW w:w="140" w:type="dxa"/>
            <w:vAlign w:val="bottom"/>
            <w:shd w:val="clear" w:color="auto" w:fill="004054"/>
          </w:tcPr>
          <w:p>
            <w:pPr>
              <w:spacing w:after="0"/>
              <w:rPr>
                <w:sz w:val="8"/>
                <w:szCs w:val="8"/>
                <w:color w:val="auto"/>
              </w:rPr>
            </w:pPr>
          </w:p>
        </w:tc>
        <w:tc>
          <w:tcPr>
            <w:tcW w:w="860" w:type="dxa"/>
            <w:vAlign w:val="bottom"/>
            <w:vMerge w:val="restart"/>
            <w:shd w:val="clear" w:color="auto" w:fill="004054"/>
          </w:tcPr>
          <w:p>
            <w:pPr>
              <w:jc w:val="right"/>
              <w:spacing w:after="0" w:line="155" w:lineRule="exact"/>
              <w:rPr>
                <w:sz w:val="20"/>
                <w:szCs w:val="20"/>
                <w:color w:val="auto"/>
              </w:rPr>
            </w:pPr>
            <w:r>
              <w:rPr>
                <w:rFonts w:ascii="Calibri" w:cs="Calibri" w:eastAsia="Calibri" w:hAnsi="Calibri"/>
                <w:sz w:val="14"/>
                <w:szCs w:val="14"/>
                <w:b w:val="1"/>
                <w:bCs w:val="1"/>
                <w:color w:val="FFFFFF"/>
              </w:rPr>
              <w:t>stockholders'</w:t>
            </w:r>
          </w:p>
        </w:tc>
        <w:tc>
          <w:tcPr>
            <w:tcW w:w="0" w:type="dxa"/>
            <w:vAlign w:val="bottom"/>
          </w:tcPr>
          <w:p>
            <w:pPr>
              <w:spacing w:after="0"/>
              <w:rPr>
                <w:sz w:val="1"/>
                <w:szCs w:val="1"/>
                <w:color w:val="auto"/>
              </w:rPr>
            </w:pPr>
          </w:p>
        </w:tc>
      </w:tr>
      <w:tr>
        <w:trPr>
          <w:trHeight w:val="60"/>
        </w:trPr>
        <w:tc>
          <w:tcPr>
            <w:tcW w:w="3660" w:type="dxa"/>
            <w:vAlign w:val="bottom"/>
            <w:shd w:val="clear" w:color="auto" w:fill="004054"/>
          </w:tcPr>
          <w:p>
            <w:pPr>
              <w:spacing w:after="0"/>
              <w:rPr>
                <w:sz w:val="5"/>
                <w:szCs w:val="5"/>
                <w:color w:val="auto"/>
              </w:rPr>
            </w:pPr>
          </w:p>
        </w:tc>
        <w:tc>
          <w:tcPr>
            <w:tcW w:w="86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54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960" w:type="dxa"/>
            <w:vAlign w:val="bottom"/>
            <w:shd w:val="clear" w:color="auto" w:fill="004054"/>
          </w:tcPr>
          <w:p>
            <w:pPr>
              <w:spacing w:after="0"/>
              <w:rPr>
                <w:sz w:val="5"/>
                <w:szCs w:val="5"/>
                <w:color w:val="auto"/>
              </w:rPr>
            </w:pPr>
          </w:p>
        </w:tc>
        <w:tc>
          <w:tcPr>
            <w:tcW w:w="80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820" w:type="dxa"/>
            <w:vAlign w:val="bottom"/>
            <w:vMerge w:val="continue"/>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960" w:type="dxa"/>
            <w:vAlign w:val="bottom"/>
            <w:vMerge w:val="continue"/>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640" w:type="dxa"/>
            <w:vAlign w:val="bottom"/>
            <w:vMerge w:val="continue"/>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860" w:type="dxa"/>
            <w:vAlign w:val="bottom"/>
            <w:vMerge w:val="continue"/>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Shares</w:t>
            </w:r>
          </w:p>
        </w:tc>
        <w:tc>
          <w:tcPr>
            <w:tcW w:w="120" w:type="dxa"/>
            <w:vAlign w:val="bottom"/>
            <w:shd w:val="clear" w:color="auto" w:fill="004054"/>
          </w:tcPr>
          <w:p>
            <w:pPr>
              <w:spacing w:after="0"/>
              <w:rPr>
                <w:sz w:val="17"/>
                <w:szCs w:val="17"/>
                <w:color w:val="auto"/>
              </w:rPr>
            </w:pPr>
          </w:p>
        </w:tc>
        <w:tc>
          <w:tcPr>
            <w:tcW w:w="5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Amount</w:t>
            </w:r>
          </w:p>
        </w:tc>
        <w:tc>
          <w:tcPr>
            <w:tcW w:w="120" w:type="dxa"/>
            <w:vAlign w:val="bottom"/>
            <w:shd w:val="clear" w:color="auto" w:fill="004054"/>
          </w:tcPr>
          <w:p>
            <w:pPr>
              <w:spacing w:after="0"/>
              <w:rPr>
                <w:sz w:val="17"/>
                <w:szCs w:val="17"/>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Shares</w:t>
            </w:r>
          </w:p>
        </w:tc>
        <w:tc>
          <w:tcPr>
            <w:tcW w:w="8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Amount</w:t>
            </w:r>
          </w:p>
        </w:tc>
        <w:tc>
          <w:tcPr>
            <w:tcW w:w="140" w:type="dxa"/>
            <w:vAlign w:val="bottom"/>
            <w:shd w:val="clear" w:color="auto" w:fill="004054"/>
          </w:tcPr>
          <w:p>
            <w:pPr>
              <w:spacing w:after="0"/>
              <w:rPr>
                <w:sz w:val="17"/>
                <w:szCs w:val="17"/>
                <w:color w:val="auto"/>
              </w:rPr>
            </w:pPr>
          </w:p>
        </w:tc>
        <w:tc>
          <w:tcPr>
            <w:tcW w:w="8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capital</w:t>
            </w:r>
          </w:p>
        </w:tc>
        <w:tc>
          <w:tcPr>
            <w:tcW w:w="140" w:type="dxa"/>
            <w:vAlign w:val="bottom"/>
            <w:shd w:val="clear" w:color="auto" w:fill="004054"/>
          </w:tcPr>
          <w:p>
            <w:pPr>
              <w:spacing w:after="0"/>
              <w:rPr>
                <w:sz w:val="17"/>
                <w:szCs w:val="17"/>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income</w:t>
            </w:r>
          </w:p>
        </w:tc>
        <w:tc>
          <w:tcPr>
            <w:tcW w:w="160" w:type="dxa"/>
            <w:vAlign w:val="bottom"/>
            <w:shd w:val="clear" w:color="auto" w:fill="004054"/>
          </w:tcPr>
          <w:p>
            <w:pPr>
              <w:spacing w:after="0"/>
              <w:rPr>
                <w:sz w:val="17"/>
                <w:szCs w:val="17"/>
                <w:color w:val="auto"/>
              </w:rPr>
            </w:pPr>
          </w:p>
        </w:tc>
        <w:tc>
          <w:tcPr>
            <w:tcW w:w="64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earnings</w:t>
            </w:r>
          </w:p>
        </w:tc>
        <w:tc>
          <w:tcPr>
            <w:tcW w:w="140" w:type="dxa"/>
            <w:vAlign w:val="bottom"/>
            <w:shd w:val="clear" w:color="auto" w:fill="004054"/>
          </w:tcPr>
          <w:p>
            <w:pPr>
              <w:spacing w:after="0"/>
              <w:rPr>
                <w:sz w:val="17"/>
                <w:szCs w:val="17"/>
                <w:color w:val="auto"/>
              </w:rPr>
            </w:pPr>
          </w:p>
        </w:tc>
        <w:tc>
          <w:tcPr>
            <w:tcW w:w="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equity</w:t>
            </w:r>
          </w:p>
        </w:tc>
        <w:tc>
          <w:tcPr>
            <w:tcW w:w="0" w:type="dxa"/>
            <w:vAlign w:val="bottom"/>
          </w:tcPr>
          <w:p>
            <w:pPr>
              <w:spacing w:after="0"/>
              <w:rPr>
                <w:sz w:val="1"/>
                <w:szCs w:val="1"/>
                <w:color w:val="auto"/>
              </w:rPr>
            </w:pPr>
          </w:p>
        </w:tc>
      </w:tr>
      <w:tr>
        <w:trPr>
          <w:trHeight w:val="61"/>
        </w:trPr>
        <w:tc>
          <w:tcPr>
            <w:tcW w:w="3660" w:type="dxa"/>
            <w:vAlign w:val="bottom"/>
            <w:shd w:val="clear" w:color="auto" w:fill="004054"/>
          </w:tcPr>
          <w:p>
            <w:pPr>
              <w:spacing w:after="0"/>
              <w:rPr>
                <w:sz w:val="5"/>
                <w:szCs w:val="5"/>
                <w:color w:val="auto"/>
              </w:rPr>
            </w:pPr>
          </w:p>
        </w:tc>
        <w:tc>
          <w:tcPr>
            <w:tcW w:w="86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54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960" w:type="dxa"/>
            <w:vAlign w:val="bottom"/>
            <w:shd w:val="clear" w:color="auto" w:fill="004054"/>
          </w:tcPr>
          <w:p>
            <w:pPr>
              <w:spacing w:after="0"/>
              <w:rPr>
                <w:sz w:val="5"/>
                <w:szCs w:val="5"/>
                <w:color w:val="auto"/>
              </w:rPr>
            </w:pPr>
          </w:p>
        </w:tc>
        <w:tc>
          <w:tcPr>
            <w:tcW w:w="80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82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96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64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86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b w:val="1"/>
                <w:bCs w:val="1"/>
                <w:color w:val="51555C"/>
              </w:rPr>
              <w:t>Balance at December 31, 2022</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67,814,044</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68</w:t>
            </w:r>
          </w:p>
        </w:tc>
        <w:tc>
          <w:tcPr>
            <w:tcW w:w="108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(14,745,230)</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 (537,287)</w:t>
            </w:r>
          </w:p>
        </w:tc>
        <w:tc>
          <w:tcPr>
            <w:tcW w:w="96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$ 1,075,264</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8,938</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197,049</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744,032</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Calibri" w:cs="Calibri" w:eastAsia="Calibri" w:hAnsi="Calibri"/>
                <w:sz w:val="16"/>
                <w:szCs w:val="16"/>
                <w:color w:val="51555C"/>
              </w:rPr>
              <w:t>Net loss</w:t>
            </w: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Calibri" w:cs="Calibri" w:eastAsia="Calibri" w:hAnsi="Calibri"/>
                <w:sz w:val="16"/>
                <w:szCs w:val="16"/>
                <w:color w:val="51555C"/>
              </w:rPr>
              <w:t>(14,701)</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(14,701)</w:t>
            </w:r>
          </w:p>
        </w:tc>
        <w:tc>
          <w:tcPr>
            <w:tcW w:w="0" w:type="dxa"/>
            <w:vAlign w:val="bottom"/>
          </w:tcPr>
          <w:p>
            <w:pPr>
              <w:spacing w:after="0"/>
              <w:rPr>
                <w:sz w:val="1"/>
                <w:szCs w:val="1"/>
                <w:color w:val="auto"/>
              </w:rPr>
            </w:pPr>
          </w:p>
        </w:tc>
      </w:tr>
      <w:tr>
        <w:trPr>
          <w:trHeight w:val="41"/>
        </w:trPr>
        <w:tc>
          <w:tcPr>
            <w:tcW w:w="3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Vestng of restricted stock units</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954,147</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Calibri" w:cs="Calibri" w:eastAsia="Calibri" w:hAnsi="Calibri"/>
                <w:sz w:val="16"/>
                <w:szCs w:val="16"/>
                <w:color w:val="51555C"/>
              </w:rPr>
              <w:t>Shares withheld to satsfy tax withholdings</w:t>
            </w: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080" w:type="dxa"/>
            <w:vAlign w:val="bottom"/>
            <w:gridSpan w:val="2"/>
          </w:tcPr>
          <w:p>
            <w:pPr>
              <w:jc w:val="right"/>
              <w:spacing w:after="0"/>
              <w:rPr>
                <w:sz w:val="20"/>
                <w:szCs w:val="20"/>
                <w:color w:val="auto"/>
              </w:rPr>
            </w:pPr>
            <w:r>
              <w:rPr>
                <w:rFonts w:ascii="Calibri" w:cs="Calibri" w:eastAsia="Calibri" w:hAnsi="Calibri"/>
                <w:sz w:val="16"/>
                <w:szCs w:val="16"/>
                <w:color w:val="51555C"/>
              </w:rPr>
              <w:t>(533,597)</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(30,990)</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(30,990)</w:t>
            </w:r>
          </w:p>
        </w:tc>
        <w:tc>
          <w:tcPr>
            <w:tcW w:w="0" w:type="dxa"/>
            <w:vAlign w:val="bottom"/>
          </w:tcPr>
          <w:p>
            <w:pPr>
              <w:spacing w:after="0"/>
              <w:rPr>
                <w:sz w:val="1"/>
                <w:szCs w:val="1"/>
                <w:color w:val="auto"/>
              </w:rPr>
            </w:pPr>
          </w:p>
        </w:tc>
      </w:tr>
      <w:tr>
        <w:trPr>
          <w:trHeight w:val="41"/>
        </w:trPr>
        <w:tc>
          <w:tcPr>
            <w:tcW w:w="3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Stock-based compensaton</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96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29,925</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29,925</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Calibri" w:cs="Calibri" w:eastAsia="Calibri" w:hAnsi="Calibri"/>
                <w:sz w:val="16"/>
                <w:szCs w:val="16"/>
                <w:color w:val="51555C"/>
              </w:rPr>
              <w:t>Restricted stock grants</w:t>
            </w:r>
          </w:p>
        </w:tc>
        <w:tc>
          <w:tcPr>
            <w:tcW w:w="860" w:type="dxa"/>
            <w:vAlign w:val="bottom"/>
          </w:tcPr>
          <w:p>
            <w:pPr>
              <w:jc w:val="right"/>
              <w:spacing w:after="0"/>
              <w:rPr>
                <w:sz w:val="20"/>
                <w:szCs w:val="20"/>
                <w:color w:val="auto"/>
              </w:rPr>
            </w:pPr>
            <w:r>
              <w:rPr>
                <w:rFonts w:ascii="Calibri" w:cs="Calibri" w:eastAsia="Calibri" w:hAnsi="Calibri"/>
                <w:sz w:val="16"/>
                <w:szCs w:val="16"/>
                <w:color w:val="51555C"/>
              </w:rPr>
              <w:t>427,941</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1</w:t>
            </w:r>
          </w:p>
        </w:tc>
        <w:tc>
          <w:tcPr>
            <w:tcW w:w="0" w:type="dxa"/>
            <w:vAlign w:val="bottom"/>
          </w:tcPr>
          <w:p>
            <w:pPr>
              <w:spacing w:after="0"/>
              <w:rPr>
                <w:sz w:val="1"/>
                <w:szCs w:val="1"/>
                <w:color w:val="auto"/>
              </w:rPr>
            </w:pPr>
          </w:p>
        </w:tc>
      </w:tr>
      <w:tr>
        <w:trPr>
          <w:trHeight w:val="41"/>
        </w:trPr>
        <w:tc>
          <w:tcPr>
            <w:tcW w:w="3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Restricted stock cancellatons</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(41,269)</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Calibri" w:cs="Calibri" w:eastAsia="Calibri" w:hAnsi="Calibri"/>
                <w:sz w:val="16"/>
                <w:szCs w:val="16"/>
                <w:color w:val="51555C"/>
              </w:rPr>
              <w:t>Other comprehensive loss</w:t>
            </w: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(8,534)</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(8,534)</w:t>
            </w:r>
          </w:p>
        </w:tc>
        <w:tc>
          <w:tcPr>
            <w:tcW w:w="0" w:type="dxa"/>
            <w:vAlign w:val="bottom"/>
          </w:tcPr>
          <w:p>
            <w:pPr>
              <w:spacing w:after="0"/>
              <w:rPr>
                <w:sz w:val="1"/>
                <w:szCs w:val="1"/>
                <w:color w:val="auto"/>
              </w:rPr>
            </w:pPr>
          </w:p>
        </w:tc>
      </w:tr>
      <w:tr>
        <w:trPr>
          <w:trHeight w:val="41"/>
        </w:trPr>
        <w:tc>
          <w:tcPr>
            <w:tcW w:w="3660" w:type="dxa"/>
            <w:vAlign w:val="bottom"/>
            <w:tcBorders>
              <w:bottom w:val="single" w:sz="8" w:color="EBFBFF"/>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54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960" w:type="dxa"/>
            <w:vAlign w:val="bottom"/>
            <w:tcBorders>
              <w:bottom w:val="single" w:sz="8" w:color="51555C"/>
            </w:tcBorders>
          </w:tcPr>
          <w:p>
            <w:pPr>
              <w:spacing w:after="0"/>
              <w:rPr>
                <w:sz w:val="3"/>
                <w:szCs w:val="3"/>
                <w:color w:val="auto"/>
              </w:rPr>
            </w:pPr>
          </w:p>
        </w:tc>
        <w:tc>
          <w:tcPr>
            <w:tcW w:w="80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96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64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EBFBFF"/>
            </w:tcBorders>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Balance at March 31, 2023</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69,154,863</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69</w:t>
            </w:r>
          </w:p>
        </w:tc>
        <w:tc>
          <w:tcPr>
            <w:tcW w:w="108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(15,278,827)</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 (568,277)</w:t>
            </w:r>
          </w:p>
        </w:tc>
        <w:tc>
          <w:tcPr>
            <w:tcW w:w="96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$ 1,105,189</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404</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182,348</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719,733</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Calibri" w:cs="Calibri" w:eastAsia="Calibri" w:hAnsi="Calibri"/>
                <w:sz w:val="16"/>
                <w:szCs w:val="16"/>
                <w:color w:val="51555C"/>
              </w:rPr>
              <w:t>Net income</w:t>
            </w: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2,105</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2,105</w:t>
            </w:r>
          </w:p>
        </w:tc>
        <w:tc>
          <w:tcPr>
            <w:tcW w:w="0" w:type="dxa"/>
            <w:vAlign w:val="bottom"/>
          </w:tcPr>
          <w:p>
            <w:pPr>
              <w:spacing w:after="0"/>
              <w:rPr>
                <w:sz w:val="1"/>
                <w:szCs w:val="1"/>
                <w:color w:val="auto"/>
              </w:rPr>
            </w:pPr>
          </w:p>
        </w:tc>
      </w:tr>
      <w:tr>
        <w:trPr>
          <w:trHeight w:val="41"/>
        </w:trPr>
        <w:tc>
          <w:tcPr>
            <w:tcW w:w="3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Vestng of restricted stock units</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23,550</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Calibri" w:cs="Calibri" w:eastAsia="Calibri" w:hAnsi="Calibri"/>
                <w:sz w:val="16"/>
                <w:szCs w:val="16"/>
                <w:color w:val="51555C"/>
              </w:rPr>
              <w:t>Shares withheld to satsfy tax withholdings</w:t>
            </w: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080" w:type="dxa"/>
            <w:vAlign w:val="bottom"/>
            <w:gridSpan w:val="2"/>
          </w:tcPr>
          <w:p>
            <w:pPr>
              <w:jc w:val="right"/>
              <w:spacing w:after="0"/>
              <w:rPr>
                <w:sz w:val="20"/>
                <w:szCs w:val="20"/>
                <w:color w:val="auto"/>
              </w:rPr>
            </w:pPr>
            <w:r>
              <w:rPr>
                <w:rFonts w:ascii="Calibri" w:cs="Calibri" w:eastAsia="Calibri" w:hAnsi="Calibri"/>
                <w:sz w:val="16"/>
                <w:szCs w:val="16"/>
                <w:color w:val="51555C"/>
              </w:rPr>
              <w:t>(32,540)</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(2,270)</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(2,270)</w:t>
            </w:r>
          </w:p>
        </w:tc>
        <w:tc>
          <w:tcPr>
            <w:tcW w:w="0" w:type="dxa"/>
            <w:vAlign w:val="bottom"/>
          </w:tcPr>
          <w:p>
            <w:pPr>
              <w:spacing w:after="0"/>
              <w:rPr>
                <w:sz w:val="1"/>
                <w:szCs w:val="1"/>
                <w:color w:val="auto"/>
              </w:rPr>
            </w:pPr>
          </w:p>
        </w:tc>
      </w:tr>
      <w:tr>
        <w:trPr>
          <w:trHeight w:val="41"/>
        </w:trPr>
        <w:tc>
          <w:tcPr>
            <w:tcW w:w="3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Stock-based compensaton</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96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33,364</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33,364</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Calibri" w:cs="Calibri" w:eastAsia="Calibri" w:hAnsi="Calibri"/>
                <w:sz w:val="16"/>
                <w:szCs w:val="16"/>
                <w:color w:val="51555C"/>
              </w:rPr>
              <w:t>Restricted stock grants</w:t>
            </w:r>
          </w:p>
        </w:tc>
        <w:tc>
          <w:tcPr>
            <w:tcW w:w="860" w:type="dxa"/>
            <w:vAlign w:val="bottom"/>
          </w:tcPr>
          <w:p>
            <w:pPr>
              <w:jc w:val="right"/>
              <w:spacing w:after="0"/>
              <w:rPr>
                <w:sz w:val="20"/>
                <w:szCs w:val="20"/>
                <w:color w:val="auto"/>
              </w:rPr>
            </w:pPr>
            <w:r>
              <w:rPr>
                <w:rFonts w:ascii="Calibri" w:cs="Calibri" w:eastAsia="Calibri" w:hAnsi="Calibri"/>
                <w:sz w:val="16"/>
                <w:szCs w:val="16"/>
                <w:color w:val="51555C"/>
              </w:rPr>
              <w:t>6,031</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41"/>
        </w:trPr>
        <w:tc>
          <w:tcPr>
            <w:tcW w:w="3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Restricted stock cancellatons</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(20,200)</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Calibri" w:cs="Calibri" w:eastAsia="Calibri" w:hAnsi="Calibri"/>
                <w:sz w:val="16"/>
                <w:szCs w:val="16"/>
                <w:color w:val="51555C"/>
              </w:rPr>
              <w:t>Other comprehensive income</w:t>
            </w: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8,438</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8,438</w:t>
            </w:r>
          </w:p>
        </w:tc>
        <w:tc>
          <w:tcPr>
            <w:tcW w:w="0" w:type="dxa"/>
            <w:vAlign w:val="bottom"/>
          </w:tcPr>
          <w:p>
            <w:pPr>
              <w:spacing w:after="0"/>
              <w:rPr>
                <w:sz w:val="1"/>
                <w:szCs w:val="1"/>
                <w:color w:val="auto"/>
              </w:rPr>
            </w:pPr>
          </w:p>
        </w:tc>
      </w:tr>
      <w:tr>
        <w:trPr>
          <w:trHeight w:val="41"/>
        </w:trPr>
        <w:tc>
          <w:tcPr>
            <w:tcW w:w="3660" w:type="dxa"/>
            <w:vAlign w:val="bottom"/>
            <w:tcBorders>
              <w:bottom w:val="single" w:sz="8" w:color="EBFBFF"/>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54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960" w:type="dxa"/>
            <w:vAlign w:val="bottom"/>
            <w:tcBorders>
              <w:bottom w:val="single" w:sz="8" w:color="51555C"/>
            </w:tcBorders>
          </w:tcPr>
          <w:p>
            <w:pPr>
              <w:spacing w:after="0"/>
              <w:rPr>
                <w:sz w:val="3"/>
                <w:szCs w:val="3"/>
                <w:color w:val="auto"/>
              </w:rPr>
            </w:pPr>
          </w:p>
        </w:tc>
        <w:tc>
          <w:tcPr>
            <w:tcW w:w="80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96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64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660" w:type="dxa"/>
            <w:vAlign w:val="bottom"/>
            <w:tcBorders>
              <w:bottom w:val="single" w:sz="8" w:color="EBFBFF"/>
            </w:tcBorders>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Balance at June 30, 2023</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69,164,244</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69</w:t>
            </w:r>
          </w:p>
        </w:tc>
        <w:tc>
          <w:tcPr>
            <w:tcW w:w="108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(15,311,367)</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 (570,547)</w:t>
            </w:r>
          </w:p>
        </w:tc>
        <w:tc>
          <w:tcPr>
            <w:tcW w:w="96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$ 1,138,553</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8,842</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184,453</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761,370</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Calibri" w:cs="Calibri" w:eastAsia="Calibri" w:hAnsi="Calibri"/>
                <w:sz w:val="16"/>
                <w:szCs w:val="16"/>
                <w:color w:val="51555C"/>
              </w:rPr>
              <w:t>Net income</w:t>
            </w: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9,017</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9,017</w:t>
            </w:r>
          </w:p>
        </w:tc>
        <w:tc>
          <w:tcPr>
            <w:tcW w:w="0" w:type="dxa"/>
            <w:vAlign w:val="bottom"/>
          </w:tcPr>
          <w:p>
            <w:pPr>
              <w:spacing w:after="0"/>
              <w:rPr>
                <w:sz w:val="1"/>
                <w:szCs w:val="1"/>
                <w:color w:val="auto"/>
              </w:rPr>
            </w:pPr>
          </w:p>
        </w:tc>
      </w:tr>
      <w:tr>
        <w:trPr>
          <w:trHeight w:val="41"/>
        </w:trPr>
        <w:tc>
          <w:tcPr>
            <w:tcW w:w="3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EBFBFF"/>
          </w:tcPr>
          <w:p>
            <w:pPr>
              <w:ind w:left="140"/>
              <w:spacing w:after="0" w:line="243" w:lineRule="exact"/>
              <w:rPr>
                <w:sz w:val="20"/>
                <w:szCs w:val="20"/>
                <w:color w:val="auto"/>
              </w:rPr>
            </w:pPr>
            <w:r>
              <w:rPr>
                <w:rFonts w:ascii="Calibri" w:cs="Calibri" w:eastAsia="Calibri" w:hAnsi="Calibri"/>
                <w:sz w:val="16"/>
                <w:szCs w:val="16"/>
                <w:color w:val="51555C"/>
              </w:rPr>
              <w:t>Retrements of common stock</w:t>
            </w:r>
            <w:r>
              <w:rPr>
                <w:rFonts w:ascii="Calibri" w:cs="Calibri" w:eastAsia="Calibri" w:hAnsi="Calibri"/>
                <w:sz w:val="21"/>
                <w:szCs w:val="21"/>
                <w:color w:val="51555C"/>
                <w:vertAlign w:val="superscript"/>
              </w:rPr>
              <w:t>(1)</w:t>
            </w:r>
          </w:p>
        </w:tc>
        <w:tc>
          <w:tcPr>
            <w:tcW w:w="86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(143)</w:t>
            </w:r>
          </w:p>
        </w:tc>
        <w:tc>
          <w:tcPr>
            <w:tcW w:w="120" w:type="dxa"/>
            <w:vAlign w:val="bottom"/>
            <w:shd w:val="clear" w:color="auto" w:fill="EBFBFF"/>
          </w:tcPr>
          <w:p>
            <w:pPr>
              <w:spacing w:after="0"/>
              <w:rPr>
                <w:sz w:val="21"/>
                <w:szCs w:val="21"/>
                <w:color w:val="auto"/>
              </w:rPr>
            </w:pPr>
          </w:p>
        </w:tc>
        <w:tc>
          <w:tcPr>
            <w:tcW w:w="54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shd w:val="clear" w:color="auto" w:fill="EBFBFF"/>
          </w:tcPr>
          <w:p>
            <w:pPr>
              <w:spacing w:after="0"/>
              <w:rPr>
                <w:sz w:val="21"/>
                <w:szCs w:val="21"/>
                <w:color w:val="auto"/>
              </w:rPr>
            </w:pPr>
          </w:p>
        </w:tc>
        <w:tc>
          <w:tcPr>
            <w:tcW w:w="96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960" w:type="dxa"/>
            <w:vAlign w:val="bottom"/>
            <w:gridSpan w:val="2"/>
            <w:shd w:val="clear" w:color="auto" w:fill="EBFBFF"/>
          </w:tcPr>
          <w:p>
            <w:pPr>
              <w:jc w:val="right"/>
              <w:spacing w:after="0"/>
              <w:rPr>
                <w:sz w:val="20"/>
                <w:szCs w:val="20"/>
                <w:color w:val="auto"/>
              </w:rPr>
            </w:pPr>
            <w:r>
              <w:rPr>
                <w:rFonts w:ascii="Calibri" w:cs="Calibri" w:eastAsia="Calibri" w:hAnsi="Calibri"/>
                <w:sz w:val="16"/>
                <w:szCs w:val="16"/>
                <w:color w:val="51555C"/>
              </w:rPr>
              <w:t>(13)</w:t>
            </w:r>
          </w:p>
        </w:tc>
        <w:tc>
          <w:tcPr>
            <w:tcW w:w="140" w:type="dxa"/>
            <w:vAlign w:val="bottom"/>
            <w:shd w:val="clear" w:color="auto" w:fill="EBFBFF"/>
          </w:tcPr>
          <w:p>
            <w:pPr>
              <w:spacing w:after="0"/>
              <w:rPr>
                <w:sz w:val="21"/>
                <w:szCs w:val="21"/>
                <w:color w:val="auto"/>
              </w:rPr>
            </w:pPr>
          </w:p>
        </w:tc>
        <w:tc>
          <w:tcPr>
            <w:tcW w:w="96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shd w:val="clear" w:color="auto" w:fill="EBFBFF"/>
          </w:tcPr>
          <w:p>
            <w:pPr>
              <w:spacing w:after="0"/>
              <w:rPr>
                <w:sz w:val="21"/>
                <w:szCs w:val="21"/>
                <w:color w:val="auto"/>
              </w:rPr>
            </w:pPr>
          </w:p>
        </w:tc>
        <w:tc>
          <w:tcPr>
            <w:tcW w:w="64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(13)</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Calibri" w:cs="Calibri" w:eastAsia="Calibri" w:hAnsi="Calibri"/>
                <w:sz w:val="16"/>
                <w:szCs w:val="16"/>
                <w:color w:val="51555C"/>
              </w:rPr>
              <w:t>Vestng of restricted stock units</w:t>
            </w:r>
          </w:p>
        </w:tc>
        <w:tc>
          <w:tcPr>
            <w:tcW w:w="860" w:type="dxa"/>
            <w:vAlign w:val="bottom"/>
          </w:tcPr>
          <w:p>
            <w:pPr>
              <w:jc w:val="right"/>
              <w:spacing w:after="0"/>
              <w:rPr>
                <w:sz w:val="20"/>
                <w:szCs w:val="20"/>
                <w:color w:val="auto"/>
              </w:rPr>
            </w:pPr>
            <w:r>
              <w:rPr>
                <w:rFonts w:ascii="Calibri" w:cs="Calibri" w:eastAsia="Calibri" w:hAnsi="Calibri"/>
                <w:sz w:val="16"/>
                <w:szCs w:val="16"/>
                <w:color w:val="51555C"/>
              </w:rPr>
              <w:t>26,662</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41"/>
        </w:trPr>
        <w:tc>
          <w:tcPr>
            <w:tcW w:w="3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Shares withheld to satsfy tax withholdings</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08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6"/>
                <w:szCs w:val="16"/>
                <w:color w:val="51555C"/>
              </w:rPr>
              <w:t>(25,710)</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(1,881)</w:t>
            </w:r>
          </w:p>
        </w:tc>
        <w:tc>
          <w:tcPr>
            <w:tcW w:w="14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(1,881)</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Calibri" w:cs="Calibri" w:eastAsia="Calibri" w:hAnsi="Calibri"/>
                <w:sz w:val="16"/>
                <w:szCs w:val="16"/>
                <w:color w:val="51555C"/>
              </w:rPr>
              <w:t>Stock-based compensaton</w:t>
            </w: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960" w:type="dxa"/>
            <w:vAlign w:val="bottom"/>
            <w:gridSpan w:val="2"/>
          </w:tcPr>
          <w:p>
            <w:pPr>
              <w:jc w:val="right"/>
              <w:spacing w:after="0"/>
              <w:rPr>
                <w:sz w:val="20"/>
                <w:szCs w:val="20"/>
                <w:color w:val="auto"/>
              </w:rPr>
            </w:pPr>
            <w:r>
              <w:rPr>
                <w:rFonts w:ascii="Calibri" w:cs="Calibri" w:eastAsia="Calibri" w:hAnsi="Calibri"/>
                <w:sz w:val="16"/>
                <w:szCs w:val="16"/>
                <w:color w:val="51555C"/>
              </w:rPr>
              <w:t>32,379</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32,379</w:t>
            </w:r>
          </w:p>
        </w:tc>
        <w:tc>
          <w:tcPr>
            <w:tcW w:w="0" w:type="dxa"/>
            <w:vAlign w:val="bottom"/>
          </w:tcPr>
          <w:p>
            <w:pPr>
              <w:spacing w:after="0"/>
              <w:rPr>
                <w:sz w:val="1"/>
                <w:szCs w:val="1"/>
                <w:color w:val="auto"/>
              </w:rPr>
            </w:pPr>
          </w:p>
        </w:tc>
      </w:tr>
      <w:tr>
        <w:trPr>
          <w:trHeight w:val="41"/>
        </w:trPr>
        <w:tc>
          <w:tcPr>
            <w:tcW w:w="3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Restricted stock grants</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27,913</w:t>
            </w:r>
          </w:p>
        </w:tc>
        <w:tc>
          <w:tcPr>
            <w:tcW w:w="12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Calibri" w:cs="Calibri" w:eastAsia="Calibri" w:hAnsi="Calibri"/>
                <w:sz w:val="16"/>
                <w:szCs w:val="16"/>
                <w:color w:val="51555C"/>
              </w:rPr>
              <w:t>Restricted stock cancellatons</w:t>
            </w:r>
          </w:p>
        </w:tc>
        <w:tc>
          <w:tcPr>
            <w:tcW w:w="860" w:type="dxa"/>
            <w:vAlign w:val="bottom"/>
          </w:tcPr>
          <w:p>
            <w:pPr>
              <w:jc w:val="right"/>
              <w:spacing w:after="0"/>
              <w:rPr>
                <w:sz w:val="20"/>
                <w:szCs w:val="20"/>
                <w:color w:val="auto"/>
              </w:rPr>
            </w:pPr>
            <w:r>
              <w:rPr>
                <w:rFonts w:ascii="Calibri" w:cs="Calibri" w:eastAsia="Calibri" w:hAnsi="Calibri"/>
                <w:sz w:val="16"/>
                <w:szCs w:val="16"/>
                <w:color w:val="51555C"/>
              </w:rPr>
              <w:t>(30,909)</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0" w:type="dxa"/>
            <w:vAlign w:val="bottom"/>
          </w:tcPr>
          <w:p>
            <w:pPr>
              <w:spacing w:after="0"/>
              <w:rPr>
                <w:sz w:val="1"/>
                <w:szCs w:val="1"/>
                <w:color w:val="auto"/>
              </w:rPr>
            </w:pPr>
          </w:p>
        </w:tc>
      </w:tr>
      <w:tr>
        <w:trPr>
          <w:trHeight w:val="41"/>
        </w:trPr>
        <w:tc>
          <w:tcPr>
            <w:tcW w:w="3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Other comprehensive loss</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21"/>
                <w:szCs w:val="21"/>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21"/>
                <w:szCs w:val="21"/>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(701)</w:t>
            </w:r>
          </w:p>
        </w:tc>
        <w:tc>
          <w:tcPr>
            <w:tcW w:w="160" w:type="dxa"/>
            <w:vAlign w:val="bottom"/>
            <w:tcBorders>
              <w:bottom w:val="single" w:sz="8" w:color="EBFBFF"/>
            </w:tcBorders>
            <w:shd w:val="clear" w:color="auto" w:fill="EBFBFF"/>
          </w:tcPr>
          <w:p>
            <w:pPr>
              <w:spacing w:after="0"/>
              <w:rPr>
                <w:sz w:val="21"/>
                <w:szCs w:val="21"/>
                <w:color w:val="auto"/>
              </w:rPr>
            </w:pPr>
          </w:p>
        </w:tc>
        <w:tc>
          <w:tcPr>
            <w:tcW w:w="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(701)</w:t>
            </w: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line="182" w:lineRule="exact"/>
              <w:rPr>
                <w:sz w:val="20"/>
                <w:szCs w:val="20"/>
                <w:color w:val="auto"/>
              </w:rPr>
            </w:pPr>
            <w:r>
              <w:rPr>
                <w:rFonts w:ascii="Calibri" w:cs="Calibri" w:eastAsia="Calibri" w:hAnsi="Calibri"/>
                <w:sz w:val="16"/>
                <w:szCs w:val="16"/>
                <w:b w:val="1"/>
                <w:bCs w:val="1"/>
                <w:color w:val="51555C"/>
              </w:rPr>
              <w:t>Balance at September 30, 2023</w:t>
            </w:r>
          </w:p>
        </w:tc>
        <w:tc>
          <w:tcPr>
            <w:tcW w:w="8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69,187,767</w:t>
            </w:r>
          </w:p>
        </w:tc>
        <w:tc>
          <w:tcPr>
            <w:tcW w:w="12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54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69</w:t>
            </w:r>
          </w:p>
        </w:tc>
        <w:tc>
          <w:tcPr>
            <w:tcW w:w="1080" w:type="dxa"/>
            <w:vAlign w:val="bottom"/>
            <w:tcBorders>
              <w:top w:val="single" w:sz="8" w:color="51555C"/>
            </w:tcBorders>
            <w:gridSpan w:val="2"/>
          </w:tcPr>
          <w:p>
            <w:pPr>
              <w:jc w:val="right"/>
              <w:spacing w:after="0"/>
              <w:rPr>
                <w:sz w:val="20"/>
                <w:szCs w:val="20"/>
                <w:color w:val="auto"/>
              </w:rPr>
            </w:pPr>
            <w:r>
              <w:rPr>
                <w:rFonts w:ascii="Calibri" w:cs="Calibri" w:eastAsia="Calibri" w:hAnsi="Calibri"/>
                <w:sz w:val="16"/>
                <w:szCs w:val="16"/>
                <w:color w:val="51555C"/>
              </w:rPr>
              <w:t>$(15,337,077)</w:t>
            </w:r>
          </w:p>
        </w:tc>
        <w:tc>
          <w:tcPr>
            <w:tcW w:w="8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 (572,428)</w:t>
            </w:r>
          </w:p>
        </w:tc>
        <w:tc>
          <w:tcPr>
            <w:tcW w:w="960" w:type="dxa"/>
            <w:vAlign w:val="bottom"/>
            <w:tcBorders>
              <w:top w:val="single" w:sz="8" w:color="51555C"/>
            </w:tcBorders>
            <w:gridSpan w:val="2"/>
          </w:tcPr>
          <w:p>
            <w:pPr>
              <w:jc w:val="right"/>
              <w:spacing w:after="0"/>
              <w:rPr>
                <w:sz w:val="20"/>
                <w:szCs w:val="20"/>
                <w:color w:val="auto"/>
              </w:rPr>
            </w:pPr>
            <w:r>
              <w:rPr>
                <w:rFonts w:ascii="Calibri" w:cs="Calibri" w:eastAsia="Calibri" w:hAnsi="Calibri"/>
                <w:sz w:val="16"/>
                <w:szCs w:val="16"/>
                <w:color w:val="51555C"/>
              </w:rPr>
              <w:t>$ 1,170,919</w:t>
            </w:r>
          </w:p>
        </w:tc>
        <w:tc>
          <w:tcPr>
            <w:tcW w:w="14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9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8,141</w:t>
            </w:r>
          </w:p>
        </w:tc>
        <w:tc>
          <w:tcPr>
            <w:tcW w:w="1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64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193,470</w:t>
            </w:r>
          </w:p>
        </w:tc>
        <w:tc>
          <w:tcPr>
            <w:tcW w:w="14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800,171</w:t>
            </w:r>
          </w:p>
        </w:tc>
        <w:tc>
          <w:tcPr>
            <w:tcW w:w="0" w:type="dxa"/>
            <w:vAlign w:val="bottom"/>
          </w:tcPr>
          <w:p>
            <w:pPr>
              <w:spacing w:after="0"/>
              <w:rPr>
                <w:sz w:val="1"/>
                <w:szCs w:val="1"/>
                <w:color w:val="auto"/>
              </w:rPr>
            </w:pPr>
          </w:p>
        </w:tc>
      </w:tr>
      <w:tr>
        <w:trPr>
          <w:trHeight w:val="41"/>
        </w:trPr>
        <w:tc>
          <w:tcPr>
            <w:tcW w:w="3660" w:type="dxa"/>
            <w:vAlign w:val="bottom"/>
            <w:tcBorders>
              <w:bottom w:val="single" w:sz="8" w:color="0CD973"/>
            </w:tcBorders>
          </w:tcPr>
          <w:p>
            <w:pPr>
              <w:spacing w:after="0"/>
              <w:rPr>
                <w:sz w:val="3"/>
                <w:szCs w:val="3"/>
                <w:color w:val="auto"/>
              </w:rPr>
            </w:pPr>
          </w:p>
        </w:tc>
        <w:tc>
          <w:tcPr>
            <w:tcW w:w="860" w:type="dxa"/>
            <w:vAlign w:val="bottom"/>
            <w:tcBorders>
              <w:bottom w:val="single" w:sz="8" w:color="0CD973"/>
            </w:tcBorders>
          </w:tcPr>
          <w:p>
            <w:pPr>
              <w:spacing w:after="0"/>
              <w:rPr>
                <w:sz w:val="3"/>
                <w:szCs w:val="3"/>
                <w:color w:val="auto"/>
              </w:rPr>
            </w:pPr>
          </w:p>
        </w:tc>
        <w:tc>
          <w:tcPr>
            <w:tcW w:w="120" w:type="dxa"/>
            <w:vAlign w:val="bottom"/>
            <w:tcBorders>
              <w:bottom w:val="single" w:sz="8" w:color="0CD973"/>
            </w:tcBorders>
          </w:tcPr>
          <w:p>
            <w:pPr>
              <w:spacing w:after="0"/>
              <w:rPr>
                <w:sz w:val="3"/>
                <w:szCs w:val="3"/>
                <w:color w:val="auto"/>
              </w:rPr>
            </w:pPr>
          </w:p>
        </w:tc>
        <w:tc>
          <w:tcPr>
            <w:tcW w:w="540" w:type="dxa"/>
            <w:vAlign w:val="bottom"/>
            <w:tcBorders>
              <w:bottom w:val="single" w:sz="8" w:color="0CD973"/>
            </w:tcBorders>
          </w:tcPr>
          <w:p>
            <w:pPr>
              <w:spacing w:after="0"/>
              <w:rPr>
                <w:sz w:val="3"/>
                <w:szCs w:val="3"/>
                <w:color w:val="auto"/>
              </w:rPr>
            </w:pPr>
          </w:p>
        </w:tc>
        <w:tc>
          <w:tcPr>
            <w:tcW w:w="120" w:type="dxa"/>
            <w:vAlign w:val="bottom"/>
            <w:tcBorders>
              <w:bottom w:val="single" w:sz="8" w:color="0CD973"/>
            </w:tcBorders>
          </w:tcPr>
          <w:p>
            <w:pPr>
              <w:spacing w:after="0"/>
              <w:rPr>
                <w:sz w:val="3"/>
                <w:szCs w:val="3"/>
                <w:color w:val="auto"/>
              </w:rPr>
            </w:pPr>
          </w:p>
        </w:tc>
        <w:tc>
          <w:tcPr>
            <w:tcW w:w="960" w:type="dxa"/>
            <w:vAlign w:val="bottom"/>
            <w:tcBorders>
              <w:bottom w:val="single" w:sz="8" w:color="0CD973"/>
            </w:tcBorders>
          </w:tcPr>
          <w:p>
            <w:pPr>
              <w:spacing w:after="0"/>
              <w:rPr>
                <w:sz w:val="3"/>
                <w:szCs w:val="3"/>
                <w:color w:val="auto"/>
              </w:rPr>
            </w:pPr>
          </w:p>
        </w:tc>
        <w:tc>
          <w:tcPr>
            <w:tcW w:w="800" w:type="dxa"/>
            <w:vAlign w:val="bottom"/>
            <w:tcBorders>
              <w:bottom w:val="single" w:sz="8" w:color="0CD973"/>
            </w:tcBorders>
          </w:tcPr>
          <w:p>
            <w:pPr>
              <w:spacing w:after="0"/>
              <w:rPr>
                <w:sz w:val="3"/>
                <w:szCs w:val="3"/>
                <w:color w:val="auto"/>
              </w:rPr>
            </w:pPr>
          </w:p>
        </w:tc>
        <w:tc>
          <w:tcPr>
            <w:tcW w:w="140" w:type="dxa"/>
            <w:vAlign w:val="bottom"/>
            <w:tcBorders>
              <w:bottom w:val="single" w:sz="8" w:color="0CD973"/>
            </w:tcBorders>
          </w:tcPr>
          <w:p>
            <w:pPr>
              <w:spacing w:after="0"/>
              <w:rPr>
                <w:sz w:val="3"/>
                <w:szCs w:val="3"/>
                <w:color w:val="auto"/>
              </w:rPr>
            </w:pPr>
          </w:p>
        </w:tc>
        <w:tc>
          <w:tcPr>
            <w:tcW w:w="820" w:type="dxa"/>
            <w:vAlign w:val="bottom"/>
            <w:tcBorders>
              <w:bottom w:val="single" w:sz="8" w:color="0CD973"/>
            </w:tcBorders>
          </w:tcPr>
          <w:p>
            <w:pPr>
              <w:spacing w:after="0"/>
              <w:rPr>
                <w:sz w:val="3"/>
                <w:szCs w:val="3"/>
                <w:color w:val="auto"/>
              </w:rPr>
            </w:pPr>
          </w:p>
        </w:tc>
        <w:tc>
          <w:tcPr>
            <w:tcW w:w="140" w:type="dxa"/>
            <w:vAlign w:val="bottom"/>
            <w:tcBorders>
              <w:bottom w:val="single" w:sz="8" w:color="0CD973"/>
            </w:tcBorders>
          </w:tcPr>
          <w:p>
            <w:pPr>
              <w:spacing w:after="0"/>
              <w:rPr>
                <w:sz w:val="3"/>
                <w:szCs w:val="3"/>
                <w:color w:val="auto"/>
              </w:rPr>
            </w:pPr>
          </w:p>
        </w:tc>
        <w:tc>
          <w:tcPr>
            <w:tcW w:w="960" w:type="dxa"/>
            <w:vAlign w:val="bottom"/>
            <w:tcBorders>
              <w:bottom w:val="single" w:sz="8" w:color="0CD973"/>
            </w:tcBorders>
          </w:tcPr>
          <w:p>
            <w:pPr>
              <w:spacing w:after="0"/>
              <w:rPr>
                <w:sz w:val="3"/>
                <w:szCs w:val="3"/>
                <w:color w:val="auto"/>
              </w:rPr>
            </w:pPr>
          </w:p>
        </w:tc>
        <w:tc>
          <w:tcPr>
            <w:tcW w:w="160" w:type="dxa"/>
            <w:vAlign w:val="bottom"/>
            <w:tcBorders>
              <w:bottom w:val="single" w:sz="8" w:color="0CD973"/>
            </w:tcBorders>
          </w:tcPr>
          <w:p>
            <w:pPr>
              <w:spacing w:after="0"/>
              <w:rPr>
                <w:sz w:val="3"/>
                <w:szCs w:val="3"/>
                <w:color w:val="auto"/>
              </w:rPr>
            </w:pPr>
          </w:p>
        </w:tc>
        <w:tc>
          <w:tcPr>
            <w:tcW w:w="640" w:type="dxa"/>
            <w:vAlign w:val="bottom"/>
            <w:tcBorders>
              <w:bottom w:val="single" w:sz="8" w:color="0CD973"/>
            </w:tcBorders>
          </w:tcPr>
          <w:p>
            <w:pPr>
              <w:spacing w:after="0"/>
              <w:rPr>
                <w:sz w:val="3"/>
                <w:szCs w:val="3"/>
                <w:color w:val="auto"/>
              </w:rPr>
            </w:pPr>
          </w:p>
        </w:tc>
        <w:tc>
          <w:tcPr>
            <w:tcW w:w="140" w:type="dxa"/>
            <w:vAlign w:val="bottom"/>
            <w:tcBorders>
              <w:bottom w:val="single" w:sz="8" w:color="0CD973"/>
            </w:tcBorders>
          </w:tcPr>
          <w:p>
            <w:pPr>
              <w:spacing w:after="0"/>
              <w:rPr>
                <w:sz w:val="3"/>
                <w:szCs w:val="3"/>
                <w:color w:val="auto"/>
              </w:rPr>
            </w:pPr>
          </w:p>
        </w:tc>
        <w:tc>
          <w:tcPr>
            <w:tcW w:w="860" w:type="dxa"/>
            <w:vAlign w:val="bottom"/>
            <w:tcBorders>
              <w:bottom w:val="single" w:sz="8" w:color="0CD97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-4208145</wp:posOffset>
            </wp:positionV>
            <wp:extent cx="21774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Calibri" w:cs="Calibri" w:eastAsia="Calibri" w:hAnsi="Calibri"/>
          <w:sz w:val="11"/>
          <w:szCs w:val="11"/>
          <w:color w:val="51555C"/>
        </w:rPr>
        <w:t>(1) Represents shares retred afer determining certain EVERFI's selling shareholders would be paid in cash, rather than shares of our common stock.</w:t>
      </w:r>
    </w:p>
    <w:p>
      <w:pPr>
        <w:spacing w:after="0" w:line="183" w:lineRule="exact"/>
        <w:rPr>
          <w:sz w:val="20"/>
          <w:szCs w:val="20"/>
          <w:color w:val="auto"/>
        </w:rPr>
      </w:pPr>
    </w:p>
    <w:p>
      <w:pPr>
        <w:ind w:left="2200"/>
        <w:spacing w:after="0"/>
        <w:rPr>
          <w:sz w:val="20"/>
          <w:szCs w:val="20"/>
          <w:color w:val="auto"/>
        </w:rPr>
      </w:pPr>
      <w:r>
        <w:rPr>
          <w:rFonts w:ascii="Calibri" w:cs="Calibri" w:eastAsia="Calibri" w:hAnsi="Calibri"/>
          <w:sz w:val="16"/>
          <w:szCs w:val="16"/>
          <w:color w:val="51555C"/>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308610</wp:posOffset>
            </wp:positionV>
            <wp:extent cx="65976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00" w:type="dxa"/>
            <w:vAlign w:val="bottom"/>
          </w:tcPr>
          <w:p>
            <w:pPr>
              <w:ind w:left="8060"/>
              <w:spacing w:after="0"/>
              <w:rPr>
                <w:sz w:val="20"/>
                <w:szCs w:val="20"/>
                <w:color w:val="auto"/>
              </w:rPr>
            </w:pPr>
            <w:r>
              <w:rPr>
                <w:rFonts w:ascii="Calibri" w:cs="Calibri" w:eastAsia="Calibri" w:hAnsi="Calibri"/>
                <w:sz w:val="14"/>
                <w:szCs w:val="14"/>
                <w:color w:val="51555C"/>
              </w:rPr>
              <w:t>Third Quarter 2024 Form 10-Q</w:t>
            </w:r>
          </w:p>
        </w:tc>
        <w:tc>
          <w:tcPr>
            <w:tcW w:w="740" w:type="dxa"/>
            <w:vAlign w:val="bottom"/>
          </w:tcPr>
          <w:p>
            <w:pPr>
              <w:jc w:val="right"/>
              <w:spacing w:after="0"/>
              <w:rPr>
                <w:sz w:val="20"/>
                <w:szCs w:val="20"/>
                <w:color w:val="auto"/>
              </w:rPr>
            </w:pPr>
            <w:r>
              <w:rPr>
                <w:rFonts w:ascii="Calibri" w:cs="Calibri" w:eastAsia="Calibri" w:hAnsi="Calibri"/>
                <w:sz w:val="14"/>
                <w:szCs w:val="14"/>
                <w:color w:val="51555C"/>
              </w:rPr>
              <w:t>7</w:t>
            </w:r>
          </w:p>
        </w:tc>
      </w:tr>
      <w:tr>
        <w:trPr>
          <w:trHeight w:val="351"/>
        </w:trPr>
        <w:tc>
          <w:tcPr>
            <w:tcW w:w="10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 Organizaton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the leading sofware provider exclusively dedicated to powering social impact. Serving the nonproft and educaton sectors, companies commited to social responsibility and individual change makers, our essental sofware is built to accelerate impact in fundraising, nonproft fnancial management, digital giving, grantmaking, corporate social responsibility and educaton management. A remote-frst company, we have operatons in the United States, Australia, Canada, Costa Rica, India and the United Kingdom, supportng users in 100+ countries.</w:t>
      </w:r>
    </w:p>
    <w:p>
      <w:pPr>
        <w:spacing w:after="0" w:line="255"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2. Basis of Presentaton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Unaudited condensed consolidated interim fnancial statements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accompanying condensed consolidated interim fnancial statements have been prepared pursuant to the rules and regulatons of the United States Securites and Exchange Commission ("SEC") for interim fnancial reportng. These condensed consolidated statements are unaudited and, in the opinion of management, include all adjustments (consistng of normal recurring adjustments and accruals) necessary to state fairly the condensed consolidated balance sheets, condensed consolidated statements of comprehensive income, consolidated statements of cash fows and consolidated statements of stockholders’ equity, for the periods presented in accordance with accountng principles generally accepted in the United States ("U.S.") ("GAAP"). The condensed consolidated balance sheet at December 31, 2023 has been derived from the audited consolidated fnancial statements at that date. Operatng results and cash fows for the three and/or nine months ended September 30, 2024 are not necessarily indicatve of the results that may be expected for the fscal year ending December 31, 2024, or any other future period. Certain informaton and footnote disclosures normally included in annual fnancial statements prepared in accordance with GAAP have been omited in accordance with the rules and regulatons for interim reportng of the SEC. These unaudited, condensed consolidated interim fnancial statements should be read in conjuncton with the consolidated fnancial statements and notes thereto included in our Annual Report on Form 10-K for the year ended December 31, 2023, and other forms fled with the SEC from tme to tme.</w:t>
      </w:r>
    </w:p>
    <w:p>
      <w:pPr>
        <w:spacing w:after="0" w:line="16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Basis of consolidaton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unaudited, condensed consolidated fnancial statements include the accounts of Blackbaud, Inc. and its wholly owned subsidiaries. All intercompany balances and transactons have been eliminated in consolidaton.</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Reportable segment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report our operatng results and fnancial informaton in one operatng and reportable segment. Our chief operatng decision maker uses consolidated fnancial informaton to make operatng decisions, assess fnancial performance and allocate resources. Our chief operatng decision maker is our chief executve ofcer.</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Use of estmates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preparaton of fnancial statements in conformity with GAAP requires management to make estmates and assumptons that afect the reported amounts of assets and liabilites and disclosure of contngent assets and liabilites at the date of the fnancial statements, as well as the reported amounts of revenues and expenses during the reportng periods. On an ongoing basis, we reconsider and evaluate our estmates and assumptons, including those that impact revenue recogniton, long-lived and intangible assets, income taxes, business combinatons, stock-based compensaton, capitalizaton of sofware and content development costs, our allowances for credit losses and sales returns, costs of obtaining contracts, valuaton of derivatve instruments, loss contngencies and insurance recoveries, among others. Changes in the facts or circumstances underlying these estmates could result in material changes and actual results could materially difer from these estmates.</w:t>
      </w:r>
    </w:p>
    <w:p>
      <w:pPr>
        <w:spacing w:after="0" w:line="342"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8</w:t>
      </w:r>
      <w:r>
        <w:rPr>
          <w:sz w:val="20"/>
          <w:szCs w:val="20"/>
          <w:color w:val="auto"/>
        </w:rPr>
        <w:tab/>
      </w:r>
      <w:r>
        <w:rPr>
          <w:sz w:val="1"/>
          <w:szCs w:val="1"/>
          <w:color w:val="auto"/>
        </w:rPr>
        <w:drawing>
          <wp:inline distT="0" distB="0" distL="0" distR="0">
            <wp:extent cx="651510" cy="1714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Recently issued accountng pronouncements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There are no recently issued accountng pronouncements that we expect to have a material impact on our consolidated fnancial statements when adopted in the future.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Summary of signifcant accountng policies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There have been no material changes to our signifcant accountng policies described in our Annual Report on Form 10-K for the year ended December 31, 2023, fled with the SEC on February 21, 2024.</w:t>
      </w:r>
    </w:p>
    <w:p>
      <w:pPr>
        <w:spacing w:after="0" w:line="199"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3. Business Combinatons and Dispositons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2024 dispositon</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On March 2, 2024, we completed a transacton to divest our U.K.-based creatve services business EVERFI Limited, formerly a wholly-owned subsidiary of EVERFI, Inc, which is a wholly-owned subsidiary of Blackbaud, Inc. EVERFI Limited's total revenue during 2023 was $8.4 million. We incurred an insignifcant amount of legal costs associated with the dispositon of this business. As a result of the dispositon, we recorded a $1.6 million loss, which was recorded in general and administratve expense in the unaudited, condensed consolidated statement of comprehensive income for the nine months ended September 30, 2024.</w:t>
      </w:r>
    </w:p>
    <w:p>
      <w:pPr>
        <w:spacing w:after="0" w:line="25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4.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compute basic earnings (loss) per share by dividing net income (loss) available to common stockholders by the weighted average number of common shares outstanding during the period. Diluted earnings (loss) per share is computed by dividing net income (loss) by the weighted average number of common shares and dilutve potental common shares outstanding during the period. Diluted earnings (loss) per share refects the assumed exercise, setlement and vestng of all dilutve securites using the “treasury stock method,” except when the efect is ant-dilutve. Potentally dilutve securites consist of shares issuable upon vestng of restricted stock awards and units. Diluted loss per share for the nine months ended September 30, 2023 was the same as basic loss per share as there was a net loss in the period and inclusion of potentally dilutve securites was ant-dilutve.</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sets forth the computaton of basic and diluted earnings (loss) per share: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4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1320" w:type="dxa"/>
            <w:vAlign w:val="bottom"/>
            <w:tcBorders>
              <w:right w:val="single" w:sz="8" w:color="004054"/>
            </w:tcBorders>
            <w:gridSpan w:val="2"/>
            <w:shd w:val="clear" w:color="auto" w:fill="004054"/>
          </w:tcPr>
          <w:p>
            <w:pPr>
              <w:ind w:left="40"/>
              <w:spacing w:after="0"/>
              <w:rPr>
                <w:sz w:val="20"/>
                <w:szCs w:val="20"/>
                <w:color w:val="auto"/>
              </w:rPr>
            </w:pPr>
            <w:r>
              <w:rPr>
                <w:rFonts w:ascii="Calibri" w:cs="Calibri" w:eastAsia="Calibri" w:hAnsi="Calibri"/>
                <w:sz w:val="14"/>
                <w:szCs w:val="14"/>
                <w:b w:val="1"/>
                <w:bCs w:val="1"/>
                <w:color w:val="FFFFFF"/>
              </w:rPr>
              <w:t>Three months ended</w:t>
            </w:r>
          </w:p>
        </w:tc>
        <w:tc>
          <w:tcPr>
            <w:tcW w:w="80" w:type="dxa"/>
            <w:vAlign w:val="bottom"/>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1300" w:type="dxa"/>
            <w:vAlign w:val="bottom"/>
            <w:gridSpan w:val="2"/>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c>
          <w:tcPr>
            <w:tcW w:w="20" w:type="dxa"/>
            <w:vAlign w:val="bottom"/>
            <w:shd w:val="clear" w:color="auto" w:fill="004054"/>
          </w:tcPr>
          <w:p>
            <w:pPr>
              <w:spacing w:after="0"/>
              <w:rPr>
                <w:sz w:val="16"/>
                <w:szCs w:val="16"/>
                <w:color w:val="auto"/>
              </w:rPr>
            </w:pPr>
          </w:p>
        </w:tc>
      </w:tr>
      <w:tr>
        <w:trPr>
          <w:trHeight w:val="170"/>
        </w:trPr>
        <w:tc>
          <w:tcPr>
            <w:tcW w:w="5940" w:type="dxa"/>
            <w:vAlign w:val="bottom"/>
            <w:shd w:val="clear" w:color="auto" w:fill="004054"/>
          </w:tcPr>
          <w:p>
            <w:pPr>
              <w:spacing w:after="0"/>
              <w:rPr>
                <w:sz w:val="14"/>
                <w:szCs w:val="14"/>
                <w:color w:val="auto"/>
              </w:rPr>
            </w:pPr>
          </w:p>
        </w:tc>
        <w:tc>
          <w:tcPr>
            <w:tcW w:w="280" w:type="dxa"/>
            <w:vAlign w:val="bottom"/>
            <w:shd w:val="clear" w:color="auto" w:fill="004054"/>
          </w:tcPr>
          <w:p>
            <w:pPr>
              <w:spacing w:after="0"/>
              <w:rPr>
                <w:sz w:val="14"/>
                <w:szCs w:val="14"/>
                <w:color w:val="auto"/>
              </w:rPr>
            </w:pPr>
          </w:p>
        </w:tc>
        <w:tc>
          <w:tcPr>
            <w:tcW w:w="1020" w:type="dxa"/>
            <w:vAlign w:val="bottom"/>
            <w:shd w:val="clear" w:color="auto" w:fill="004054"/>
          </w:tcPr>
          <w:p>
            <w:pPr>
              <w:spacing w:after="0"/>
              <w:rPr>
                <w:sz w:val="14"/>
                <w:szCs w:val="14"/>
                <w:color w:val="auto"/>
              </w:rPr>
            </w:pPr>
          </w:p>
        </w:tc>
        <w:tc>
          <w:tcPr>
            <w:tcW w:w="260" w:type="dxa"/>
            <w:vAlign w:val="bottom"/>
            <w:shd w:val="clear" w:color="auto" w:fill="004054"/>
          </w:tcPr>
          <w:p>
            <w:pPr>
              <w:spacing w:after="0"/>
              <w:rPr>
                <w:sz w:val="14"/>
                <w:szCs w:val="14"/>
                <w:color w:val="auto"/>
              </w:rPr>
            </w:pPr>
          </w:p>
        </w:tc>
        <w:tc>
          <w:tcPr>
            <w:tcW w:w="106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80" w:type="dxa"/>
            <w:vAlign w:val="bottom"/>
          </w:tcPr>
          <w:p>
            <w:pPr>
              <w:spacing w:after="0"/>
              <w:rPr>
                <w:sz w:val="14"/>
                <w:szCs w:val="14"/>
                <w:color w:val="auto"/>
              </w:rPr>
            </w:pPr>
          </w:p>
        </w:tc>
        <w:tc>
          <w:tcPr>
            <w:tcW w:w="280" w:type="dxa"/>
            <w:vAlign w:val="bottom"/>
            <w:shd w:val="clear" w:color="auto" w:fill="004054"/>
          </w:tcPr>
          <w:p>
            <w:pPr>
              <w:spacing w:after="0"/>
              <w:rPr>
                <w:sz w:val="14"/>
                <w:szCs w:val="14"/>
                <w:color w:val="auto"/>
              </w:rPr>
            </w:pPr>
          </w:p>
        </w:tc>
        <w:tc>
          <w:tcPr>
            <w:tcW w:w="1020" w:type="dxa"/>
            <w:vAlign w:val="bottom"/>
            <w:shd w:val="clear" w:color="auto" w:fill="004054"/>
          </w:tcPr>
          <w:p>
            <w:pPr>
              <w:spacing w:after="0"/>
              <w:rPr>
                <w:sz w:val="14"/>
                <w:szCs w:val="14"/>
                <w:color w:val="auto"/>
              </w:rPr>
            </w:pPr>
          </w:p>
        </w:tc>
        <w:tc>
          <w:tcPr>
            <w:tcW w:w="260" w:type="dxa"/>
            <w:vAlign w:val="bottom"/>
            <w:shd w:val="clear" w:color="auto" w:fill="004054"/>
          </w:tcPr>
          <w:p>
            <w:pPr>
              <w:spacing w:after="0"/>
              <w:rPr>
                <w:sz w:val="14"/>
                <w:szCs w:val="14"/>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20" w:type="dxa"/>
            <w:vAlign w:val="bottom"/>
            <w:shd w:val="clear" w:color="auto" w:fill="004054"/>
          </w:tcPr>
          <w:p>
            <w:pPr>
              <w:spacing w:after="0"/>
              <w:rPr>
                <w:sz w:val="14"/>
                <w:szCs w:val="14"/>
                <w:color w:val="auto"/>
              </w:rPr>
            </w:pPr>
          </w:p>
        </w:tc>
      </w:tr>
      <w:tr>
        <w:trPr>
          <w:trHeight w:val="243"/>
        </w:trPr>
        <w:tc>
          <w:tcPr>
            <w:tcW w:w="59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 except per share amounts)</w:t>
            </w:r>
          </w:p>
        </w:tc>
        <w:tc>
          <w:tcPr>
            <w:tcW w:w="280" w:type="dxa"/>
            <w:vAlign w:val="bottom"/>
            <w:shd w:val="clear" w:color="auto" w:fill="004054"/>
          </w:tcPr>
          <w:p>
            <w:pPr>
              <w:spacing w:after="0"/>
              <w:rPr>
                <w:sz w:val="21"/>
                <w:szCs w:val="21"/>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60" w:type="dxa"/>
            <w:vAlign w:val="bottom"/>
            <w:shd w:val="clear" w:color="auto" w:fill="004054"/>
          </w:tcPr>
          <w:p>
            <w:pPr>
              <w:spacing w:after="0"/>
              <w:rPr>
                <w:sz w:val="21"/>
                <w:szCs w:val="21"/>
                <w:color w:val="auto"/>
              </w:rPr>
            </w:pPr>
          </w:p>
        </w:tc>
        <w:tc>
          <w:tcPr>
            <w:tcW w:w="106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80" w:type="dxa"/>
            <w:vAlign w:val="bottom"/>
          </w:tcPr>
          <w:p>
            <w:pPr>
              <w:spacing w:after="0"/>
              <w:rPr>
                <w:sz w:val="21"/>
                <w:szCs w:val="21"/>
                <w:color w:val="auto"/>
              </w:rPr>
            </w:pPr>
          </w:p>
        </w:tc>
        <w:tc>
          <w:tcPr>
            <w:tcW w:w="280" w:type="dxa"/>
            <w:vAlign w:val="bottom"/>
            <w:shd w:val="clear" w:color="auto" w:fill="004054"/>
          </w:tcPr>
          <w:p>
            <w:pPr>
              <w:spacing w:after="0"/>
              <w:rPr>
                <w:sz w:val="21"/>
                <w:szCs w:val="21"/>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60" w:type="dxa"/>
            <w:vAlign w:val="bottom"/>
            <w:shd w:val="clear" w:color="auto" w:fill="004054"/>
          </w:tcPr>
          <w:p>
            <w:pPr>
              <w:spacing w:after="0"/>
              <w:rPr>
                <w:sz w:val="21"/>
                <w:szCs w:val="21"/>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21"/>
                <w:szCs w:val="21"/>
                <w:color w:val="auto"/>
              </w:rPr>
            </w:pPr>
          </w:p>
        </w:tc>
      </w:tr>
      <w:tr>
        <w:trPr>
          <w:trHeight w:val="60"/>
        </w:trPr>
        <w:tc>
          <w:tcPr>
            <w:tcW w:w="5940" w:type="dxa"/>
            <w:vAlign w:val="bottom"/>
            <w:tcBorders>
              <w:bottom w:val="single" w:sz="8" w:color="004054"/>
            </w:tcBorders>
            <w:shd w:val="clear" w:color="auto" w:fill="004054"/>
          </w:tcPr>
          <w:p>
            <w:pPr>
              <w:spacing w:after="0"/>
              <w:rPr>
                <w:sz w:val="5"/>
                <w:szCs w:val="5"/>
                <w:color w:val="auto"/>
              </w:rPr>
            </w:pPr>
          </w:p>
        </w:tc>
        <w:tc>
          <w:tcPr>
            <w:tcW w:w="280" w:type="dxa"/>
            <w:vAlign w:val="bottom"/>
            <w:tcBorders>
              <w:bottom w:val="single" w:sz="8" w:color="004054"/>
            </w:tcBorders>
            <w:shd w:val="clear" w:color="auto" w:fill="004054"/>
          </w:tcPr>
          <w:p>
            <w:pPr>
              <w:spacing w:after="0"/>
              <w:rPr>
                <w:sz w:val="5"/>
                <w:szCs w:val="5"/>
                <w:color w:val="auto"/>
              </w:rPr>
            </w:pPr>
          </w:p>
        </w:tc>
        <w:tc>
          <w:tcPr>
            <w:tcW w:w="1020" w:type="dxa"/>
            <w:vAlign w:val="bottom"/>
            <w:tcBorders>
              <w:bottom w:val="single" w:sz="8" w:color="004054"/>
            </w:tcBorders>
            <w:shd w:val="clear" w:color="auto" w:fill="004054"/>
          </w:tcPr>
          <w:p>
            <w:pPr>
              <w:spacing w:after="0"/>
              <w:rPr>
                <w:sz w:val="5"/>
                <w:szCs w:val="5"/>
                <w:color w:val="auto"/>
              </w:rPr>
            </w:pPr>
          </w:p>
        </w:tc>
        <w:tc>
          <w:tcPr>
            <w:tcW w:w="260" w:type="dxa"/>
            <w:vAlign w:val="bottom"/>
            <w:tcBorders>
              <w:bottom w:val="single" w:sz="8" w:color="004054"/>
            </w:tcBorders>
            <w:shd w:val="clear" w:color="auto" w:fill="004054"/>
          </w:tcPr>
          <w:p>
            <w:pPr>
              <w:spacing w:after="0"/>
              <w:rPr>
                <w:sz w:val="5"/>
                <w:szCs w:val="5"/>
                <w:color w:val="auto"/>
              </w:rPr>
            </w:pPr>
          </w:p>
        </w:tc>
        <w:tc>
          <w:tcPr>
            <w:tcW w:w="1060" w:type="dxa"/>
            <w:vAlign w:val="bottom"/>
            <w:tcBorders>
              <w:bottom w:val="single" w:sz="8" w:color="004054"/>
              <w:right w:val="single" w:sz="8" w:color="004054"/>
            </w:tcBorders>
            <w:shd w:val="clear" w:color="auto" w:fill="004054"/>
          </w:tcPr>
          <w:p>
            <w:pPr>
              <w:spacing w:after="0"/>
              <w:rPr>
                <w:sz w:val="5"/>
                <w:szCs w:val="5"/>
                <w:color w:val="auto"/>
              </w:rPr>
            </w:pPr>
          </w:p>
        </w:tc>
        <w:tc>
          <w:tcPr>
            <w:tcW w:w="80" w:type="dxa"/>
            <w:vAlign w:val="bottom"/>
            <w:tcBorders>
              <w:bottom w:val="single" w:sz="8" w:color="EBFBFF"/>
            </w:tcBorders>
          </w:tcPr>
          <w:p>
            <w:pPr>
              <w:spacing w:after="0"/>
              <w:rPr>
                <w:sz w:val="5"/>
                <w:szCs w:val="5"/>
                <w:color w:val="auto"/>
              </w:rPr>
            </w:pPr>
          </w:p>
        </w:tc>
        <w:tc>
          <w:tcPr>
            <w:tcW w:w="280" w:type="dxa"/>
            <w:vAlign w:val="bottom"/>
            <w:tcBorders>
              <w:bottom w:val="single" w:sz="8" w:color="004054"/>
            </w:tcBorders>
            <w:shd w:val="clear" w:color="auto" w:fill="004054"/>
          </w:tcPr>
          <w:p>
            <w:pPr>
              <w:spacing w:after="0"/>
              <w:rPr>
                <w:sz w:val="5"/>
                <w:szCs w:val="5"/>
                <w:color w:val="auto"/>
              </w:rPr>
            </w:pPr>
          </w:p>
        </w:tc>
        <w:tc>
          <w:tcPr>
            <w:tcW w:w="1020" w:type="dxa"/>
            <w:vAlign w:val="bottom"/>
            <w:tcBorders>
              <w:bottom w:val="single" w:sz="8" w:color="004054"/>
            </w:tcBorders>
            <w:shd w:val="clear" w:color="auto" w:fill="004054"/>
          </w:tcPr>
          <w:p>
            <w:pPr>
              <w:spacing w:after="0"/>
              <w:rPr>
                <w:sz w:val="5"/>
                <w:szCs w:val="5"/>
                <w:color w:val="auto"/>
              </w:rPr>
            </w:pPr>
          </w:p>
        </w:tc>
        <w:tc>
          <w:tcPr>
            <w:tcW w:w="260" w:type="dxa"/>
            <w:vAlign w:val="bottom"/>
            <w:tcBorders>
              <w:bottom w:val="single" w:sz="8" w:color="004054"/>
            </w:tcBorders>
            <w:shd w:val="clear" w:color="auto" w:fill="004054"/>
          </w:tcPr>
          <w:p>
            <w:pPr>
              <w:spacing w:after="0"/>
              <w:rPr>
                <w:sz w:val="5"/>
                <w:szCs w:val="5"/>
                <w:color w:val="auto"/>
              </w:rPr>
            </w:pPr>
          </w:p>
        </w:tc>
        <w:tc>
          <w:tcPr>
            <w:tcW w:w="104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r>
      <w:tr>
        <w:trPr>
          <w:trHeight w:val="244"/>
        </w:trPr>
        <w:tc>
          <w:tcPr>
            <w:tcW w:w="594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Numerator:</w:t>
            </w: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right w:val="single" w:sz="8" w:color="EBFBFF"/>
            </w:tcBorders>
            <w:shd w:val="clear" w:color="auto" w:fill="EBFBFF"/>
          </w:tcPr>
          <w:p>
            <w:pPr>
              <w:spacing w:after="0"/>
              <w:rPr>
                <w:sz w:val="21"/>
                <w:szCs w:val="21"/>
                <w:color w:val="auto"/>
              </w:rPr>
            </w:pPr>
          </w:p>
        </w:tc>
        <w:tc>
          <w:tcPr>
            <w:tcW w:w="8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5940" w:type="dxa"/>
            <w:vAlign w:val="bottom"/>
          </w:tcPr>
          <w:p>
            <w:pPr>
              <w:ind w:left="140"/>
              <w:spacing w:after="0"/>
              <w:rPr>
                <w:sz w:val="20"/>
                <w:szCs w:val="20"/>
                <w:color w:val="auto"/>
              </w:rPr>
            </w:pPr>
            <w:r>
              <w:rPr>
                <w:rFonts w:ascii="Calibri" w:cs="Calibri" w:eastAsia="Calibri" w:hAnsi="Calibri"/>
                <w:sz w:val="18"/>
                <w:szCs w:val="18"/>
                <w:color w:val="51555C"/>
              </w:rPr>
              <w:t>Net income (loss)</w:t>
            </w:r>
          </w:p>
        </w:tc>
        <w:tc>
          <w:tcPr>
            <w:tcW w:w="280" w:type="dxa"/>
            <w:vAlign w:val="bottom"/>
          </w:tcPr>
          <w:p>
            <w:pPr>
              <w:jc w:val="right"/>
              <w:ind w:right="7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20,542</w:t>
            </w:r>
          </w:p>
        </w:tc>
        <w:tc>
          <w:tcPr>
            <w:tcW w:w="260" w:type="dxa"/>
            <w:vAlign w:val="bottom"/>
          </w:tcPr>
          <w:p>
            <w:pPr>
              <w:ind w:left="20"/>
              <w:spacing w:after="0"/>
              <w:rPr>
                <w:sz w:val="20"/>
                <w:szCs w:val="20"/>
                <w:color w:val="auto"/>
              </w:rPr>
            </w:pPr>
            <w:r>
              <w:rPr>
                <w:rFonts w:ascii="Calibri" w:cs="Calibri" w:eastAsia="Calibri" w:hAnsi="Calibri"/>
                <w:sz w:val="18"/>
                <w:szCs w:val="18"/>
                <w:color w:val="51555C"/>
              </w:rPr>
              <w:t>$</w:t>
            </w: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9,017</w:t>
            </w:r>
          </w:p>
        </w:tc>
        <w:tc>
          <w:tcPr>
            <w:tcW w:w="360" w:type="dxa"/>
            <w:vAlign w:val="bottom"/>
            <w:gridSpan w:val="2"/>
          </w:tcPr>
          <w:p>
            <w:pPr>
              <w:jc w:val="center"/>
              <w:ind w:right="6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47,592</w:t>
            </w:r>
          </w:p>
        </w:tc>
        <w:tc>
          <w:tcPr>
            <w:tcW w:w="260" w:type="dxa"/>
            <w:vAlign w:val="bottom"/>
          </w:tcPr>
          <w:p>
            <w:pPr>
              <w:jc w:val="right"/>
              <w:ind w:right="55"/>
              <w:spacing w:after="0"/>
              <w:rPr>
                <w:sz w:val="20"/>
                <w:szCs w:val="20"/>
                <w:color w:val="auto"/>
              </w:rPr>
            </w:pPr>
            <w:r>
              <w:rPr>
                <w:rFonts w:ascii="Calibri" w:cs="Calibri" w:eastAsia="Calibri" w:hAnsi="Calibri"/>
                <w:sz w:val="18"/>
                <w:szCs w:val="18"/>
                <w:color w:val="51555C"/>
              </w:rPr>
              <w:t>$</w:t>
            </w: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(3,579)</w:t>
            </w:r>
          </w:p>
        </w:tc>
        <w:tc>
          <w:tcPr>
            <w:tcW w:w="20" w:type="dxa"/>
            <w:vAlign w:val="bottom"/>
          </w:tcPr>
          <w:p>
            <w:pPr>
              <w:spacing w:after="0"/>
              <w:rPr>
                <w:sz w:val="19"/>
                <w:szCs w:val="19"/>
                <w:color w:val="auto"/>
              </w:rPr>
            </w:pPr>
          </w:p>
        </w:tc>
      </w:tr>
      <w:tr>
        <w:trPr>
          <w:trHeight w:val="50"/>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Denominator:</w:t>
            </w: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right w:val="single" w:sz="8" w:color="EBFBFF"/>
            </w:tcBorders>
            <w:shd w:val="clear" w:color="auto" w:fill="EBFBFF"/>
          </w:tcPr>
          <w:p>
            <w:pPr>
              <w:spacing w:after="0"/>
              <w:rPr>
                <w:sz w:val="21"/>
                <w:szCs w:val="21"/>
                <w:color w:val="auto"/>
              </w:rPr>
            </w:pPr>
          </w:p>
        </w:tc>
        <w:tc>
          <w:tcPr>
            <w:tcW w:w="8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5940" w:type="dxa"/>
            <w:vAlign w:val="bottom"/>
          </w:tcPr>
          <w:p>
            <w:pPr>
              <w:ind w:left="140"/>
              <w:spacing w:after="0"/>
              <w:rPr>
                <w:sz w:val="20"/>
                <w:szCs w:val="20"/>
                <w:color w:val="auto"/>
              </w:rPr>
            </w:pPr>
            <w:r>
              <w:rPr>
                <w:rFonts w:ascii="Calibri" w:cs="Calibri" w:eastAsia="Calibri" w:hAnsi="Calibri"/>
                <w:sz w:val="18"/>
                <w:szCs w:val="18"/>
                <w:color w:val="51555C"/>
              </w:rPr>
              <w:t>Weighted average common shares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50,409,292</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52,704,974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51,067,255</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52,495,556</w:t>
            </w:r>
          </w:p>
        </w:tc>
        <w:tc>
          <w:tcPr>
            <w:tcW w:w="20" w:type="dxa"/>
            <w:vAlign w:val="bottom"/>
          </w:tcPr>
          <w:p>
            <w:pPr>
              <w:spacing w:after="0"/>
              <w:rPr>
                <w:sz w:val="19"/>
                <w:szCs w:val="19"/>
                <w:color w:val="auto"/>
              </w:rPr>
            </w:pPr>
          </w:p>
        </w:tc>
      </w:tr>
      <w:tr>
        <w:trPr>
          <w:trHeight w:val="50"/>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9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Add efect of dilutve securites:</w:t>
            </w: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right w:val="single" w:sz="8" w:color="EBFBFF"/>
            </w:tcBorders>
            <w:shd w:val="clear" w:color="auto" w:fill="EBFBFF"/>
          </w:tcPr>
          <w:p>
            <w:pPr>
              <w:spacing w:after="0"/>
              <w:rPr>
                <w:sz w:val="21"/>
                <w:szCs w:val="21"/>
                <w:color w:val="auto"/>
              </w:rPr>
            </w:pPr>
          </w:p>
        </w:tc>
        <w:tc>
          <w:tcPr>
            <w:tcW w:w="8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5940" w:type="dxa"/>
            <w:vAlign w:val="bottom"/>
          </w:tcPr>
          <w:p>
            <w:pPr>
              <w:ind w:left="360"/>
              <w:spacing w:after="0"/>
              <w:rPr>
                <w:sz w:val="20"/>
                <w:szCs w:val="20"/>
                <w:color w:val="auto"/>
              </w:rPr>
            </w:pPr>
            <w:r>
              <w:rPr>
                <w:rFonts w:ascii="Calibri" w:cs="Calibri" w:eastAsia="Calibri" w:hAnsi="Calibri"/>
                <w:sz w:val="18"/>
                <w:szCs w:val="18"/>
                <w:color w:val="51555C"/>
              </w:rPr>
              <w:t>Restricted stock and units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1,223,277</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1,384,923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1,039,892</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19"/>
                <w:szCs w:val="19"/>
                <w:color w:val="auto"/>
              </w:rPr>
            </w:pPr>
          </w:p>
        </w:tc>
      </w:tr>
      <w:tr>
        <w:trPr>
          <w:trHeight w:val="50"/>
        </w:trPr>
        <w:tc>
          <w:tcPr>
            <w:tcW w:w="5940" w:type="dxa"/>
            <w:vAlign w:val="bottom"/>
            <w:tcBorders>
              <w:bottom w:val="single" w:sz="8" w:color="EBFBFF"/>
            </w:tcBorders>
          </w:tcPr>
          <w:p>
            <w:pPr>
              <w:spacing w:after="0"/>
              <w:rPr>
                <w:sz w:val="4"/>
                <w:szCs w:val="4"/>
                <w:color w:val="auto"/>
              </w:rPr>
            </w:pPr>
          </w:p>
        </w:tc>
        <w:tc>
          <w:tcPr>
            <w:tcW w:w="28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1060" w:type="dxa"/>
            <w:vAlign w:val="bottom"/>
            <w:tcBorders>
              <w:bottom w:val="single" w:sz="8" w:color="51555C"/>
            </w:tcBorders>
          </w:tcPr>
          <w:p>
            <w:pPr>
              <w:spacing w:after="0"/>
              <w:rPr>
                <w:sz w:val="4"/>
                <w:szCs w:val="4"/>
                <w:color w:val="auto"/>
              </w:rPr>
            </w:pPr>
          </w:p>
        </w:tc>
        <w:tc>
          <w:tcPr>
            <w:tcW w:w="80" w:type="dxa"/>
            <w:vAlign w:val="bottom"/>
            <w:tcBorders>
              <w:bottom w:val="single" w:sz="8" w:color="EBFBFF"/>
            </w:tcBorders>
          </w:tcPr>
          <w:p>
            <w:pPr>
              <w:spacing w:after="0"/>
              <w:rPr>
                <w:sz w:val="4"/>
                <w:szCs w:val="4"/>
                <w:color w:val="auto"/>
              </w:rPr>
            </w:pPr>
          </w:p>
        </w:tc>
        <w:tc>
          <w:tcPr>
            <w:tcW w:w="28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104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594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Weighted average common shares assuming diluton</w:t>
            </w:r>
          </w:p>
        </w:tc>
        <w:tc>
          <w:tcPr>
            <w:tcW w:w="280" w:type="dxa"/>
            <w:vAlign w:val="bottom"/>
            <w:tcBorders>
              <w:bottom w:val="single" w:sz="8" w:color="EBFBFF"/>
            </w:tcBorders>
            <w:shd w:val="clear" w:color="auto" w:fill="EBFBFF"/>
          </w:tcPr>
          <w:p>
            <w:pPr>
              <w:spacing w:after="0"/>
              <w:rPr>
                <w:sz w:val="22"/>
                <w:szCs w:val="22"/>
                <w:color w:val="auto"/>
              </w:rPr>
            </w:pP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51,632,569</w:t>
            </w:r>
          </w:p>
        </w:tc>
        <w:tc>
          <w:tcPr>
            <w:tcW w:w="260" w:type="dxa"/>
            <w:vAlign w:val="bottom"/>
            <w:tcBorders>
              <w:bottom w:val="single" w:sz="8" w:color="EBFBFF"/>
            </w:tcBorders>
            <w:shd w:val="clear" w:color="auto" w:fill="EBFBFF"/>
          </w:tcPr>
          <w:p>
            <w:pPr>
              <w:spacing w:after="0"/>
              <w:rPr>
                <w:sz w:val="22"/>
                <w:szCs w:val="22"/>
                <w:color w:val="auto"/>
              </w:rPr>
            </w:pPr>
          </w:p>
        </w:tc>
        <w:tc>
          <w:tcPr>
            <w:tcW w:w="1060" w:type="dxa"/>
            <w:vAlign w:val="bottom"/>
            <w:tcBorders>
              <w:bottom w:val="single" w:sz="8" w:color="EBFBFF"/>
              <w:right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54,089,897</w:t>
            </w:r>
          </w:p>
        </w:tc>
        <w:tc>
          <w:tcPr>
            <w:tcW w:w="80" w:type="dxa"/>
            <w:vAlign w:val="bottom"/>
            <w:tcBorders>
              <w:bottom w:val="single" w:sz="8" w:color="EBFBFF"/>
            </w:tcBorders>
            <w:shd w:val="clear" w:color="auto" w:fill="EBFBFF"/>
          </w:tcPr>
          <w:p>
            <w:pPr>
              <w:spacing w:after="0"/>
              <w:rPr>
                <w:sz w:val="22"/>
                <w:szCs w:val="22"/>
                <w:color w:val="auto"/>
              </w:rPr>
            </w:pPr>
          </w:p>
        </w:tc>
        <w:tc>
          <w:tcPr>
            <w:tcW w:w="280" w:type="dxa"/>
            <w:vAlign w:val="bottom"/>
            <w:tcBorders>
              <w:bottom w:val="single" w:sz="8" w:color="EBFBFF"/>
            </w:tcBorders>
            <w:shd w:val="clear" w:color="auto" w:fill="EBFBFF"/>
          </w:tcPr>
          <w:p>
            <w:pPr>
              <w:spacing w:after="0"/>
              <w:rPr>
                <w:sz w:val="22"/>
                <w:szCs w:val="22"/>
                <w:color w:val="auto"/>
              </w:rPr>
            </w:pP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52,107,147</w:t>
            </w:r>
          </w:p>
        </w:tc>
        <w:tc>
          <w:tcPr>
            <w:tcW w:w="260" w:type="dxa"/>
            <w:vAlign w:val="bottom"/>
            <w:tcBorders>
              <w:bottom w:val="single" w:sz="8" w:color="EBFBFF"/>
            </w:tcBorders>
            <w:shd w:val="clear" w:color="auto" w:fill="EBFBFF"/>
          </w:tcPr>
          <w:p>
            <w:pPr>
              <w:spacing w:after="0"/>
              <w:rPr>
                <w:sz w:val="22"/>
                <w:szCs w:val="22"/>
                <w:color w:val="auto"/>
              </w:rPr>
            </w:pPr>
          </w:p>
        </w:tc>
        <w:tc>
          <w:tcPr>
            <w:tcW w:w="10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52,495,556</w:t>
            </w:r>
          </w:p>
        </w:tc>
        <w:tc>
          <w:tcPr>
            <w:tcW w:w="20" w:type="dxa"/>
            <w:vAlign w:val="bottom"/>
          </w:tcPr>
          <w:p>
            <w:pPr>
              <w:spacing w:after="0"/>
              <w:rPr>
                <w:sz w:val="22"/>
                <w:szCs w:val="22"/>
                <w:color w:val="auto"/>
              </w:rPr>
            </w:pPr>
          </w:p>
        </w:tc>
      </w:tr>
      <w:tr>
        <w:trPr>
          <w:trHeight w:val="200"/>
        </w:trPr>
        <w:tc>
          <w:tcPr>
            <w:tcW w:w="5940" w:type="dxa"/>
            <w:vAlign w:val="bottom"/>
          </w:tcPr>
          <w:p>
            <w:pPr>
              <w:ind w:left="20"/>
              <w:spacing w:after="0" w:line="199" w:lineRule="exact"/>
              <w:rPr>
                <w:sz w:val="20"/>
                <w:szCs w:val="20"/>
                <w:color w:val="auto"/>
              </w:rPr>
            </w:pPr>
            <w:r>
              <w:rPr>
                <w:rFonts w:ascii="Calibri" w:cs="Calibri" w:eastAsia="Calibri" w:hAnsi="Calibri"/>
                <w:sz w:val="18"/>
                <w:szCs w:val="18"/>
                <w:color w:val="51555C"/>
              </w:rPr>
              <w:t>Earnings (loss) per share</w:t>
            </w:r>
          </w:p>
        </w:tc>
        <w:tc>
          <w:tcPr>
            <w:tcW w:w="280" w:type="dxa"/>
            <w:vAlign w:val="bottom"/>
            <w:tcBorders>
              <w:top w:val="single" w:sz="8" w:color="51555C"/>
            </w:tcBorders>
          </w:tcPr>
          <w:p>
            <w:pPr>
              <w:spacing w:after="0"/>
              <w:rPr>
                <w:sz w:val="17"/>
                <w:szCs w:val="17"/>
                <w:color w:val="auto"/>
              </w:rPr>
            </w:pPr>
          </w:p>
        </w:tc>
        <w:tc>
          <w:tcPr>
            <w:tcW w:w="1020" w:type="dxa"/>
            <w:vAlign w:val="bottom"/>
            <w:tcBorders>
              <w:top w:val="single" w:sz="8" w:color="51555C"/>
            </w:tcBorders>
          </w:tcPr>
          <w:p>
            <w:pPr>
              <w:spacing w:after="0"/>
              <w:rPr>
                <w:sz w:val="17"/>
                <w:szCs w:val="17"/>
                <w:color w:val="auto"/>
              </w:rPr>
            </w:pPr>
          </w:p>
        </w:tc>
        <w:tc>
          <w:tcPr>
            <w:tcW w:w="260" w:type="dxa"/>
            <w:vAlign w:val="bottom"/>
            <w:tcBorders>
              <w:top w:val="single" w:sz="8" w:color="51555C"/>
            </w:tcBorders>
          </w:tcPr>
          <w:p>
            <w:pPr>
              <w:spacing w:after="0"/>
              <w:rPr>
                <w:sz w:val="17"/>
                <w:szCs w:val="17"/>
                <w:color w:val="auto"/>
              </w:rPr>
            </w:pPr>
          </w:p>
        </w:tc>
        <w:tc>
          <w:tcPr>
            <w:tcW w:w="1060" w:type="dxa"/>
            <w:vAlign w:val="bottom"/>
            <w:tcBorders>
              <w:top w:val="single" w:sz="8" w:color="51555C"/>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51555C"/>
            </w:tcBorders>
          </w:tcPr>
          <w:p>
            <w:pPr>
              <w:spacing w:after="0"/>
              <w:rPr>
                <w:sz w:val="17"/>
                <w:szCs w:val="17"/>
                <w:color w:val="auto"/>
              </w:rPr>
            </w:pPr>
          </w:p>
        </w:tc>
        <w:tc>
          <w:tcPr>
            <w:tcW w:w="1020" w:type="dxa"/>
            <w:vAlign w:val="bottom"/>
            <w:tcBorders>
              <w:top w:val="single" w:sz="8" w:color="51555C"/>
            </w:tcBorders>
          </w:tcPr>
          <w:p>
            <w:pPr>
              <w:spacing w:after="0"/>
              <w:rPr>
                <w:sz w:val="17"/>
                <w:szCs w:val="17"/>
                <w:color w:val="auto"/>
              </w:rPr>
            </w:pPr>
          </w:p>
        </w:tc>
        <w:tc>
          <w:tcPr>
            <w:tcW w:w="260" w:type="dxa"/>
            <w:vAlign w:val="bottom"/>
            <w:tcBorders>
              <w:top w:val="single" w:sz="8" w:color="51555C"/>
            </w:tcBorders>
          </w:tcPr>
          <w:p>
            <w:pPr>
              <w:spacing w:after="0"/>
              <w:rPr>
                <w:sz w:val="17"/>
                <w:szCs w:val="17"/>
                <w:color w:val="auto"/>
              </w:rPr>
            </w:pPr>
          </w:p>
        </w:tc>
        <w:tc>
          <w:tcPr>
            <w:tcW w:w="1040" w:type="dxa"/>
            <w:vAlign w:val="bottom"/>
            <w:tcBorders>
              <w:top w:val="single" w:sz="8" w:color="51555C"/>
            </w:tcBorders>
          </w:tcPr>
          <w:p>
            <w:pPr>
              <w:spacing w:after="0"/>
              <w:rPr>
                <w:sz w:val="17"/>
                <w:szCs w:val="17"/>
                <w:color w:val="auto"/>
              </w:rPr>
            </w:pPr>
          </w:p>
        </w:tc>
        <w:tc>
          <w:tcPr>
            <w:tcW w:w="20" w:type="dxa"/>
            <w:vAlign w:val="bottom"/>
          </w:tcPr>
          <w:p>
            <w:pPr>
              <w:spacing w:after="0"/>
              <w:rPr>
                <w:sz w:val="17"/>
                <w:szCs w:val="17"/>
                <w:color w:val="auto"/>
              </w:rPr>
            </w:pPr>
          </w:p>
        </w:tc>
      </w:tr>
      <w:tr>
        <w:trPr>
          <w:trHeight w:val="50"/>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9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Basic</w:t>
            </w: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0.41</w:t>
            </w:r>
          </w:p>
        </w:tc>
        <w:tc>
          <w:tcPr>
            <w:tcW w:w="2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w:t>
            </w:r>
          </w:p>
        </w:tc>
        <w:tc>
          <w:tcPr>
            <w:tcW w:w="10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0.17</w:t>
            </w:r>
          </w:p>
        </w:tc>
        <w:tc>
          <w:tcPr>
            <w:tcW w:w="360" w:type="dxa"/>
            <w:vAlign w:val="bottom"/>
            <w:tcBorders>
              <w:bottom w:val="single" w:sz="8" w:color="EBFBFF"/>
            </w:tcBorders>
            <w:gridSpan w:val="2"/>
            <w:shd w:val="clear" w:color="auto" w:fill="EBFBFF"/>
          </w:tcPr>
          <w:p>
            <w:pPr>
              <w:jc w:val="center"/>
              <w:ind w:right="60"/>
              <w:spacing w:after="0"/>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0.93</w:t>
            </w:r>
          </w:p>
        </w:tc>
        <w:tc>
          <w:tcPr>
            <w:tcW w:w="260" w:type="dxa"/>
            <w:vAlign w:val="bottom"/>
            <w:tcBorders>
              <w:bottom w:val="single" w:sz="8" w:color="EBFBFF"/>
            </w:tcBorders>
            <w:shd w:val="clear" w:color="auto" w:fill="EBFBFF"/>
          </w:tcPr>
          <w:p>
            <w:pPr>
              <w:jc w:val="right"/>
              <w:ind w:right="55"/>
              <w:spacing w:after="0"/>
              <w:rPr>
                <w:sz w:val="20"/>
                <w:szCs w:val="20"/>
                <w:color w:val="auto"/>
              </w:rPr>
            </w:pPr>
            <w:r>
              <w:rPr>
                <w:rFonts w:ascii="Calibri" w:cs="Calibri" w:eastAsia="Calibri" w:hAnsi="Calibri"/>
                <w:sz w:val="18"/>
                <w:szCs w:val="18"/>
                <w:color w:val="51555C"/>
              </w:rPr>
              <w:t>$</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(0.07)</w:t>
            </w:r>
          </w:p>
        </w:tc>
        <w:tc>
          <w:tcPr>
            <w:tcW w:w="20" w:type="dxa"/>
            <w:vAlign w:val="bottom"/>
          </w:tcPr>
          <w:p>
            <w:pPr>
              <w:spacing w:after="0"/>
              <w:rPr>
                <w:sz w:val="21"/>
                <w:szCs w:val="21"/>
                <w:color w:val="auto"/>
              </w:rPr>
            </w:pPr>
          </w:p>
        </w:tc>
      </w:tr>
      <w:tr>
        <w:trPr>
          <w:trHeight w:val="220"/>
        </w:trPr>
        <w:tc>
          <w:tcPr>
            <w:tcW w:w="5940" w:type="dxa"/>
            <w:vAlign w:val="bottom"/>
          </w:tcPr>
          <w:p>
            <w:pPr>
              <w:ind w:left="140"/>
              <w:spacing w:after="0"/>
              <w:rPr>
                <w:sz w:val="20"/>
                <w:szCs w:val="20"/>
                <w:color w:val="auto"/>
              </w:rPr>
            </w:pPr>
            <w:r>
              <w:rPr>
                <w:rFonts w:ascii="Calibri" w:cs="Calibri" w:eastAsia="Calibri" w:hAnsi="Calibri"/>
                <w:sz w:val="18"/>
                <w:szCs w:val="18"/>
                <w:color w:val="51555C"/>
              </w:rPr>
              <w:t>Diluted</w:t>
            </w:r>
          </w:p>
        </w:tc>
        <w:tc>
          <w:tcPr>
            <w:tcW w:w="280" w:type="dxa"/>
            <w:vAlign w:val="bottom"/>
          </w:tcPr>
          <w:p>
            <w:pPr>
              <w:jc w:val="right"/>
              <w:ind w:right="7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0.40</w:t>
            </w:r>
          </w:p>
        </w:tc>
        <w:tc>
          <w:tcPr>
            <w:tcW w:w="260" w:type="dxa"/>
            <w:vAlign w:val="bottom"/>
          </w:tcPr>
          <w:p>
            <w:pPr>
              <w:ind w:left="20"/>
              <w:spacing w:after="0"/>
              <w:rPr>
                <w:sz w:val="20"/>
                <w:szCs w:val="20"/>
                <w:color w:val="auto"/>
              </w:rPr>
            </w:pPr>
            <w:r>
              <w:rPr>
                <w:rFonts w:ascii="Calibri" w:cs="Calibri" w:eastAsia="Calibri" w:hAnsi="Calibri"/>
                <w:sz w:val="18"/>
                <w:szCs w:val="18"/>
                <w:color w:val="51555C"/>
              </w:rPr>
              <w:t>$</w:t>
            </w: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0.17</w:t>
            </w:r>
          </w:p>
        </w:tc>
        <w:tc>
          <w:tcPr>
            <w:tcW w:w="360" w:type="dxa"/>
            <w:vAlign w:val="bottom"/>
            <w:gridSpan w:val="2"/>
          </w:tcPr>
          <w:p>
            <w:pPr>
              <w:jc w:val="center"/>
              <w:ind w:right="6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0.91</w:t>
            </w:r>
          </w:p>
        </w:tc>
        <w:tc>
          <w:tcPr>
            <w:tcW w:w="260" w:type="dxa"/>
            <w:vAlign w:val="bottom"/>
          </w:tcPr>
          <w:p>
            <w:pPr>
              <w:jc w:val="right"/>
              <w:ind w:right="55"/>
              <w:spacing w:after="0"/>
              <w:rPr>
                <w:sz w:val="20"/>
                <w:szCs w:val="20"/>
                <w:color w:val="auto"/>
              </w:rPr>
            </w:pPr>
            <w:r>
              <w:rPr>
                <w:rFonts w:ascii="Calibri" w:cs="Calibri" w:eastAsia="Calibri" w:hAnsi="Calibri"/>
                <w:sz w:val="18"/>
                <w:szCs w:val="18"/>
                <w:color w:val="51555C"/>
              </w:rPr>
              <w:t>$</w:t>
            </w: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(0.07)</w:t>
            </w:r>
          </w:p>
        </w:tc>
        <w:tc>
          <w:tcPr>
            <w:tcW w:w="20" w:type="dxa"/>
            <w:vAlign w:val="bottom"/>
          </w:tcPr>
          <w:p>
            <w:pPr>
              <w:spacing w:after="0"/>
              <w:rPr>
                <w:sz w:val="19"/>
                <w:szCs w:val="19"/>
                <w:color w:val="auto"/>
              </w:rPr>
            </w:pPr>
          </w:p>
        </w:tc>
      </w:tr>
      <w:tr>
        <w:trPr>
          <w:trHeight w:val="50"/>
        </w:trPr>
        <w:tc>
          <w:tcPr>
            <w:tcW w:w="5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940" w:type="dxa"/>
            <w:vAlign w:val="bottom"/>
            <w:shd w:val="clear" w:color="auto" w:fill="EBFBFF"/>
          </w:tcPr>
          <w:p>
            <w:pPr>
              <w:spacing w:after="0"/>
              <w:rPr>
                <w:sz w:val="23"/>
                <w:szCs w:val="23"/>
                <w:color w:val="auto"/>
              </w:rPr>
            </w:pPr>
          </w:p>
        </w:tc>
        <w:tc>
          <w:tcPr>
            <w:tcW w:w="280" w:type="dxa"/>
            <w:vAlign w:val="bottom"/>
            <w:shd w:val="clear" w:color="auto" w:fill="EBFBFF"/>
          </w:tcPr>
          <w:p>
            <w:pPr>
              <w:spacing w:after="0"/>
              <w:rPr>
                <w:sz w:val="23"/>
                <w:szCs w:val="23"/>
                <w:color w:val="auto"/>
              </w:rPr>
            </w:pPr>
          </w:p>
        </w:tc>
        <w:tc>
          <w:tcPr>
            <w:tcW w:w="1020" w:type="dxa"/>
            <w:vAlign w:val="bottom"/>
            <w:shd w:val="clear" w:color="auto" w:fill="EBFBFF"/>
          </w:tcPr>
          <w:p>
            <w:pPr>
              <w:spacing w:after="0"/>
              <w:rPr>
                <w:sz w:val="23"/>
                <w:szCs w:val="23"/>
                <w:color w:val="auto"/>
              </w:rPr>
            </w:pPr>
          </w:p>
        </w:tc>
        <w:tc>
          <w:tcPr>
            <w:tcW w:w="260" w:type="dxa"/>
            <w:vAlign w:val="bottom"/>
            <w:shd w:val="clear" w:color="auto" w:fill="EBFBFF"/>
          </w:tcPr>
          <w:p>
            <w:pPr>
              <w:spacing w:after="0"/>
              <w:rPr>
                <w:sz w:val="23"/>
                <w:szCs w:val="23"/>
                <w:color w:val="auto"/>
              </w:rPr>
            </w:pPr>
          </w:p>
        </w:tc>
        <w:tc>
          <w:tcPr>
            <w:tcW w:w="1060" w:type="dxa"/>
            <w:vAlign w:val="bottom"/>
            <w:tcBorders>
              <w:right w:val="single" w:sz="8" w:color="EBFBFF"/>
            </w:tcBorders>
            <w:shd w:val="clear" w:color="auto" w:fill="EBFBFF"/>
          </w:tcPr>
          <w:p>
            <w:pPr>
              <w:spacing w:after="0"/>
              <w:rPr>
                <w:sz w:val="23"/>
                <w:szCs w:val="23"/>
                <w:color w:val="auto"/>
              </w:rPr>
            </w:pPr>
          </w:p>
        </w:tc>
        <w:tc>
          <w:tcPr>
            <w:tcW w:w="80" w:type="dxa"/>
            <w:vAlign w:val="bottom"/>
            <w:shd w:val="clear" w:color="auto" w:fill="EBFBFF"/>
          </w:tcPr>
          <w:p>
            <w:pPr>
              <w:spacing w:after="0"/>
              <w:rPr>
                <w:sz w:val="23"/>
                <w:szCs w:val="23"/>
                <w:color w:val="auto"/>
              </w:rPr>
            </w:pPr>
          </w:p>
        </w:tc>
        <w:tc>
          <w:tcPr>
            <w:tcW w:w="280" w:type="dxa"/>
            <w:vAlign w:val="bottom"/>
            <w:shd w:val="clear" w:color="auto" w:fill="EBFBFF"/>
          </w:tcPr>
          <w:p>
            <w:pPr>
              <w:spacing w:after="0"/>
              <w:rPr>
                <w:sz w:val="23"/>
                <w:szCs w:val="23"/>
                <w:color w:val="auto"/>
              </w:rPr>
            </w:pPr>
          </w:p>
        </w:tc>
        <w:tc>
          <w:tcPr>
            <w:tcW w:w="1020" w:type="dxa"/>
            <w:vAlign w:val="bottom"/>
            <w:shd w:val="clear" w:color="auto" w:fill="EBFBFF"/>
          </w:tcPr>
          <w:p>
            <w:pPr>
              <w:spacing w:after="0"/>
              <w:rPr>
                <w:sz w:val="23"/>
                <w:szCs w:val="23"/>
                <w:color w:val="auto"/>
              </w:rPr>
            </w:pPr>
          </w:p>
        </w:tc>
        <w:tc>
          <w:tcPr>
            <w:tcW w:w="260" w:type="dxa"/>
            <w:vAlign w:val="bottom"/>
            <w:shd w:val="clear" w:color="auto" w:fill="EBFBFF"/>
          </w:tcPr>
          <w:p>
            <w:pPr>
              <w:spacing w:after="0"/>
              <w:rPr>
                <w:sz w:val="23"/>
                <w:szCs w:val="23"/>
                <w:color w:val="auto"/>
              </w:rPr>
            </w:pPr>
          </w:p>
        </w:tc>
        <w:tc>
          <w:tcPr>
            <w:tcW w:w="104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5940" w:type="dxa"/>
            <w:vAlign w:val="bottom"/>
          </w:tcPr>
          <w:p>
            <w:pPr>
              <w:ind w:left="20"/>
              <w:spacing w:after="0"/>
              <w:rPr>
                <w:sz w:val="20"/>
                <w:szCs w:val="20"/>
                <w:color w:val="auto"/>
              </w:rPr>
            </w:pPr>
            <w:r>
              <w:rPr>
                <w:rFonts w:ascii="Calibri" w:cs="Calibri" w:eastAsia="Calibri" w:hAnsi="Calibri"/>
                <w:sz w:val="18"/>
                <w:szCs w:val="18"/>
                <w:color w:val="51555C"/>
              </w:rPr>
              <w:t>Ant-dilutve shares excluded from calculatons of diluted earnings (loss) per share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47,210</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21,660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380,392</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474,150</w:t>
            </w:r>
          </w:p>
        </w:tc>
        <w:tc>
          <w:tcPr>
            <w:tcW w:w="20" w:type="dxa"/>
            <w:vAlign w:val="bottom"/>
          </w:tcPr>
          <w:p>
            <w:pPr>
              <w:spacing w:after="0"/>
              <w:rPr>
                <w:sz w:val="19"/>
                <w:szCs w:val="19"/>
                <w:color w:val="auto"/>
              </w:rPr>
            </w:pPr>
          </w:p>
        </w:tc>
      </w:tr>
      <w:tr>
        <w:trPr>
          <w:trHeight w:val="50"/>
        </w:trPr>
        <w:tc>
          <w:tcPr>
            <w:tcW w:w="5940" w:type="dxa"/>
            <w:vAlign w:val="bottom"/>
            <w:tcBorders>
              <w:bottom w:val="single" w:sz="8" w:color="0CD973"/>
            </w:tcBorders>
          </w:tcPr>
          <w:p>
            <w:pPr>
              <w:spacing w:after="0"/>
              <w:rPr>
                <w:sz w:val="4"/>
                <w:szCs w:val="4"/>
                <w:color w:val="auto"/>
              </w:rPr>
            </w:pPr>
          </w:p>
        </w:tc>
        <w:tc>
          <w:tcPr>
            <w:tcW w:w="280" w:type="dxa"/>
            <w:vAlign w:val="bottom"/>
            <w:tcBorders>
              <w:bottom w:val="single" w:sz="8" w:color="0CD973"/>
            </w:tcBorders>
          </w:tcPr>
          <w:p>
            <w:pPr>
              <w:spacing w:after="0"/>
              <w:rPr>
                <w:sz w:val="4"/>
                <w:szCs w:val="4"/>
                <w:color w:val="auto"/>
              </w:rPr>
            </w:pPr>
          </w:p>
        </w:tc>
        <w:tc>
          <w:tcPr>
            <w:tcW w:w="1020" w:type="dxa"/>
            <w:vAlign w:val="bottom"/>
            <w:tcBorders>
              <w:bottom w:val="single" w:sz="8" w:color="0CD973"/>
            </w:tcBorders>
          </w:tcPr>
          <w:p>
            <w:pPr>
              <w:spacing w:after="0"/>
              <w:rPr>
                <w:sz w:val="4"/>
                <w:szCs w:val="4"/>
                <w:color w:val="auto"/>
              </w:rPr>
            </w:pPr>
          </w:p>
        </w:tc>
        <w:tc>
          <w:tcPr>
            <w:tcW w:w="260" w:type="dxa"/>
            <w:vAlign w:val="bottom"/>
            <w:tcBorders>
              <w:bottom w:val="single" w:sz="8" w:color="0CD973"/>
            </w:tcBorders>
          </w:tcPr>
          <w:p>
            <w:pPr>
              <w:spacing w:after="0"/>
              <w:rPr>
                <w:sz w:val="4"/>
                <w:szCs w:val="4"/>
                <w:color w:val="auto"/>
              </w:rPr>
            </w:pPr>
          </w:p>
        </w:tc>
        <w:tc>
          <w:tcPr>
            <w:tcW w:w="1060" w:type="dxa"/>
            <w:vAlign w:val="bottom"/>
            <w:tcBorders>
              <w:bottom w:val="single" w:sz="8" w:color="0CD973"/>
            </w:tcBorders>
          </w:tcPr>
          <w:p>
            <w:pPr>
              <w:spacing w:after="0"/>
              <w:rPr>
                <w:sz w:val="4"/>
                <w:szCs w:val="4"/>
                <w:color w:val="auto"/>
              </w:rPr>
            </w:pPr>
          </w:p>
        </w:tc>
        <w:tc>
          <w:tcPr>
            <w:tcW w:w="80" w:type="dxa"/>
            <w:vAlign w:val="bottom"/>
            <w:tcBorders>
              <w:bottom w:val="single" w:sz="8" w:color="0CD973"/>
            </w:tcBorders>
          </w:tcPr>
          <w:p>
            <w:pPr>
              <w:spacing w:after="0"/>
              <w:rPr>
                <w:sz w:val="4"/>
                <w:szCs w:val="4"/>
                <w:color w:val="auto"/>
              </w:rPr>
            </w:pPr>
          </w:p>
        </w:tc>
        <w:tc>
          <w:tcPr>
            <w:tcW w:w="1300" w:type="dxa"/>
            <w:vAlign w:val="bottom"/>
            <w:tcBorders>
              <w:bottom w:val="single" w:sz="8" w:color="0CD973"/>
            </w:tcBorders>
            <w:gridSpan w:val="2"/>
          </w:tcPr>
          <w:p>
            <w:pPr>
              <w:spacing w:after="0"/>
              <w:rPr>
                <w:sz w:val="4"/>
                <w:szCs w:val="4"/>
                <w:color w:val="auto"/>
              </w:rPr>
            </w:pPr>
          </w:p>
        </w:tc>
        <w:tc>
          <w:tcPr>
            <w:tcW w:w="260" w:type="dxa"/>
            <w:vAlign w:val="bottom"/>
            <w:tcBorders>
              <w:bottom w:val="single" w:sz="8" w:color="0CD973"/>
            </w:tcBorders>
          </w:tcPr>
          <w:p>
            <w:pPr>
              <w:spacing w:after="0"/>
              <w:rPr>
                <w:sz w:val="4"/>
                <w:szCs w:val="4"/>
                <w:color w:val="auto"/>
              </w:rPr>
            </w:pPr>
          </w:p>
        </w:tc>
        <w:tc>
          <w:tcPr>
            <w:tcW w:w="104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r>
        <w:trPr>
          <w:trHeight w:val="648"/>
        </w:trPr>
        <w:tc>
          <w:tcPr>
            <w:tcW w:w="5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4"/>
          </w:tcPr>
          <w:p>
            <w:pPr>
              <w:jc w:val="center"/>
              <w:spacing w:after="0"/>
              <w:rPr>
                <w:sz w:val="20"/>
                <w:szCs w:val="20"/>
                <w:color w:val="auto"/>
              </w:rPr>
            </w:pPr>
            <w:r>
              <w:rPr>
                <w:rFonts w:ascii="Calibri" w:cs="Calibri" w:eastAsia="Calibri" w:hAnsi="Calibri"/>
                <w:sz w:val="14"/>
                <w:szCs w:val="14"/>
                <w:color w:val="51555C"/>
              </w:rPr>
              <w:t>Third Quarter 2024 Form 10-Q</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9</w:t>
            </w:r>
          </w:p>
        </w:tc>
        <w:tc>
          <w:tcPr>
            <w:tcW w:w="20" w:type="dxa"/>
            <w:vAlign w:val="bottom"/>
          </w:tcPr>
          <w:p>
            <w:pPr>
              <w:spacing w:after="0"/>
              <w:rPr>
                <w:sz w:val="24"/>
                <w:szCs w:val="24"/>
                <w:color w:val="auto"/>
              </w:rPr>
            </w:pPr>
          </w:p>
        </w:tc>
      </w:tr>
      <w:tr>
        <w:trPr>
          <w:trHeight w:val="365"/>
        </w:trPr>
        <w:tc>
          <w:tcPr>
            <w:tcW w:w="5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-2896870</wp:posOffset>
            </wp:positionV>
            <wp:extent cx="33686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867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5.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Calibri" w:cs="Calibri" w:eastAsia="Calibri" w:hAnsi="Calibri"/>
          <w:sz w:val="18"/>
          <w:szCs w:val="18"/>
          <w:color w:val="51555C"/>
        </w:rPr>
        <w:t>We use a three-ter fair value hierarchy to measure fair value. This hierarchy prioritzes the inputs into three broad levels as follows:</w:t>
      </w:r>
    </w:p>
    <w:p>
      <w:pPr>
        <w:spacing w:after="0" w:line="158" w:lineRule="exact"/>
        <w:rPr>
          <w:sz w:val="20"/>
          <w:szCs w:val="20"/>
          <w:color w:val="auto"/>
        </w:rPr>
      </w:pPr>
    </w:p>
    <w:p>
      <w:pPr>
        <w:ind w:left="720" w:hanging="307"/>
        <w:spacing w:after="0"/>
        <w:tabs>
          <w:tab w:leader="none" w:pos="72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Level 1 - Quoted prices for identcal assets or liabilites in actve markets;</w:t>
      </w:r>
    </w:p>
    <w:p>
      <w:pPr>
        <w:spacing w:after="0" w:line="163" w:lineRule="exact"/>
        <w:rPr>
          <w:rFonts w:ascii="Calibri" w:cs="Calibri" w:eastAsia="Calibri" w:hAnsi="Calibri"/>
          <w:sz w:val="18"/>
          <w:szCs w:val="18"/>
          <w:color w:val="51555C"/>
        </w:rPr>
      </w:pPr>
    </w:p>
    <w:p>
      <w:pPr>
        <w:ind w:left="740" w:right="20" w:hanging="327"/>
        <w:spacing w:after="0" w:line="235" w:lineRule="auto"/>
        <w:tabs>
          <w:tab w:leader="none" w:pos="733"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Level 2 - Quoted prices for similar assets and liabilites in actve markets, quoted prices for identcal or similar assets in markets that are not actve, and model-derived valuatons in which all signifcant inputs and signifcant value drivers are observable in actve markets; and</w:t>
      </w:r>
    </w:p>
    <w:p>
      <w:pPr>
        <w:spacing w:after="0" w:line="158" w:lineRule="exact"/>
        <w:rPr>
          <w:rFonts w:ascii="Calibri" w:cs="Calibri" w:eastAsia="Calibri" w:hAnsi="Calibri"/>
          <w:sz w:val="18"/>
          <w:szCs w:val="18"/>
          <w:color w:val="51555C"/>
        </w:rPr>
      </w:pPr>
    </w:p>
    <w:p>
      <w:pPr>
        <w:ind w:left="720" w:hanging="307"/>
        <w:spacing w:after="0"/>
        <w:tabs>
          <w:tab w:leader="none" w:pos="72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Level 3 - Valuatons derived from valuaton techniques in which one or more signifcant inputs are unobservable.</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Recurring fair value measurements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Financial assets and liabilites that are measured at fair value on a recurring basis consisted of the following, as of the dates indicated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shd w:val="clear" w:color="auto" w:fill="004054"/>
          </w:tcPr>
          <w:p>
            <w:pPr>
              <w:spacing w:after="0"/>
              <w:rPr>
                <w:sz w:val="16"/>
                <w:szCs w:val="16"/>
                <w:color w:val="auto"/>
              </w:rPr>
            </w:pPr>
          </w:p>
        </w:tc>
        <w:tc>
          <w:tcPr>
            <w:tcW w:w="160" w:type="dxa"/>
            <w:vAlign w:val="bottom"/>
            <w:shd w:val="clear" w:color="auto" w:fill="004054"/>
          </w:tcPr>
          <w:p>
            <w:pPr>
              <w:spacing w:after="0"/>
              <w:rPr>
                <w:sz w:val="16"/>
                <w:szCs w:val="16"/>
                <w:color w:val="auto"/>
              </w:rPr>
            </w:pPr>
          </w:p>
        </w:tc>
        <w:tc>
          <w:tcPr>
            <w:tcW w:w="132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2880" w:type="dxa"/>
            <w:vAlign w:val="bottom"/>
            <w:gridSpan w:val="4"/>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Fair value measurement using</w:t>
            </w:r>
          </w:p>
        </w:tc>
        <w:tc>
          <w:tcPr>
            <w:tcW w:w="100" w:type="dxa"/>
            <w:vAlign w:val="bottom"/>
            <w:shd w:val="clear" w:color="auto" w:fill="004054"/>
          </w:tcPr>
          <w:p>
            <w:pPr>
              <w:spacing w:after="0"/>
              <w:rPr>
                <w:sz w:val="16"/>
                <w:szCs w:val="16"/>
                <w:color w:val="auto"/>
              </w:rPr>
            </w:pPr>
          </w:p>
        </w:tc>
        <w:tc>
          <w:tcPr>
            <w:tcW w:w="52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40" w:type="dxa"/>
            <w:vAlign w:val="bottom"/>
            <w:shd w:val="clear" w:color="auto" w:fill="004054"/>
          </w:tcPr>
          <w:p>
            <w:pPr>
              <w:spacing w:after="0"/>
              <w:rPr>
                <w:sz w:val="20"/>
                <w:szCs w:val="20"/>
                <w:color w:val="auto"/>
              </w:rPr>
            </w:pPr>
          </w:p>
        </w:tc>
        <w:tc>
          <w:tcPr>
            <w:tcW w:w="1480" w:type="dxa"/>
            <w:vAlign w:val="bottom"/>
            <w:gridSpan w:val="2"/>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Quoted Prices in Actve</w:t>
            </w:r>
          </w:p>
        </w:tc>
        <w:tc>
          <w:tcPr>
            <w:tcW w:w="100" w:type="dxa"/>
            <w:vAlign w:val="bottom"/>
            <w:shd w:val="clear" w:color="auto" w:fill="004054"/>
          </w:tcPr>
          <w:p>
            <w:pPr>
              <w:spacing w:after="0"/>
              <w:rPr>
                <w:sz w:val="20"/>
                <w:szCs w:val="20"/>
                <w:color w:val="auto"/>
              </w:rPr>
            </w:pPr>
          </w:p>
        </w:tc>
        <w:tc>
          <w:tcPr>
            <w:tcW w:w="240" w:type="dxa"/>
            <w:vAlign w:val="bottom"/>
            <w:shd w:val="clear" w:color="auto" w:fill="004054"/>
          </w:tcPr>
          <w:p>
            <w:pPr>
              <w:spacing w:after="0"/>
              <w:rPr>
                <w:sz w:val="20"/>
                <w:szCs w:val="20"/>
                <w:color w:val="auto"/>
              </w:rPr>
            </w:pPr>
          </w:p>
        </w:tc>
        <w:tc>
          <w:tcPr>
            <w:tcW w:w="1260" w:type="dxa"/>
            <w:vAlign w:val="bottom"/>
            <w:shd w:val="clear" w:color="auto" w:fill="004054"/>
          </w:tcPr>
          <w:p>
            <w:pPr>
              <w:spacing w:after="0"/>
              <w:rPr>
                <w:sz w:val="20"/>
                <w:szCs w:val="20"/>
                <w:color w:val="auto"/>
              </w:rPr>
            </w:pPr>
          </w:p>
        </w:tc>
        <w:tc>
          <w:tcPr>
            <w:tcW w:w="120" w:type="dxa"/>
            <w:vAlign w:val="bottom"/>
            <w:shd w:val="clear" w:color="auto" w:fill="004054"/>
          </w:tcPr>
          <w:p>
            <w:pPr>
              <w:spacing w:after="0"/>
              <w:rPr>
                <w:sz w:val="20"/>
                <w:szCs w:val="20"/>
                <w:color w:val="auto"/>
              </w:rPr>
            </w:pPr>
          </w:p>
        </w:tc>
        <w:tc>
          <w:tcPr>
            <w:tcW w:w="160" w:type="dxa"/>
            <w:vAlign w:val="bottom"/>
            <w:shd w:val="clear" w:color="auto" w:fill="004054"/>
          </w:tcPr>
          <w:p>
            <w:pPr>
              <w:spacing w:after="0"/>
              <w:rPr>
                <w:sz w:val="20"/>
                <w:szCs w:val="20"/>
                <w:color w:val="auto"/>
              </w:rPr>
            </w:pPr>
          </w:p>
        </w:tc>
        <w:tc>
          <w:tcPr>
            <w:tcW w:w="1340" w:type="dxa"/>
            <w:vAlign w:val="bottom"/>
            <w:shd w:val="clear" w:color="auto" w:fill="004054"/>
          </w:tcPr>
          <w:p>
            <w:pPr>
              <w:spacing w:after="0"/>
              <w:rPr>
                <w:sz w:val="20"/>
                <w:szCs w:val="20"/>
                <w:color w:val="auto"/>
              </w:rPr>
            </w:pPr>
          </w:p>
        </w:tc>
        <w:tc>
          <w:tcPr>
            <w:tcW w:w="100" w:type="dxa"/>
            <w:vAlign w:val="bottom"/>
            <w:shd w:val="clear" w:color="auto" w:fill="004054"/>
          </w:tcPr>
          <w:p>
            <w:pPr>
              <w:spacing w:after="0"/>
              <w:rPr>
                <w:sz w:val="20"/>
                <w:szCs w:val="20"/>
                <w:color w:val="auto"/>
              </w:rPr>
            </w:pPr>
          </w:p>
        </w:tc>
        <w:tc>
          <w:tcPr>
            <w:tcW w:w="520" w:type="dxa"/>
            <w:vAlign w:val="bottom"/>
            <w:shd w:val="clear" w:color="auto" w:fill="004054"/>
          </w:tcPr>
          <w:p>
            <w:pPr>
              <w:spacing w:after="0"/>
              <w:rPr>
                <w:sz w:val="20"/>
                <w:szCs w:val="20"/>
                <w:color w:val="auto"/>
              </w:rPr>
            </w:pPr>
          </w:p>
        </w:tc>
        <w:tc>
          <w:tcPr>
            <w:tcW w:w="98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94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Markets for Identcal</w:t>
            </w:r>
          </w:p>
        </w:tc>
        <w:tc>
          <w:tcPr>
            <w:tcW w:w="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2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Signifcant Other</w:t>
            </w:r>
          </w:p>
        </w:tc>
        <w:tc>
          <w:tcPr>
            <w:tcW w:w="12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Signifcant</w:t>
            </w:r>
          </w:p>
        </w:tc>
        <w:tc>
          <w:tcPr>
            <w:tcW w:w="100" w:type="dxa"/>
            <w:vAlign w:val="bottom"/>
            <w:shd w:val="clear" w:color="auto" w:fill="004054"/>
          </w:tcPr>
          <w:p>
            <w:pPr>
              <w:spacing w:after="0"/>
              <w:rPr>
                <w:sz w:val="15"/>
                <w:szCs w:val="15"/>
                <w:color w:val="auto"/>
              </w:rPr>
            </w:pPr>
          </w:p>
        </w:tc>
        <w:tc>
          <w:tcPr>
            <w:tcW w:w="520" w:type="dxa"/>
            <w:vAlign w:val="bottom"/>
            <w:shd w:val="clear" w:color="auto" w:fill="004054"/>
          </w:tcPr>
          <w:p>
            <w:pPr>
              <w:spacing w:after="0"/>
              <w:rPr>
                <w:sz w:val="15"/>
                <w:szCs w:val="15"/>
                <w:color w:val="auto"/>
              </w:rPr>
            </w:pPr>
          </w:p>
        </w:tc>
        <w:tc>
          <w:tcPr>
            <w:tcW w:w="98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vMerge w:val="restart"/>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6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Assets and Liabilites</w:t>
            </w:r>
          </w:p>
        </w:tc>
        <w:tc>
          <w:tcPr>
            <w:tcW w:w="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2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Observable Inputs</w:t>
            </w:r>
          </w:p>
        </w:tc>
        <w:tc>
          <w:tcPr>
            <w:tcW w:w="12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Unobservable Inputs</w:t>
            </w:r>
          </w:p>
        </w:tc>
        <w:tc>
          <w:tcPr>
            <w:tcW w:w="100" w:type="dxa"/>
            <w:vAlign w:val="bottom"/>
            <w:shd w:val="clear" w:color="auto" w:fill="004054"/>
          </w:tcPr>
          <w:p>
            <w:pPr>
              <w:spacing w:after="0"/>
              <w:rPr>
                <w:sz w:val="15"/>
                <w:szCs w:val="15"/>
                <w:color w:val="auto"/>
              </w:rPr>
            </w:pPr>
          </w:p>
        </w:tc>
        <w:tc>
          <w:tcPr>
            <w:tcW w:w="520" w:type="dxa"/>
            <w:vAlign w:val="bottom"/>
            <w:shd w:val="clear" w:color="auto" w:fill="004054"/>
          </w:tcPr>
          <w:p>
            <w:pPr>
              <w:spacing w:after="0"/>
              <w:rPr>
                <w:sz w:val="15"/>
                <w:szCs w:val="15"/>
                <w:color w:val="auto"/>
              </w:rPr>
            </w:pPr>
          </w:p>
        </w:tc>
        <w:tc>
          <w:tcPr>
            <w:tcW w:w="98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vMerge w:val="continue"/>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(Level 1)</w:t>
            </w:r>
          </w:p>
        </w:tc>
        <w:tc>
          <w:tcPr>
            <w:tcW w:w="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2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(Level 2)</w:t>
            </w:r>
          </w:p>
        </w:tc>
        <w:tc>
          <w:tcPr>
            <w:tcW w:w="12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(Level 3)</w:t>
            </w:r>
          </w:p>
        </w:tc>
        <w:tc>
          <w:tcPr>
            <w:tcW w:w="100" w:type="dxa"/>
            <w:vAlign w:val="bottom"/>
            <w:shd w:val="clear" w:color="auto" w:fill="004054"/>
          </w:tcPr>
          <w:p>
            <w:pPr>
              <w:spacing w:after="0"/>
              <w:rPr>
                <w:sz w:val="15"/>
                <w:szCs w:val="15"/>
                <w:color w:val="auto"/>
              </w:rPr>
            </w:pPr>
          </w:p>
        </w:tc>
        <w:tc>
          <w:tcPr>
            <w:tcW w:w="520" w:type="dxa"/>
            <w:vAlign w:val="bottom"/>
            <w:shd w:val="clear" w:color="auto" w:fill="004054"/>
          </w:tcPr>
          <w:p>
            <w:pPr>
              <w:spacing w:after="0"/>
              <w:rPr>
                <w:sz w:val="15"/>
                <w:szCs w:val="15"/>
                <w:color w:val="auto"/>
              </w:rPr>
            </w:pPr>
          </w:p>
        </w:tc>
        <w:tc>
          <w:tcPr>
            <w:tcW w:w="980" w:type="dxa"/>
            <w:vAlign w:val="bottom"/>
            <w:vMerge w:val="continue"/>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94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1320" w:type="dxa"/>
            <w:vAlign w:val="bottom"/>
            <w:shd w:val="clear" w:color="auto" w:fill="004054"/>
          </w:tcPr>
          <w:p>
            <w:pPr>
              <w:spacing w:after="0"/>
              <w:rPr>
                <w:sz w:val="5"/>
                <w:szCs w:val="5"/>
                <w:color w:val="auto"/>
              </w:rPr>
            </w:pPr>
          </w:p>
        </w:tc>
        <w:tc>
          <w:tcPr>
            <w:tcW w:w="100" w:type="dxa"/>
            <w:vAlign w:val="bottom"/>
            <w:shd w:val="clear" w:color="auto" w:fill="004054"/>
          </w:tcPr>
          <w:p>
            <w:pPr>
              <w:spacing w:after="0"/>
              <w:rPr>
                <w:sz w:val="5"/>
                <w:szCs w:val="5"/>
                <w:color w:val="auto"/>
              </w:rPr>
            </w:pPr>
          </w:p>
        </w:tc>
        <w:tc>
          <w:tcPr>
            <w:tcW w:w="240" w:type="dxa"/>
            <w:vAlign w:val="bottom"/>
            <w:shd w:val="clear" w:color="auto" w:fill="004054"/>
          </w:tcPr>
          <w:p>
            <w:pPr>
              <w:spacing w:after="0"/>
              <w:rPr>
                <w:sz w:val="5"/>
                <w:szCs w:val="5"/>
                <w:color w:val="auto"/>
              </w:rPr>
            </w:pPr>
          </w:p>
        </w:tc>
        <w:tc>
          <w:tcPr>
            <w:tcW w:w="126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1340" w:type="dxa"/>
            <w:vAlign w:val="bottom"/>
            <w:shd w:val="clear" w:color="auto" w:fill="004054"/>
          </w:tcPr>
          <w:p>
            <w:pPr>
              <w:spacing w:after="0"/>
              <w:rPr>
                <w:sz w:val="5"/>
                <w:szCs w:val="5"/>
                <w:color w:val="auto"/>
              </w:rPr>
            </w:pPr>
          </w:p>
        </w:tc>
        <w:tc>
          <w:tcPr>
            <w:tcW w:w="100" w:type="dxa"/>
            <w:vAlign w:val="bottom"/>
            <w:shd w:val="clear" w:color="auto" w:fill="004054"/>
          </w:tcPr>
          <w:p>
            <w:pPr>
              <w:spacing w:after="0"/>
              <w:rPr>
                <w:sz w:val="5"/>
                <w:szCs w:val="5"/>
                <w:color w:val="auto"/>
              </w:rPr>
            </w:pPr>
          </w:p>
        </w:tc>
        <w:tc>
          <w:tcPr>
            <w:tcW w:w="520" w:type="dxa"/>
            <w:vAlign w:val="bottom"/>
            <w:shd w:val="clear" w:color="auto" w:fill="004054"/>
          </w:tcPr>
          <w:p>
            <w:pPr>
              <w:spacing w:after="0"/>
              <w:rPr>
                <w:sz w:val="5"/>
                <w:szCs w:val="5"/>
                <w:color w:val="auto"/>
              </w:rPr>
            </w:pPr>
          </w:p>
        </w:tc>
        <w:tc>
          <w:tcPr>
            <w:tcW w:w="98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Fair value as of September 30, 2024</w:t>
            </w: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940" w:type="dxa"/>
            <w:vAlign w:val="bottom"/>
          </w:tcPr>
          <w:p>
            <w:pPr>
              <w:ind w:left="20"/>
              <w:spacing w:after="0"/>
              <w:rPr>
                <w:sz w:val="20"/>
                <w:szCs w:val="20"/>
                <w:color w:val="auto"/>
              </w:rPr>
            </w:pPr>
            <w:r>
              <w:rPr>
                <w:rFonts w:ascii="Calibri" w:cs="Calibri" w:eastAsia="Calibri" w:hAnsi="Calibri"/>
                <w:sz w:val="18"/>
                <w:szCs w:val="18"/>
                <w:color w:val="51555C"/>
              </w:rPr>
              <w:t>Financial assets: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i w:val="1"/>
                <w:iCs w:val="1"/>
                <w:color w:val="51555C"/>
              </w:rPr>
              <w:t>Interest rate swaps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1,672</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40" w:type="dxa"/>
            <w:vAlign w:val="bottom"/>
            <w:tcBorders>
              <w:bottom w:val="single" w:sz="8" w:color="EBFBFF"/>
            </w:tcBorders>
            <w:gridSpan w:val="2"/>
            <w:shd w:val="clear" w:color="auto" w:fill="EBFBFF"/>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Borders>
              <w:bottom w:val="single" w:sz="8" w:color="EBFBFF"/>
            </w:tcBorders>
            <w:shd w:val="clear" w:color="auto" w:fill="EBFBFF"/>
          </w:tcPr>
          <w:p>
            <w:pPr>
              <w:jc w:val="right"/>
              <w:ind w:right="310"/>
              <w:spacing w:after="0"/>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940" w:type="dxa"/>
            <w:vAlign w:val="bottom"/>
          </w:tcPr>
          <w:p>
            <w:pPr>
              <w:ind w:left="140"/>
              <w:spacing w:after="0"/>
              <w:rPr>
                <w:sz w:val="20"/>
                <w:szCs w:val="20"/>
                <w:color w:val="auto"/>
              </w:rPr>
            </w:pPr>
            <w:r>
              <w:rPr>
                <w:rFonts w:ascii="Calibri" w:cs="Calibri" w:eastAsia="Calibri" w:hAnsi="Calibri"/>
                <w:sz w:val="18"/>
                <w:szCs w:val="18"/>
                <w:i w:val="1"/>
                <w:iCs w:val="1"/>
                <w:color w:val="51555C"/>
              </w:rPr>
              <w:t>Foreign currency forward contracts</w:t>
            </w:r>
          </w:p>
        </w:tc>
        <w:tc>
          <w:tcPr>
            <w:tcW w:w="16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51555C"/>
              </w:rPr>
              <w:t>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494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2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26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4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52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EBFBFF"/>
            </w:tcBorders>
            <w:shd w:val="clear" w:color="auto" w:fill="EBFBFF"/>
          </w:tcPr>
          <w:p>
            <w:pPr>
              <w:ind w:left="240"/>
              <w:spacing w:after="0" w:line="213" w:lineRule="exact"/>
              <w:rPr>
                <w:sz w:val="20"/>
                <w:szCs w:val="20"/>
                <w:color w:val="auto"/>
              </w:rPr>
            </w:pPr>
            <w:r>
              <w:rPr>
                <w:rFonts w:ascii="Calibri" w:cs="Calibri" w:eastAsia="Calibri" w:hAnsi="Calibri"/>
                <w:sz w:val="18"/>
                <w:szCs w:val="18"/>
                <w:color w:val="51555C"/>
              </w:rPr>
              <w:t>Total fnancial assets</w:t>
            </w: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line="213" w:lineRule="exact"/>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line="213" w:lineRule="exact"/>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1,753</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440" w:type="dxa"/>
            <w:vAlign w:val="bottom"/>
            <w:tcBorders>
              <w:bottom w:val="single" w:sz="8" w:color="EBFBFF"/>
            </w:tcBorders>
            <w:gridSpan w:val="2"/>
            <w:shd w:val="clear" w:color="auto" w:fill="EBFBFF"/>
          </w:tcPr>
          <w:p>
            <w:pPr>
              <w:jc w:val="right"/>
              <w:ind w:right="160"/>
              <w:spacing w:after="0" w:line="213" w:lineRule="exact"/>
              <w:rPr>
                <w:sz w:val="20"/>
                <w:szCs w:val="20"/>
                <w:color w:val="auto"/>
              </w:rPr>
            </w:pPr>
            <w:r>
              <w:rPr>
                <w:rFonts w:ascii="Calibri" w:cs="Calibri" w:eastAsia="Calibri" w:hAnsi="Calibri"/>
                <w:sz w:val="18"/>
                <w:szCs w:val="18"/>
                <w:color w:val="51555C"/>
              </w:rPr>
              <w:t>—</w:t>
            </w:r>
          </w:p>
        </w:tc>
        <w:tc>
          <w:tcPr>
            <w:tcW w:w="520" w:type="dxa"/>
            <w:vAlign w:val="bottom"/>
            <w:tcBorders>
              <w:bottom w:val="single" w:sz="8" w:color="EBFBFF"/>
            </w:tcBorders>
            <w:shd w:val="clear" w:color="auto" w:fill="EBFBFF"/>
          </w:tcPr>
          <w:p>
            <w:pPr>
              <w:jc w:val="right"/>
              <w:ind w:right="31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1,753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Fair value as of September 30, 2024</w:t>
            </w: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940" w:type="dxa"/>
            <w:vAlign w:val="bottom"/>
          </w:tcPr>
          <w:p>
            <w:pPr>
              <w:ind w:left="20"/>
              <w:spacing w:after="0"/>
              <w:rPr>
                <w:sz w:val="20"/>
                <w:szCs w:val="20"/>
                <w:color w:val="auto"/>
              </w:rPr>
            </w:pPr>
            <w:r>
              <w:rPr>
                <w:rFonts w:ascii="Calibri" w:cs="Calibri" w:eastAsia="Calibri" w:hAnsi="Calibri"/>
                <w:sz w:val="18"/>
                <w:szCs w:val="18"/>
                <w:color w:val="51555C"/>
              </w:rPr>
              <w:t>Financial liabilites: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i w:val="1"/>
                <w:iCs w:val="1"/>
                <w:color w:val="51555C"/>
              </w:rPr>
              <w:t>Interest rate swaps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5,490</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40" w:type="dxa"/>
            <w:vAlign w:val="bottom"/>
            <w:tcBorders>
              <w:bottom w:val="single" w:sz="8" w:color="EBFBFF"/>
            </w:tcBorders>
            <w:gridSpan w:val="2"/>
            <w:shd w:val="clear" w:color="auto" w:fill="EBFBFF"/>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Borders>
              <w:bottom w:val="single" w:sz="8" w:color="EBFBFF"/>
            </w:tcBorders>
            <w:shd w:val="clear" w:color="auto" w:fill="EBFBFF"/>
          </w:tcPr>
          <w:p>
            <w:pPr>
              <w:jc w:val="right"/>
              <w:ind w:right="310"/>
              <w:spacing w:after="0"/>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5,490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940" w:type="dxa"/>
            <w:vAlign w:val="bottom"/>
          </w:tcPr>
          <w:p>
            <w:pPr>
              <w:ind w:left="140"/>
              <w:spacing w:after="0"/>
              <w:rPr>
                <w:sz w:val="20"/>
                <w:szCs w:val="20"/>
                <w:color w:val="auto"/>
              </w:rPr>
            </w:pPr>
            <w:r>
              <w:rPr>
                <w:rFonts w:ascii="Calibri" w:cs="Calibri" w:eastAsia="Calibri" w:hAnsi="Calibri"/>
                <w:sz w:val="18"/>
                <w:szCs w:val="18"/>
                <w:i w:val="1"/>
                <w:iCs w:val="1"/>
                <w:color w:val="51555C"/>
              </w:rPr>
              <w:t>Foreign currency forward contracts</w:t>
            </w:r>
          </w:p>
        </w:tc>
        <w:tc>
          <w:tcPr>
            <w:tcW w:w="16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51555C"/>
              </w:rPr>
              <w:t>504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494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2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26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4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52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EBFBFF"/>
            </w:tcBorders>
            <w:shd w:val="clear" w:color="auto" w:fill="EBFBFF"/>
          </w:tcPr>
          <w:p>
            <w:pPr>
              <w:ind w:left="240"/>
              <w:spacing w:after="0" w:line="213" w:lineRule="exact"/>
              <w:rPr>
                <w:sz w:val="20"/>
                <w:szCs w:val="20"/>
                <w:color w:val="auto"/>
              </w:rPr>
            </w:pPr>
            <w:r>
              <w:rPr>
                <w:rFonts w:ascii="Calibri" w:cs="Calibri" w:eastAsia="Calibri" w:hAnsi="Calibri"/>
                <w:sz w:val="18"/>
                <w:szCs w:val="18"/>
                <w:color w:val="51555C"/>
              </w:rPr>
              <w:t>Total fnancial liabilites</w:t>
            </w: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line="213" w:lineRule="exact"/>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line="213" w:lineRule="exact"/>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5,994</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440" w:type="dxa"/>
            <w:vAlign w:val="bottom"/>
            <w:tcBorders>
              <w:bottom w:val="single" w:sz="8" w:color="EBFBFF"/>
            </w:tcBorders>
            <w:gridSpan w:val="2"/>
            <w:shd w:val="clear" w:color="auto" w:fill="EBFBFF"/>
          </w:tcPr>
          <w:p>
            <w:pPr>
              <w:jc w:val="right"/>
              <w:ind w:right="160"/>
              <w:spacing w:after="0" w:line="213" w:lineRule="exact"/>
              <w:rPr>
                <w:sz w:val="20"/>
                <w:szCs w:val="20"/>
                <w:color w:val="auto"/>
              </w:rPr>
            </w:pPr>
            <w:r>
              <w:rPr>
                <w:rFonts w:ascii="Calibri" w:cs="Calibri" w:eastAsia="Calibri" w:hAnsi="Calibri"/>
                <w:sz w:val="18"/>
                <w:szCs w:val="18"/>
                <w:color w:val="51555C"/>
              </w:rPr>
              <w:t>—</w:t>
            </w:r>
          </w:p>
        </w:tc>
        <w:tc>
          <w:tcPr>
            <w:tcW w:w="520" w:type="dxa"/>
            <w:vAlign w:val="bottom"/>
            <w:tcBorders>
              <w:bottom w:val="single" w:sz="8" w:color="EBFBFF"/>
            </w:tcBorders>
            <w:shd w:val="clear" w:color="auto" w:fill="EBFBFF"/>
          </w:tcPr>
          <w:p>
            <w:pPr>
              <w:jc w:val="right"/>
              <w:ind w:right="31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5,994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Fair value as of December 31, 2023</w:t>
            </w: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940" w:type="dxa"/>
            <w:vAlign w:val="bottom"/>
          </w:tcPr>
          <w:p>
            <w:pPr>
              <w:ind w:left="20"/>
              <w:spacing w:after="0"/>
              <w:rPr>
                <w:sz w:val="20"/>
                <w:szCs w:val="20"/>
                <w:color w:val="auto"/>
              </w:rPr>
            </w:pPr>
            <w:r>
              <w:rPr>
                <w:rFonts w:ascii="Calibri" w:cs="Calibri" w:eastAsia="Calibri" w:hAnsi="Calibri"/>
                <w:sz w:val="18"/>
                <w:szCs w:val="18"/>
                <w:color w:val="51555C"/>
              </w:rPr>
              <w:t>Financial assets: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9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i w:val="1"/>
                <w:iCs w:val="1"/>
                <w:color w:val="51555C"/>
              </w:rPr>
              <w:t>Interest rate swaps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16,198</w:t>
            </w:r>
          </w:p>
        </w:tc>
        <w:tc>
          <w:tcPr>
            <w:tcW w:w="120" w:type="dxa"/>
            <w:vAlign w:val="bottom"/>
            <w:tcBorders>
              <w:bottom w:val="single" w:sz="8" w:color="EBFBFF"/>
            </w:tcBorders>
            <w:shd w:val="clear" w:color="auto" w:fill="EBFBFF"/>
          </w:tcPr>
          <w:p>
            <w:pPr>
              <w:spacing w:after="0"/>
              <w:rPr>
                <w:sz w:val="23"/>
                <w:szCs w:val="23"/>
                <w:color w:val="auto"/>
              </w:rPr>
            </w:pP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40" w:type="dxa"/>
            <w:vAlign w:val="bottom"/>
            <w:tcBorders>
              <w:bottom w:val="single" w:sz="8" w:color="EBFBFF"/>
            </w:tcBorders>
            <w:gridSpan w:val="2"/>
            <w:shd w:val="clear" w:color="auto" w:fill="EBFBFF"/>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Borders>
              <w:bottom w:val="single" w:sz="8" w:color="EBFBFF"/>
            </w:tcBorders>
            <w:shd w:val="clear" w:color="auto" w:fill="EBFBFF"/>
          </w:tcPr>
          <w:p>
            <w:pPr>
              <w:jc w:val="right"/>
              <w:ind w:right="310"/>
              <w:spacing w:after="0"/>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16,198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40"/>
              <w:spacing w:after="0" w:line="213" w:lineRule="exact"/>
              <w:rPr>
                <w:sz w:val="20"/>
                <w:szCs w:val="20"/>
                <w:color w:val="auto"/>
              </w:rPr>
            </w:pPr>
            <w:r>
              <w:rPr>
                <w:rFonts w:ascii="Calibri" w:cs="Calibri" w:eastAsia="Calibri" w:hAnsi="Calibri"/>
                <w:sz w:val="18"/>
                <w:szCs w:val="18"/>
                <w:color w:val="51555C"/>
              </w:rPr>
              <w:t>Total fnancial assets</w:t>
            </w:r>
          </w:p>
        </w:tc>
        <w:tc>
          <w:tcPr>
            <w:tcW w:w="1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320" w:type="dxa"/>
            <w:vAlign w:val="bottom"/>
            <w:tcBorders>
              <w:top w:val="single" w:sz="8" w:color="51555C"/>
            </w:tcBorders>
          </w:tcPr>
          <w:p>
            <w:pPr>
              <w:ind w:left="1100"/>
              <w:spacing w:after="0" w:line="213" w:lineRule="exact"/>
              <w:rPr>
                <w:sz w:val="20"/>
                <w:szCs w:val="20"/>
                <w:color w:val="auto"/>
              </w:rPr>
            </w:pPr>
            <w:r>
              <w:rPr>
                <w:rFonts w:ascii="Calibri" w:cs="Calibri" w:eastAsia="Calibri" w:hAnsi="Calibri"/>
                <w:sz w:val="18"/>
                <w:szCs w:val="18"/>
                <w:color w:val="51555C"/>
              </w:rPr>
              <w:t>—</w:t>
            </w:r>
          </w:p>
        </w:tc>
        <w:tc>
          <w:tcPr>
            <w:tcW w:w="100" w:type="dxa"/>
            <w:vAlign w:val="bottom"/>
          </w:tcPr>
          <w:p>
            <w:pPr>
              <w:spacing w:after="0"/>
              <w:rPr>
                <w:sz w:val="18"/>
                <w:szCs w:val="18"/>
                <w:color w:val="auto"/>
              </w:rPr>
            </w:pPr>
          </w:p>
        </w:tc>
        <w:tc>
          <w:tcPr>
            <w:tcW w:w="240" w:type="dxa"/>
            <w:vAlign w:val="bottom"/>
            <w:tcBorders>
              <w:top w:val="single" w:sz="8" w:color="51555C"/>
            </w:tcBorders>
          </w:tcPr>
          <w:p>
            <w:pPr>
              <w:jc w:val="right"/>
              <w:ind w:right="30"/>
              <w:spacing w:after="0" w:line="213" w:lineRule="exact"/>
              <w:rPr>
                <w:sz w:val="20"/>
                <w:szCs w:val="20"/>
                <w:color w:val="auto"/>
              </w:rPr>
            </w:pPr>
            <w:r>
              <w:rPr>
                <w:rFonts w:ascii="Calibri" w:cs="Calibri" w:eastAsia="Calibri" w:hAnsi="Calibri"/>
                <w:sz w:val="18"/>
                <w:szCs w:val="18"/>
                <w:color w:val="51555C"/>
              </w:rPr>
              <w:t>$</w:t>
            </w:r>
          </w:p>
        </w:tc>
        <w:tc>
          <w:tcPr>
            <w:tcW w:w="12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16,198</w:t>
            </w:r>
          </w:p>
        </w:tc>
        <w:tc>
          <w:tcPr>
            <w:tcW w:w="120" w:type="dxa"/>
            <w:vAlign w:val="bottom"/>
          </w:tcPr>
          <w:p>
            <w:pPr>
              <w:spacing w:after="0"/>
              <w:rPr>
                <w:sz w:val="18"/>
                <w:szCs w:val="18"/>
                <w:color w:val="auto"/>
              </w:rPr>
            </w:pPr>
          </w:p>
        </w:tc>
        <w:tc>
          <w:tcPr>
            <w:tcW w:w="1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3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w:t>
            </w:r>
          </w:p>
        </w:tc>
        <w:tc>
          <w:tcPr>
            <w:tcW w:w="100" w:type="dxa"/>
            <w:vAlign w:val="bottom"/>
          </w:tcPr>
          <w:p>
            <w:pPr>
              <w:spacing w:after="0"/>
              <w:rPr>
                <w:sz w:val="18"/>
                <w:szCs w:val="18"/>
                <w:color w:val="auto"/>
              </w:rPr>
            </w:pPr>
          </w:p>
        </w:tc>
        <w:tc>
          <w:tcPr>
            <w:tcW w:w="520" w:type="dxa"/>
            <w:vAlign w:val="bottom"/>
            <w:tcBorders>
              <w:top w:val="single" w:sz="8" w:color="51555C"/>
            </w:tcBorders>
          </w:tcPr>
          <w:p>
            <w:pPr>
              <w:jc w:val="right"/>
              <w:ind w:right="31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16,198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940" w:type="dxa"/>
            <w:vAlign w:val="bottom"/>
            <w:shd w:val="clear" w:color="auto" w:fill="EBFBFF"/>
          </w:tcPr>
          <w:p>
            <w:pPr>
              <w:spacing w:after="0"/>
              <w:rPr>
                <w:sz w:val="23"/>
                <w:szCs w:val="23"/>
                <w:color w:val="auto"/>
              </w:rPr>
            </w:pPr>
          </w:p>
        </w:tc>
        <w:tc>
          <w:tcPr>
            <w:tcW w:w="160" w:type="dxa"/>
            <w:vAlign w:val="bottom"/>
            <w:shd w:val="clear" w:color="auto" w:fill="EBFBFF"/>
          </w:tcPr>
          <w:p>
            <w:pPr>
              <w:spacing w:after="0"/>
              <w:rPr>
                <w:sz w:val="23"/>
                <w:szCs w:val="23"/>
                <w:color w:val="auto"/>
              </w:rPr>
            </w:pPr>
          </w:p>
        </w:tc>
        <w:tc>
          <w:tcPr>
            <w:tcW w:w="132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240" w:type="dxa"/>
            <w:vAlign w:val="bottom"/>
            <w:shd w:val="clear" w:color="auto" w:fill="EBFBFF"/>
          </w:tcPr>
          <w:p>
            <w:pPr>
              <w:spacing w:after="0"/>
              <w:rPr>
                <w:sz w:val="23"/>
                <w:szCs w:val="23"/>
                <w:color w:val="auto"/>
              </w:rPr>
            </w:pPr>
          </w:p>
        </w:tc>
        <w:tc>
          <w:tcPr>
            <w:tcW w:w="1260" w:type="dxa"/>
            <w:vAlign w:val="bottom"/>
            <w:shd w:val="clear" w:color="auto" w:fill="EBFBFF"/>
          </w:tcPr>
          <w:p>
            <w:pPr>
              <w:spacing w:after="0"/>
              <w:rPr>
                <w:sz w:val="23"/>
                <w:szCs w:val="23"/>
                <w:color w:val="auto"/>
              </w:rPr>
            </w:pPr>
          </w:p>
        </w:tc>
        <w:tc>
          <w:tcPr>
            <w:tcW w:w="120" w:type="dxa"/>
            <w:vAlign w:val="bottom"/>
            <w:shd w:val="clear" w:color="auto" w:fill="EBFBFF"/>
          </w:tcPr>
          <w:p>
            <w:pPr>
              <w:spacing w:after="0"/>
              <w:rPr>
                <w:sz w:val="23"/>
                <w:szCs w:val="23"/>
                <w:color w:val="auto"/>
              </w:rPr>
            </w:pPr>
          </w:p>
        </w:tc>
        <w:tc>
          <w:tcPr>
            <w:tcW w:w="160" w:type="dxa"/>
            <w:vAlign w:val="bottom"/>
            <w:shd w:val="clear" w:color="auto" w:fill="EBFBFF"/>
          </w:tcPr>
          <w:p>
            <w:pPr>
              <w:spacing w:after="0"/>
              <w:rPr>
                <w:sz w:val="23"/>
                <w:szCs w:val="23"/>
                <w:color w:val="auto"/>
              </w:rPr>
            </w:pPr>
          </w:p>
        </w:tc>
        <w:tc>
          <w:tcPr>
            <w:tcW w:w="134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520" w:type="dxa"/>
            <w:vAlign w:val="bottom"/>
            <w:shd w:val="clear" w:color="auto" w:fill="EBFBFF"/>
          </w:tcPr>
          <w:p>
            <w:pPr>
              <w:spacing w:after="0"/>
              <w:rPr>
                <w:sz w:val="23"/>
                <w:szCs w:val="23"/>
                <w:color w:val="auto"/>
              </w:rPr>
            </w:pPr>
          </w:p>
        </w:tc>
        <w:tc>
          <w:tcPr>
            <w:tcW w:w="98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4940" w:type="dxa"/>
            <w:vAlign w:val="bottom"/>
          </w:tcPr>
          <w:p>
            <w:pPr>
              <w:ind w:left="20"/>
              <w:spacing w:after="0"/>
              <w:rPr>
                <w:sz w:val="20"/>
                <w:szCs w:val="20"/>
                <w:color w:val="auto"/>
              </w:rPr>
            </w:pPr>
            <w:r>
              <w:rPr>
                <w:rFonts w:ascii="Calibri" w:cs="Calibri" w:eastAsia="Calibri" w:hAnsi="Calibri"/>
                <w:sz w:val="18"/>
                <w:szCs w:val="18"/>
                <w:b w:val="1"/>
                <w:bCs w:val="1"/>
                <w:color w:val="51555C"/>
              </w:rPr>
              <w:t>Fair value as of December 31, 2023</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Financial liabilites:</w:t>
            </w: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940" w:type="dxa"/>
            <w:vAlign w:val="bottom"/>
          </w:tcPr>
          <w:p>
            <w:pPr>
              <w:ind w:left="140"/>
              <w:spacing w:after="0"/>
              <w:rPr>
                <w:sz w:val="20"/>
                <w:szCs w:val="20"/>
                <w:color w:val="auto"/>
              </w:rPr>
            </w:pPr>
            <w:r>
              <w:rPr>
                <w:rFonts w:ascii="Calibri" w:cs="Calibri" w:eastAsia="Calibri" w:hAnsi="Calibri"/>
                <w:sz w:val="18"/>
                <w:szCs w:val="18"/>
                <w:i w:val="1"/>
                <w:iCs w:val="1"/>
                <w:color w:val="51555C"/>
              </w:rPr>
              <w:t>Interest rate swaps</w:t>
            </w:r>
          </w:p>
        </w:tc>
        <w:tc>
          <w:tcPr>
            <w:tcW w:w="160" w:type="dxa"/>
            <w:vAlign w:val="bottom"/>
          </w:tcPr>
          <w:p>
            <w:pPr>
              <w:jc w:val="right"/>
              <w:spacing w:after="0"/>
              <w:rPr>
                <w:sz w:val="20"/>
                <w:szCs w:val="20"/>
                <w:color w:val="auto"/>
              </w:rPr>
            </w:pPr>
            <w:r>
              <w:rPr>
                <w:rFonts w:ascii="Calibri" w:cs="Calibri" w:eastAsia="Calibri" w:hAnsi="Calibri"/>
                <w:sz w:val="18"/>
                <w:szCs w:val="18"/>
                <w:color w:val="51555C"/>
                <w:w w:val="87"/>
              </w:rPr>
              <w:t>$</w:t>
            </w:r>
          </w:p>
        </w:tc>
        <w:tc>
          <w:tcPr>
            <w:tcW w:w="1420" w:type="dxa"/>
            <w:vAlign w:val="bottom"/>
            <w:gridSpan w:val="2"/>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Pr>
          <w:p>
            <w:pPr>
              <w:jc w:val="right"/>
              <w:ind w:right="30"/>
              <w:spacing w:after="0"/>
              <w:rPr>
                <w:sz w:val="20"/>
                <w:szCs w:val="20"/>
                <w:color w:val="auto"/>
              </w:rPr>
            </w:pPr>
            <w:r>
              <w:rPr>
                <w:rFonts w:ascii="Calibri" w:cs="Calibri" w:eastAsia="Calibri" w:hAnsi="Calibri"/>
                <w:sz w:val="18"/>
                <w:szCs w:val="18"/>
                <w:color w:val="51555C"/>
              </w:rPr>
              <w:t>$</w:t>
            </w:r>
          </w:p>
        </w:tc>
        <w:tc>
          <w:tcPr>
            <w:tcW w:w="1260" w:type="dxa"/>
            <w:vAlign w:val="bottom"/>
          </w:tcPr>
          <w:p>
            <w:pPr>
              <w:jc w:val="right"/>
              <w:spacing w:after="0"/>
              <w:rPr>
                <w:sz w:val="20"/>
                <w:szCs w:val="20"/>
                <w:color w:val="auto"/>
              </w:rPr>
            </w:pPr>
            <w:r>
              <w:rPr>
                <w:rFonts w:ascii="Calibri" w:cs="Calibri" w:eastAsia="Calibri" w:hAnsi="Calibri"/>
                <w:sz w:val="18"/>
                <w:szCs w:val="18"/>
                <w:color w:val="51555C"/>
              </w:rPr>
              <w:t>5,004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Calibri" w:cs="Calibri" w:eastAsia="Calibri" w:hAnsi="Calibri"/>
                <w:sz w:val="18"/>
                <w:szCs w:val="18"/>
                <w:color w:val="51555C"/>
                <w:w w:val="87"/>
              </w:rPr>
              <w:t>$</w:t>
            </w:r>
          </w:p>
        </w:tc>
        <w:tc>
          <w:tcPr>
            <w:tcW w:w="1440" w:type="dxa"/>
            <w:vAlign w:val="bottom"/>
            <w:gridSpan w:val="2"/>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Pr>
          <w:p>
            <w:pPr>
              <w:jc w:val="right"/>
              <w:ind w:right="310"/>
              <w:spacing w:after="0"/>
              <w:rPr>
                <w:sz w:val="20"/>
                <w:szCs w:val="20"/>
                <w:color w:val="auto"/>
              </w:rPr>
            </w:pPr>
            <w:r>
              <w:rPr>
                <w:rFonts w:ascii="Calibri" w:cs="Calibri" w:eastAsia="Calibri" w:hAnsi="Calibri"/>
                <w:sz w:val="18"/>
                <w:szCs w:val="18"/>
                <w:color w:val="51555C"/>
              </w:rPr>
              <w:t>$</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5,004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i w:val="1"/>
                <w:iCs w:val="1"/>
                <w:color w:val="51555C"/>
              </w:rPr>
              <w:t>Foreign currency forward contracts</w:t>
            </w:r>
          </w:p>
        </w:tc>
        <w:tc>
          <w:tcPr>
            <w:tcW w:w="160" w:type="dxa"/>
            <w:vAlign w:val="bottom"/>
            <w:tcBorders>
              <w:bottom w:val="single" w:sz="8" w:color="EBFBFF"/>
            </w:tcBorders>
            <w:shd w:val="clear" w:color="auto" w:fill="EBFBFF"/>
          </w:tcPr>
          <w:p>
            <w:pPr>
              <w:spacing w:after="0"/>
              <w:rPr>
                <w:sz w:val="21"/>
                <w:szCs w:val="21"/>
                <w:color w:val="auto"/>
              </w:rPr>
            </w:pPr>
          </w:p>
        </w:tc>
        <w:tc>
          <w:tcPr>
            <w:tcW w:w="1420" w:type="dxa"/>
            <w:vAlign w:val="bottom"/>
            <w:tcBorders>
              <w:bottom w:val="single" w:sz="8" w:color="EBFBFF"/>
            </w:tcBorders>
            <w:gridSpan w:val="2"/>
            <w:shd w:val="clear" w:color="auto" w:fill="EBFBFF"/>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536</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440" w:type="dxa"/>
            <w:vAlign w:val="bottom"/>
            <w:tcBorders>
              <w:bottom w:val="single" w:sz="8" w:color="EBFBFF"/>
            </w:tcBorders>
            <w:gridSpan w:val="2"/>
            <w:shd w:val="clear" w:color="auto" w:fill="EBFBFF"/>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940" w:type="dxa"/>
            <w:vAlign w:val="bottom"/>
          </w:tcPr>
          <w:p>
            <w:pPr>
              <w:ind w:left="140"/>
              <w:spacing w:after="0"/>
              <w:rPr>
                <w:sz w:val="20"/>
                <w:szCs w:val="20"/>
                <w:color w:val="auto"/>
              </w:rPr>
            </w:pPr>
            <w:r>
              <w:rPr>
                <w:rFonts w:ascii="Calibri" w:cs="Calibri" w:eastAsia="Calibri" w:hAnsi="Calibri"/>
                <w:sz w:val="18"/>
                <w:szCs w:val="18"/>
                <w:i w:val="1"/>
                <w:iCs w:val="1"/>
                <w:color w:val="51555C"/>
              </w:rPr>
              <w:t>Contngent consideraton obligatons</w:t>
            </w:r>
          </w:p>
        </w:tc>
        <w:tc>
          <w:tcPr>
            <w:tcW w:w="16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Calibri" w:cs="Calibri" w:eastAsia="Calibri" w:hAnsi="Calibri"/>
                <w:sz w:val="18"/>
                <w:szCs w:val="18"/>
                <w:color w:val="51555C"/>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51555C"/>
              </w:rPr>
              <w:t>1,403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1,403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494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2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26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4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52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EBFBFF"/>
            </w:tcBorders>
            <w:shd w:val="clear" w:color="auto" w:fill="EBFBFF"/>
          </w:tcPr>
          <w:p>
            <w:pPr>
              <w:ind w:left="240"/>
              <w:spacing w:after="0" w:line="213" w:lineRule="exact"/>
              <w:rPr>
                <w:sz w:val="20"/>
                <w:szCs w:val="20"/>
                <w:color w:val="auto"/>
              </w:rPr>
            </w:pPr>
            <w:r>
              <w:rPr>
                <w:rFonts w:ascii="Calibri" w:cs="Calibri" w:eastAsia="Calibri" w:hAnsi="Calibri"/>
                <w:sz w:val="18"/>
                <w:szCs w:val="18"/>
                <w:color w:val="51555C"/>
              </w:rPr>
              <w:t>Total fnancial liabilites</w:t>
            </w: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line="213" w:lineRule="exact"/>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line="213" w:lineRule="exact"/>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5,540</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3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1,403</w:t>
            </w:r>
          </w:p>
        </w:tc>
        <w:tc>
          <w:tcPr>
            <w:tcW w:w="100" w:type="dxa"/>
            <w:vAlign w:val="bottom"/>
            <w:tcBorders>
              <w:bottom w:val="single" w:sz="8" w:color="EBFBFF"/>
            </w:tcBorders>
            <w:shd w:val="clear" w:color="auto" w:fill="EBFBFF"/>
          </w:tcPr>
          <w:p>
            <w:pPr>
              <w:spacing w:after="0"/>
              <w:rPr>
                <w:sz w:val="21"/>
                <w:szCs w:val="21"/>
                <w:color w:val="auto"/>
              </w:rPr>
            </w:pPr>
          </w:p>
        </w:tc>
        <w:tc>
          <w:tcPr>
            <w:tcW w:w="520" w:type="dxa"/>
            <w:vAlign w:val="bottom"/>
            <w:tcBorders>
              <w:bottom w:val="single" w:sz="8" w:color="EBFBFF"/>
            </w:tcBorders>
            <w:shd w:val="clear" w:color="auto" w:fill="EBFBFF"/>
          </w:tcPr>
          <w:p>
            <w:pPr>
              <w:jc w:val="right"/>
              <w:ind w:right="31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6,943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132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26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134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52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-4474210</wp:posOffset>
            </wp:positionV>
            <wp:extent cx="29914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 xml:space="preserve">Our derivatve instruments within the scope of Accountng Standards Codifcaton ("ASC") 815, </w:t>
      </w:r>
      <w:r>
        <w:rPr>
          <w:rFonts w:ascii="Calibri" w:cs="Calibri" w:eastAsia="Calibri" w:hAnsi="Calibri"/>
          <w:sz w:val="18"/>
          <w:szCs w:val="18"/>
          <w:i w:val="1"/>
          <w:iCs w:val="1"/>
          <w:color w:val="51555C"/>
        </w:rPr>
        <w:t>Derivatves and Hedging</w:t>
      </w:r>
      <w:r>
        <w:rPr>
          <w:rFonts w:ascii="Calibri" w:cs="Calibri" w:eastAsia="Calibri" w:hAnsi="Calibri"/>
          <w:sz w:val="18"/>
          <w:szCs w:val="18"/>
          <w:color w:val="51555C"/>
        </w:rPr>
        <w:t>, are required to be recorded at fair value. Our derivatve instruments that are recorded at fair value include interest rate swaps and foreign currency forward contracts. See Note 8 to these unaudited, condensed consolidated fnancial statements for additonal informaton about our derivatve instruments.</w:t>
      </w:r>
    </w:p>
    <w:p>
      <w:pPr>
        <w:spacing w:after="0" w:line="338"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10</w:t>
      </w:r>
      <w:r>
        <w:rPr>
          <w:sz w:val="20"/>
          <w:szCs w:val="20"/>
          <w:color w:val="auto"/>
        </w:rPr>
        <w:tab/>
      </w:r>
      <w:r>
        <w:rPr>
          <w:sz w:val="1"/>
          <w:szCs w:val="1"/>
          <w:color w:val="auto"/>
        </w:rPr>
        <w:drawing>
          <wp:inline distT="0" distB="0" distL="0" distR="0">
            <wp:extent cx="651510" cy="1714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fair value of our interest rate swaps and foreign currency forward contracts are based on model-driven valuatons using Secured Overnight Financing Rate ("SOFR") rates and foreign currency forward rates, respectvely, which are observable at commonly quoted intervals. Accordingly, our interest rate swaps and foreign currency forward contracts are classifed within Level 2 of the fair value hierarchy.</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Contngent consideraton obligatons arise from business acquisitons. The fair values are based on discounted cash fow analyses refectng a probability-weighted assessment approach derived from the likelihood of possible achievement of specifed performance measures or events and captures the contractual nature of the contngencies, commercial risk, and the tme value of money. As the fair value measurements for our contngent consideraton obligatons contain signifcant unobservable inputs, they are classifed within Level 3 of the fair value hierarchy.</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believe the carrying amounts of our cash and cash equivalents, restricted cash, accounts receivable, trade accounts payable, accrued expenses and other current liabilites and due to customers approximate their fair values at September 30, 2024 and December 31, 2023, due to the immediate or short-term maturity of these instruments.</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believe the carrying amount of our debt approximates its fair value at September 30, 2024 and December 31, 2023, as the debt bears interest rates that approximate market value. As SOFR rates are observable at commonly quoted intervals, our debt under the 2024 Credit Facilites (as defned below) is classifed within Level 2 of the fair value hierarchy. The fair value of our fxed rate debt does not exceed the carrying amount.</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We did not transfer any assets or liabilites among the levels within the fair value hierarchy during the nine months ended September 30, 2024.</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Non-recurring fair value measurements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Assets and liabilites that are measured at fair value on a non-recurring basis include long-lived assets, intangible assets, goodwill and operatng lease right-of-use ("ROU") assets. These assets are recognized at fair value during the period in which an acquisiton is completed or at lease commencement, from updated estmates and assumptons during the measurement period, or when they are considered to be impaired. These non-recurring fair value measurements, primarily for long-lived assets, intangible assets acquired and operatng lease ROU assets, are based on Level 3 unobservable inputs. In the event of an impairment, we determine the fair value of these assets other than goodwill using a discounted cash fow approach, which contains signifcant unobservable inputs and, therefore, is considered a Level 3 fair value measurement. The unobservable inputs in the analysis generally include future cash fow projectons and a discount rate. For goodwill impairment testng, we estmate fair value using market-based methods including the use of market capitalizaton and consideraton of a control premium.</w:t>
      </w:r>
    </w:p>
    <w:p>
      <w:pPr>
        <w:spacing w:after="0" w:line="16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June 2024, we entered into a sublease for an additonal porton of our Washington, DC ofce locaton, which we previously closed for our own use in February 2023 to align with our remote-frst workforce strategy. We considered our entry into the sublease an impairment indicator. As a result, during the nine months ended September 30, 2024, we recorded noncash impairment charges of $3.1 million against certain operatng lease ROU assets and noncash impairment charges against certain property and equipment assets which were insignifcant. We present these impairment charges in general and administratve expense on our unaudited, condensed consolidated statements of comprehensive income (loss) and as other non-cash adjustments within operatng actvites on our unaudited condensed consolidated statements of cash fows.</w:t>
      </w:r>
    </w:p>
    <w:p>
      <w:pPr>
        <w:spacing w:after="0" w:line="16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There were no other signifcant non-recurring fair value adjustments to our long-lived assets, intangible assets, goodwill or operatng lease ROU assets during the nine months ended September 30, 2024.</w:t>
      </w:r>
    </w:p>
    <w:p>
      <w:pPr>
        <w:spacing w:after="0" w:line="255"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6.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Restricted cash</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shd w:val="clear" w:color="auto" w:fill="004054"/>
          </w:tcPr>
          <w:p>
            <w:pPr>
              <w:spacing w:after="0"/>
              <w:rPr>
                <w:sz w:val="16"/>
                <w:szCs w:val="16"/>
                <w:color w:val="auto"/>
              </w:rPr>
            </w:pPr>
          </w:p>
        </w:tc>
        <w:tc>
          <w:tcPr>
            <w:tcW w:w="2900" w:type="dxa"/>
            <w:vAlign w:val="bottom"/>
            <w:shd w:val="clear" w:color="auto" w:fill="004054"/>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380" w:type="dxa"/>
            <w:vAlign w:val="bottom"/>
            <w:shd w:val="clear" w:color="auto" w:fill="004054"/>
          </w:tcPr>
          <w:p>
            <w:pPr>
              <w:spacing w:after="0"/>
              <w:rPr>
                <w:sz w:val="16"/>
                <w:szCs w:val="16"/>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170"/>
        </w:trPr>
        <w:tc>
          <w:tcPr>
            <w:tcW w:w="52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2900" w:type="dxa"/>
            <w:vAlign w:val="bottom"/>
            <w:shd w:val="clear" w:color="auto" w:fill="004054"/>
          </w:tcPr>
          <w:p>
            <w:pPr>
              <w:spacing w:after="0"/>
              <w:rPr>
                <w:sz w:val="14"/>
                <w:szCs w:val="14"/>
                <w:color w:val="auto"/>
              </w:rPr>
            </w:pPr>
          </w:p>
        </w:tc>
        <w:tc>
          <w:tcPr>
            <w:tcW w:w="380" w:type="dxa"/>
            <w:vAlign w:val="bottom"/>
            <w:shd w:val="clear" w:color="auto" w:fill="004054"/>
          </w:tcPr>
          <w:p>
            <w:pPr>
              <w:spacing w:after="0"/>
              <w:rPr>
                <w:sz w:val="14"/>
                <w:szCs w:val="14"/>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380" w:type="dxa"/>
            <w:vAlign w:val="bottom"/>
            <w:shd w:val="clear" w:color="auto" w:fill="004054"/>
          </w:tcPr>
          <w:p>
            <w:pPr>
              <w:spacing w:after="0"/>
              <w:rPr>
                <w:sz w:val="14"/>
                <w:szCs w:val="14"/>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4"/>
                <w:szCs w:val="14"/>
                <w:color w:val="auto"/>
              </w:rPr>
            </w:pPr>
          </w:p>
        </w:tc>
      </w:tr>
      <w:tr>
        <w:trPr>
          <w:trHeight w:val="74"/>
        </w:trPr>
        <w:tc>
          <w:tcPr>
            <w:tcW w:w="5280" w:type="dxa"/>
            <w:vAlign w:val="bottom"/>
            <w:shd w:val="clear" w:color="auto" w:fill="004054"/>
          </w:tcPr>
          <w:p>
            <w:pPr>
              <w:spacing w:after="0"/>
              <w:rPr>
                <w:sz w:val="6"/>
                <w:szCs w:val="6"/>
                <w:color w:val="auto"/>
              </w:rPr>
            </w:pPr>
          </w:p>
        </w:tc>
        <w:tc>
          <w:tcPr>
            <w:tcW w:w="2900" w:type="dxa"/>
            <w:vAlign w:val="bottom"/>
            <w:shd w:val="clear" w:color="auto" w:fill="004054"/>
          </w:tcPr>
          <w:p>
            <w:pPr>
              <w:spacing w:after="0"/>
              <w:rPr>
                <w:sz w:val="6"/>
                <w:szCs w:val="6"/>
                <w:color w:val="auto"/>
              </w:rPr>
            </w:pPr>
          </w:p>
        </w:tc>
        <w:tc>
          <w:tcPr>
            <w:tcW w:w="380" w:type="dxa"/>
            <w:vAlign w:val="bottom"/>
            <w:shd w:val="clear" w:color="auto" w:fill="004054"/>
          </w:tcPr>
          <w:p>
            <w:pPr>
              <w:spacing w:after="0"/>
              <w:rPr>
                <w:sz w:val="6"/>
                <w:szCs w:val="6"/>
                <w:color w:val="auto"/>
              </w:rPr>
            </w:pPr>
          </w:p>
        </w:tc>
        <w:tc>
          <w:tcPr>
            <w:tcW w:w="1160" w:type="dxa"/>
            <w:vAlign w:val="bottom"/>
            <w:shd w:val="clear" w:color="auto" w:fill="004054"/>
          </w:tcPr>
          <w:p>
            <w:pPr>
              <w:spacing w:after="0"/>
              <w:rPr>
                <w:sz w:val="6"/>
                <w:szCs w:val="6"/>
                <w:color w:val="auto"/>
              </w:rPr>
            </w:pPr>
          </w:p>
        </w:tc>
        <w:tc>
          <w:tcPr>
            <w:tcW w:w="380" w:type="dxa"/>
            <w:vAlign w:val="bottom"/>
            <w:shd w:val="clear" w:color="auto" w:fill="004054"/>
          </w:tcPr>
          <w:p>
            <w:pPr>
              <w:spacing w:after="0"/>
              <w:rPr>
                <w:sz w:val="6"/>
                <w:szCs w:val="6"/>
                <w:color w:val="auto"/>
              </w:rPr>
            </w:pPr>
          </w:p>
        </w:tc>
        <w:tc>
          <w:tcPr>
            <w:tcW w:w="11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52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Restricted cash due to customers</w:t>
            </w:r>
          </w:p>
        </w:tc>
        <w:tc>
          <w:tcPr>
            <w:tcW w:w="3280" w:type="dxa"/>
            <w:vAlign w:val="bottom"/>
            <w:tcBorders>
              <w:bottom w:val="single" w:sz="8" w:color="EBFBFF"/>
            </w:tcBorders>
            <w:gridSpan w:val="2"/>
            <w:shd w:val="clear" w:color="auto" w:fill="EBFBFF"/>
          </w:tcPr>
          <w:p>
            <w:pPr>
              <w:jc w:val="right"/>
              <w:ind w:right="260"/>
              <w:spacing w:after="0"/>
              <w:rPr>
                <w:sz w:val="20"/>
                <w:szCs w:val="20"/>
                <w:color w:val="auto"/>
              </w:rPr>
            </w:pPr>
            <w:r>
              <w:rPr>
                <w:rFonts w:ascii="Calibri" w:cs="Calibri" w:eastAsia="Calibri" w:hAnsi="Calibri"/>
                <w:sz w:val="18"/>
                <w:szCs w:val="18"/>
                <w:color w:val="51555C"/>
              </w:rPr>
              <w:t>$</w:t>
            </w: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426,750</w:t>
            </w:r>
          </w:p>
        </w:tc>
        <w:tc>
          <w:tcPr>
            <w:tcW w:w="380" w:type="dxa"/>
            <w:vAlign w:val="bottom"/>
            <w:tcBorders>
              <w:bottom w:val="single" w:sz="8" w:color="EBFBFF"/>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w w:val="87"/>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695,489</w:t>
            </w:r>
          </w:p>
        </w:tc>
        <w:tc>
          <w:tcPr>
            <w:tcW w:w="20" w:type="dxa"/>
            <w:vAlign w:val="bottom"/>
          </w:tcPr>
          <w:p>
            <w:pPr>
              <w:spacing w:after="0"/>
              <w:rPr>
                <w:sz w:val="21"/>
                <w:szCs w:val="21"/>
                <w:color w:val="auto"/>
              </w:rPr>
            </w:pPr>
          </w:p>
        </w:tc>
      </w:tr>
      <w:tr>
        <w:trPr>
          <w:trHeight w:val="274"/>
        </w:trPr>
        <w:tc>
          <w:tcPr>
            <w:tcW w:w="5280" w:type="dxa"/>
            <w:vAlign w:val="bottom"/>
          </w:tcPr>
          <w:p>
            <w:pPr>
              <w:ind w:left="20"/>
              <w:spacing w:after="0"/>
              <w:rPr>
                <w:sz w:val="20"/>
                <w:szCs w:val="20"/>
                <w:color w:val="auto"/>
              </w:rPr>
            </w:pPr>
            <w:r>
              <w:rPr>
                <w:rFonts w:ascii="Calibri" w:cs="Calibri" w:eastAsia="Calibri" w:hAnsi="Calibri"/>
                <w:sz w:val="18"/>
                <w:szCs w:val="18"/>
                <w:color w:val="51555C"/>
              </w:rPr>
              <w:t>Real estate escrow balances and other</w:t>
            </w:r>
          </w:p>
        </w:tc>
        <w:tc>
          <w:tcPr>
            <w:tcW w:w="2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1,345</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1,517</w:t>
            </w:r>
          </w:p>
        </w:tc>
        <w:tc>
          <w:tcPr>
            <w:tcW w:w="20" w:type="dxa"/>
            <w:vAlign w:val="bottom"/>
          </w:tcPr>
          <w:p>
            <w:pPr>
              <w:spacing w:after="0"/>
              <w:rPr>
                <w:sz w:val="23"/>
                <w:szCs w:val="23"/>
                <w:color w:val="auto"/>
              </w:rPr>
            </w:pPr>
          </w:p>
        </w:tc>
      </w:tr>
      <w:tr>
        <w:trPr>
          <w:trHeight w:val="51"/>
        </w:trPr>
        <w:tc>
          <w:tcPr>
            <w:tcW w:w="5280" w:type="dxa"/>
            <w:vAlign w:val="bottom"/>
            <w:tcBorders>
              <w:bottom w:val="single" w:sz="8" w:color="EBFBFF"/>
            </w:tcBorders>
          </w:tcPr>
          <w:p>
            <w:pPr>
              <w:spacing w:after="0"/>
              <w:rPr>
                <w:sz w:val="4"/>
                <w:szCs w:val="4"/>
                <w:color w:val="auto"/>
              </w:rPr>
            </w:pPr>
          </w:p>
        </w:tc>
        <w:tc>
          <w:tcPr>
            <w:tcW w:w="2900" w:type="dxa"/>
            <w:vAlign w:val="bottom"/>
            <w:tcBorders>
              <w:bottom w:val="single" w:sz="8" w:color="EBFBFF"/>
            </w:tcBorders>
          </w:tcPr>
          <w:p>
            <w:pPr>
              <w:spacing w:after="0"/>
              <w:rPr>
                <w:sz w:val="4"/>
                <w:szCs w:val="4"/>
                <w:color w:val="auto"/>
              </w:rPr>
            </w:pPr>
          </w:p>
        </w:tc>
        <w:tc>
          <w:tcPr>
            <w:tcW w:w="380" w:type="dxa"/>
            <w:vAlign w:val="bottom"/>
            <w:tcBorders>
              <w:bottom w:val="single" w:sz="8" w:color="51555C"/>
            </w:tcBorders>
          </w:tcPr>
          <w:p>
            <w:pPr>
              <w:spacing w:after="0"/>
              <w:rPr>
                <w:sz w:val="4"/>
                <w:szCs w:val="4"/>
                <w:color w:val="auto"/>
              </w:rPr>
            </w:pPr>
          </w:p>
        </w:tc>
        <w:tc>
          <w:tcPr>
            <w:tcW w:w="1160" w:type="dxa"/>
            <w:vAlign w:val="bottom"/>
            <w:tcBorders>
              <w:bottom w:val="single" w:sz="8" w:color="51555C"/>
            </w:tcBorders>
          </w:tcPr>
          <w:p>
            <w:pPr>
              <w:spacing w:after="0"/>
              <w:rPr>
                <w:sz w:val="4"/>
                <w:szCs w:val="4"/>
                <w:color w:val="auto"/>
              </w:rPr>
            </w:pPr>
          </w:p>
        </w:tc>
        <w:tc>
          <w:tcPr>
            <w:tcW w:w="380" w:type="dxa"/>
            <w:vAlign w:val="bottom"/>
            <w:tcBorders>
              <w:bottom w:val="single" w:sz="8" w:color="51555C"/>
            </w:tcBorders>
          </w:tcPr>
          <w:p>
            <w:pPr>
              <w:spacing w:after="0"/>
              <w:rPr>
                <w:sz w:val="4"/>
                <w:szCs w:val="4"/>
                <w:color w:val="auto"/>
              </w:rPr>
            </w:pPr>
          </w:p>
        </w:tc>
        <w:tc>
          <w:tcPr>
            <w:tcW w:w="114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528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Total restricted cash</w:t>
            </w:r>
          </w:p>
        </w:tc>
        <w:tc>
          <w:tcPr>
            <w:tcW w:w="3280" w:type="dxa"/>
            <w:vAlign w:val="bottom"/>
            <w:tcBorders>
              <w:bottom w:val="single" w:sz="8" w:color="EBFBFF"/>
            </w:tcBorders>
            <w:gridSpan w:val="2"/>
            <w:shd w:val="clear" w:color="auto" w:fill="EBFBFF"/>
          </w:tcPr>
          <w:p>
            <w:pPr>
              <w:jc w:val="right"/>
              <w:ind w:right="260"/>
              <w:spacing w:after="0" w:line="213" w:lineRule="exact"/>
              <w:rPr>
                <w:sz w:val="20"/>
                <w:szCs w:val="20"/>
                <w:color w:val="auto"/>
              </w:rPr>
            </w:pPr>
            <w:r>
              <w:rPr>
                <w:rFonts w:ascii="Calibri" w:cs="Calibri" w:eastAsia="Calibri" w:hAnsi="Calibri"/>
                <w:sz w:val="18"/>
                <w:szCs w:val="18"/>
                <w:color w:val="51555C"/>
              </w:rPr>
              <w:t>$</w:t>
            </w:r>
          </w:p>
        </w:tc>
        <w:tc>
          <w:tcPr>
            <w:tcW w:w="1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428,095</w:t>
            </w:r>
          </w:p>
        </w:tc>
        <w:tc>
          <w:tcPr>
            <w:tcW w:w="380" w:type="dxa"/>
            <w:vAlign w:val="bottom"/>
            <w:tcBorders>
              <w:bottom w:val="single" w:sz="8" w:color="EBFBFF"/>
            </w:tcBorders>
            <w:shd w:val="clear" w:color="auto" w:fill="EBFBFF"/>
          </w:tcPr>
          <w:p>
            <w:pPr>
              <w:jc w:val="right"/>
              <w:ind w:right="190"/>
              <w:spacing w:after="0" w:line="213" w:lineRule="exact"/>
              <w:rPr>
                <w:sz w:val="20"/>
                <w:szCs w:val="20"/>
                <w:color w:val="auto"/>
              </w:rPr>
            </w:pPr>
            <w:r>
              <w:rPr>
                <w:rFonts w:ascii="Calibri" w:cs="Calibri" w:eastAsia="Calibri" w:hAnsi="Calibri"/>
                <w:sz w:val="18"/>
                <w:szCs w:val="18"/>
                <w:color w:val="51555C"/>
                <w:w w:val="87"/>
              </w:rPr>
              <w:t>$</w:t>
            </w:r>
          </w:p>
        </w:tc>
        <w:tc>
          <w:tcPr>
            <w:tcW w:w="11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697,006</w:t>
            </w:r>
          </w:p>
        </w:tc>
        <w:tc>
          <w:tcPr>
            <w:tcW w:w="20" w:type="dxa"/>
            <w:vAlign w:val="bottom"/>
          </w:tcPr>
          <w:p>
            <w:pPr>
              <w:spacing w:after="0"/>
              <w:rPr>
                <w:sz w:val="22"/>
                <w:szCs w:val="22"/>
                <w:color w:val="auto"/>
              </w:rPr>
            </w:pPr>
          </w:p>
        </w:tc>
      </w:tr>
      <w:tr>
        <w:trPr>
          <w:trHeight w:val="648"/>
        </w:trPr>
        <w:tc>
          <w:tcPr>
            <w:tcW w:w="5280" w:type="dxa"/>
            <w:vAlign w:val="bottom"/>
            <w:tcBorders>
              <w:top w:val="single" w:sz="8" w:color="0CD973"/>
            </w:tcBorders>
          </w:tcPr>
          <w:p>
            <w:pPr>
              <w:spacing w:after="0"/>
              <w:rPr>
                <w:sz w:val="24"/>
                <w:szCs w:val="24"/>
                <w:color w:val="auto"/>
              </w:rPr>
            </w:pPr>
          </w:p>
        </w:tc>
        <w:tc>
          <w:tcPr>
            <w:tcW w:w="4440" w:type="dxa"/>
            <w:vAlign w:val="bottom"/>
            <w:tcBorders>
              <w:top w:val="single" w:sz="8" w:color="0CD973"/>
            </w:tcBorders>
            <w:gridSpan w:val="3"/>
          </w:tcPr>
          <w:p>
            <w:pPr>
              <w:jc w:val="right"/>
              <w:ind w:right="57"/>
              <w:spacing w:after="0"/>
              <w:rPr>
                <w:sz w:val="20"/>
                <w:szCs w:val="20"/>
                <w:color w:val="auto"/>
              </w:rPr>
            </w:pPr>
            <w:r>
              <w:rPr>
                <w:rFonts w:ascii="Calibri" w:cs="Calibri" w:eastAsia="Calibri" w:hAnsi="Calibri"/>
                <w:sz w:val="14"/>
                <w:szCs w:val="14"/>
                <w:color w:val="51555C"/>
              </w:rPr>
              <w:t>Third Quarter 2024 Form 10-Q</w:t>
            </w:r>
          </w:p>
        </w:tc>
        <w:tc>
          <w:tcPr>
            <w:tcW w:w="380" w:type="dxa"/>
            <w:vAlign w:val="bottom"/>
            <w:tcBorders>
              <w:top w:val="single" w:sz="8" w:color="0CD973"/>
            </w:tcBorders>
          </w:tcPr>
          <w:p>
            <w:pPr>
              <w:spacing w:after="0"/>
              <w:rPr>
                <w:sz w:val="24"/>
                <w:szCs w:val="24"/>
                <w:color w:val="auto"/>
              </w:rPr>
            </w:pPr>
          </w:p>
        </w:tc>
        <w:tc>
          <w:tcPr>
            <w:tcW w:w="1140" w:type="dxa"/>
            <w:vAlign w:val="bottom"/>
            <w:tcBorders>
              <w:top w:val="single" w:sz="8" w:color="0CD973"/>
            </w:tcBorders>
          </w:tcPr>
          <w:p>
            <w:pPr>
              <w:jc w:val="right"/>
              <w:spacing w:after="0"/>
              <w:rPr>
                <w:sz w:val="20"/>
                <w:szCs w:val="20"/>
                <w:color w:val="auto"/>
              </w:rPr>
            </w:pPr>
            <w:r>
              <w:rPr>
                <w:rFonts w:ascii="Calibri" w:cs="Calibri" w:eastAsia="Calibri" w:hAnsi="Calibri"/>
                <w:sz w:val="14"/>
                <w:szCs w:val="14"/>
                <w:color w:val="51555C"/>
              </w:rPr>
              <w:t>11</w:t>
            </w:r>
          </w:p>
        </w:tc>
        <w:tc>
          <w:tcPr>
            <w:tcW w:w="20" w:type="dxa"/>
            <w:vAlign w:val="bottom"/>
          </w:tcPr>
          <w:p>
            <w:pPr>
              <w:spacing w:after="0"/>
              <w:rPr>
                <w:sz w:val="24"/>
                <w:szCs w:val="24"/>
                <w:color w:val="auto"/>
              </w:rPr>
            </w:pPr>
          </w:p>
        </w:tc>
      </w:tr>
      <w:tr>
        <w:trPr>
          <w:trHeight w:val="365"/>
        </w:trPr>
        <w:tc>
          <w:tcPr>
            <w:tcW w:w="52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Prepaid expenses and other assets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shd w:val="clear" w:color="auto" w:fill="004054"/>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380" w:type="dxa"/>
            <w:vAlign w:val="bottom"/>
            <w:shd w:val="clear" w:color="auto" w:fill="004054"/>
          </w:tcPr>
          <w:p>
            <w:pPr>
              <w:spacing w:after="0"/>
              <w:rPr>
                <w:sz w:val="16"/>
                <w:szCs w:val="16"/>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170"/>
        </w:trPr>
        <w:tc>
          <w:tcPr>
            <w:tcW w:w="81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380" w:type="dxa"/>
            <w:vAlign w:val="bottom"/>
            <w:shd w:val="clear" w:color="auto" w:fill="004054"/>
          </w:tcPr>
          <w:p>
            <w:pPr>
              <w:spacing w:after="0"/>
              <w:rPr>
                <w:sz w:val="14"/>
                <w:szCs w:val="14"/>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380" w:type="dxa"/>
            <w:vAlign w:val="bottom"/>
            <w:shd w:val="clear" w:color="auto" w:fill="004054"/>
          </w:tcPr>
          <w:p>
            <w:pPr>
              <w:spacing w:after="0"/>
              <w:rPr>
                <w:sz w:val="14"/>
                <w:szCs w:val="14"/>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4"/>
                <w:szCs w:val="14"/>
                <w:color w:val="auto"/>
              </w:rPr>
            </w:pPr>
          </w:p>
        </w:tc>
      </w:tr>
      <w:tr>
        <w:trPr>
          <w:trHeight w:val="74"/>
        </w:trPr>
        <w:tc>
          <w:tcPr>
            <w:tcW w:w="8180" w:type="dxa"/>
            <w:vAlign w:val="bottom"/>
            <w:shd w:val="clear" w:color="auto" w:fill="004054"/>
          </w:tcPr>
          <w:p>
            <w:pPr>
              <w:spacing w:after="0"/>
              <w:rPr>
                <w:sz w:val="6"/>
                <w:szCs w:val="6"/>
                <w:color w:val="auto"/>
              </w:rPr>
            </w:pPr>
          </w:p>
        </w:tc>
        <w:tc>
          <w:tcPr>
            <w:tcW w:w="380" w:type="dxa"/>
            <w:vAlign w:val="bottom"/>
            <w:shd w:val="clear" w:color="auto" w:fill="004054"/>
          </w:tcPr>
          <w:p>
            <w:pPr>
              <w:spacing w:after="0"/>
              <w:rPr>
                <w:sz w:val="6"/>
                <w:szCs w:val="6"/>
                <w:color w:val="auto"/>
              </w:rPr>
            </w:pPr>
          </w:p>
        </w:tc>
        <w:tc>
          <w:tcPr>
            <w:tcW w:w="1160" w:type="dxa"/>
            <w:vAlign w:val="bottom"/>
            <w:shd w:val="clear" w:color="auto" w:fill="004054"/>
          </w:tcPr>
          <w:p>
            <w:pPr>
              <w:spacing w:after="0"/>
              <w:rPr>
                <w:sz w:val="6"/>
                <w:szCs w:val="6"/>
                <w:color w:val="auto"/>
              </w:rPr>
            </w:pPr>
          </w:p>
        </w:tc>
        <w:tc>
          <w:tcPr>
            <w:tcW w:w="380" w:type="dxa"/>
            <w:vAlign w:val="bottom"/>
            <w:shd w:val="clear" w:color="auto" w:fill="004054"/>
          </w:tcPr>
          <w:p>
            <w:pPr>
              <w:spacing w:after="0"/>
              <w:rPr>
                <w:sz w:val="6"/>
                <w:szCs w:val="6"/>
                <w:color w:val="auto"/>
              </w:rPr>
            </w:pPr>
          </w:p>
        </w:tc>
        <w:tc>
          <w:tcPr>
            <w:tcW w:w="11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324"/>
        </w:trPr>
        <w:tc>
          <w:tcPr>
            <w:tcW w:w="818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Costs of obtaining contracts</w:t>
            </w:r>
            <w:r>
              <w:rPr>
                <w:rFonts w:ascii="Calibri" w:cs="Calibri" w:eastAsia="Calibri" w:hAnsi="Calibri"/>
                <w:sz w:val="23"/>
                <w:szCs w:val="23"/>
                <w:color w:val="51555C"/>
                <w:vertAlign w:val="superscript"/>
              </w:rPr>
              <w:t>(1)(2)</w:t>
            </w:r>
          </w:p>
        </w:tc>
        <w:tc>
          <w:tcPr>
            <w:tcW w:w="380" w:type="dxa"/>
            <w:vAlign w:val="bottom"/>
            <w:shd w:val="clear" w:color="auto" w:fill="EBFBFF"/>
          </w:tcPr>
          <w:p>
            <w:pPr>
              <w:jc w:val="right"/>
              <w:ind w:right="170"/>
              <w:spacing w:after="0"/>
              <w:rPr>
                <w:sz w:val="20"/>
                <w:szCs w:val="20"/>
                <w:color w:val="auto"/>
              </w:rPr>
            </w:pPr>
            <w:r>
              <w:rPr>
                <w:rFonts w:ascii="Calibri" w:cs="Calibri" w:eastAsia="Calibri" w:hAnsi="Calibri"/>
                <w:sz w:val="18"/>
                <w:szCs w:val="18"/>
                <w:color w:val="51555C"/>
              </w:rPr>
              <w:t>$</w:t>
            </w:r>
          </w:p>
        </w:tc>
        <w:tc>
          <w:tcPr>
            <w:tcW w:w="116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60,251</w:t>
            </w:r>
          </w:p>
        </w:tc>
        <w:tc>
          <w:tcPr>
            <w:tcW w:w="380" w:type="dxa"/>
            <w:vAlign w:val="bottom"/>
            <w:shd w:val="clear" w:color="auto" w:fill="EBFBFF"/>
          </w:tcPr>
          <w:p>
            <w:pPr>
              <w:jc w:val="right"/>
              <w:ind w:right="190"/>
              <w:spacing w:after="0"/>
              <w:rPr>
                <w:sz w:val="20"/>
                <w:szCs w:val="20"/>
                <w:color w:val="auto"/>
              </w:rPr>
            </w:pPr>
            <w:r>
              <w:rPr>
                <w:rFonts w:ascii="Calibri" w:cs="Calibri" w:eastAsia="Calibri" w:hAnsi="Calibri"/>
                <w:sz w:val="18"/>
                <w:szCs w:val="18"/>
                <w:color w:val="51555C"/>
                <w:w w:val="87"/>
              </w:rPr>
              <w:t>$</w:t>
            </w:r>
          </w:p>
        </w:tc>
        <w:tc>
          <w:tcPr>
            <w:tcW w:w="114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62,377</w:t>
            </w:r>
          </w:p>
        </w:tc>
        <w:tc>
          <w:tcPr>
            <w:tcW w:w="20" w:type="dxa"/>
            <w:vAlign w:val="bottom"/>
          </w:tcPr>
          <w:p>
            <w:pPr>
              <w:spacing w:after="0"/>
              <w:rPr>
                <w:sz w:val="24"/>
                <w:szCs w:val="24"/>
                <w:color w:val="auto"/>
              </w:rPr>
            </w:pPr>
          </w:p>
        </w:tc>
      </w:tr>
      <w:tr>
        <w:trPr>
          <w:trHeight w:val="323"/>
        </w:trPr>
        <w:tc>
          <w:tcPr>
            <w:tcW w:w="8180" w:type="dxa"/>
            <w:vAlign w:val="bottom"/>
          </w:tcPr>
          <w:p>
            <w:pPr>
              <w:ind w:left="20"/>
              <w:spacing w:after="0"/>
              <w:rPr>
                <w:sz w:val="20"/>
                <w:szCs w:val="20"/>
                <w:color w:val="auto"/>
              </w:rPr>
            </w:pPr>
            <w:r>
              <w:rPr>
                <w:rFonts w:ascii="Calibri" w:cs="Calibri" w:eastAsia="Calibri" w:hAnsi="Calibri"/>
                <w:sz w:val="18"/>
                <w:szCs w:val="18"/>
                <w:color w:val="51555C"/>
              </w:rPr>
              <w:t>Prepaid sofware maintenance and subscriptons</w:t>
            </w:r>
            <w:r>
              <w:rPr>
                <w:rFonts w:ascii="Calibri" w:cs="Calibri" w:eastAsia="Calibri" w:hAnsi="Calibri"/>
                <w:sz w:val="23"/>
                <w:szCs w:val="23"/>
                <w:color w:val="51555C"/>
                <w:vertAlign w:val="superscript"/>
              </w:rPr>
              <w:t>(3)</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34,500</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35,169</w:t>
            </w:r>
          </w:p>
        </w:tc>
        <w:tc>
          <w:tcPr>
            <w:tcW w:w="20" w:type="dxa"/>
            <w:vAlign w:val="bottom"/>
          </w:tcPr>
          <w:p>
            <w:pPr>
              <w:spacing w:after="0"/>
              <w:rPr>
                <w:sz w:val="24"/>
                <w:szCs w:val="24"/>
                <w:color w:val="auto"/>
              </w:rPr>
            </w:pPr>
          </w:p>
        </w:tc>
      </w:tr>
      <w:tr>
        <w:trPr>
          <w:trHeight w:val="325"/>
        </w:trPr>
        <w:tc>
          <w:tcPr>
            <w:tcW w:w="818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Implementaton costs for cloud computng arrangements, net</w:t>
            </w:r>
            <w:r>
              <w:rPr>
                <w:rFonts w:ascii="Calibri" w:cs="Calibri" w:eastAsia="Calibri" w:hAnsi="Calibri"/>
                <w:sz w:val="23"/>
                <w:szCs w:val="23"/>
                <w:color w:val="51555C"/>
                <w:vertAlign w:val="superscript"/>
              </w:rPr>
              <w:t>(4)(5)</w:t>
            </w:r>
          </w:p>
        </w:tc>
        <w:tc>
          <w:tcPr>
            <w:tcW w:w="380" w:type="dxa"/>
            <w:vAlign w:val="bottom"/>
            <w:shd w:val="clear" w:color="auto" w:fill="EBFBFF"/>
          </w:tcPr>
          <w:p>
            <w:pPr>
              <w:spacing w:after="0"/>
              <w:rPr>
                <w:sz w:val="24"/>
                <w:szCs w:val="24"/>
                <w:color w:val="auto"/>
              </w:rPr>
            </w:pPr>
          </w:p>
        </w:tc>
        <w:tc>
          <w:tcPr>
            <w:tcW w:w="116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10,479</w:t>
            </w:r>
          </w:p>
        </w:tc>
        <w:tc>
          <w:tcPr>
            <w:tcW w:w="380" w:type="dxa"/>
            <w:vAlign w:val="bottom"/>
            <w:shd w:val="clear" w:color="auto" w:fill="EBFBFF"/>
          </w:tcPr>
          <w:p>
            <w:pPr>
              <w:spacing w:after="0"/>
              <w:rPr>
                <w:sz w:val="24"/>
                <w:szCs w:val="24"/>
                <w:color w:val="auto"/>
              </w:rPr>
            </w:pPr>
          </w:p>
        </w:tc>
        <w:tc>
          <w:tcPr>
            <w:tcW w:w="114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9,259</w:t>
            </w:r>
          </w:p>
        </w:tc>
        <w:tc>
          <w:tcPr>
            <w:tcW w:w="20" w:type="dxa"/>
            <w:vAlign w:val="bottom"/>
          </w:tcPr>
          <w:p>
            <w:pPr>
              <w:spacing w:after="0"/>
              <w:rPr>
                <w:sz w:val="24"/>
                <w:szCs w:val="24"/>
                <w:color w:val="auto"/>
              </w:rPr>
            </w:pPr>
          </w:p>
        </w:tc>
      </w:tr>
      <w:tr>
        <w:trPr>
          <w:trHeight w:val="219"/>
        </w:trPr>
        <w:tc>
          <w:tcPr>
            <w:tcW w:w="8180" w:type="dxa"/>
            <w:vAlign w:val="bottom"/>
          </w:tcPr>
          <w:p>
            <w:pPr>
              <w:ind w:left="20"/>
              <w:spacing w:after="0"/>
              <w:rPr>
                <w:sz w:val="20"/>
                <w:szCs w:val="20"/>
                <w:color w:val="auto"/>
              </w:rPr>
            </w:pPr>
            <w:r>
              <w:rPr>
                <w:rFonts w:ascii="Calibri" w:cs="Calibri" w:eastAsia="Calibri" w:hAnsi="Calibri"/>
                <w:sz w:val="18"/>
                <w:szCs w:val="18"/>
                <w:color w:val="51555C"/>
              </w:rPr>
              <w:t>Taxes, prepaid and receivable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7,376</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3,418</w:t>
            </w:r>
          </w:p>
        </w:tc>
        <w:tc>
          <w:tcPr>
            <w:tcW w:w="20" w:type="dxa"/>
            <w:vAlign w:val="bottom"/>
          </w:tcPr>
          <w:p>
            <w:pPr>
              <w:spacing w:after="0"/>
              <w:rPr>
                <w:sz w:val="19"/>
                <w:szCs w:val="19"/>
                <w:color w:val="auto"/>
              </w:rPr>
            </w:pPr>
          </w:p>
        </w:tc>
      </w:tr>
      <w:tr>
        <w:trPr>
          <w:trHeight w:val="50"/>
        </w:trPr>
        <w:tc>
          <w:tcPr>
            <w:tcW w:w="8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81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Unbilled accounts receivable</w:t>
            </w:r>
          </w:p>
        </w:tc>
        <w:tc>
          <w:tcPr>
            <w:tcW w:w="3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6,427</w:t>
            </w:r>
          </w:p>
        </w:tc>
        <w:tc>
          <w:tcPr>
            <w:tcW w:w="38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5,615</w:t>
            </w:r>
          </w:p>
        </w:tc>
        <w:tc>
          <w:tcPr>
            <w:tcW w:w="20" w:type="dxa"/>
            <w:vAlign w:val="bottom"/>
          </w:tcPr>
          <w:p>
            <w:pPr>
              <w:spacing w:after="0"/>
              <w:rPr>
                <w:sz w:val="21"/>
                <w:szCs w:val="21"/>
                <w:color w:val="auto"/>
              </w:rPr>
            </w:pPr>
          </w:p>
        </w:tc>
      </w:tr>
      <w:tr>
        <w:trPr>
          <w:trHeight w:val="323"/>
        </w:trPr>
        <w:tc>
          <w:tcPr>
            <w:tcW w:w="8180" w:type="dxa"/>
            <w:vAlign w:val="bottom"/>
          </w:tcPr>
          <w:p>
            <w:pPr>
              <w:ind w:left="20"/>
              <w:spacing w:after="0"/>
              <w:rPr>
                <w:sz w:val="20"/>
                <w:szCs w:val="20"/>
                <w:color w:val="auto"/>
              </w:rPr>
            </w:pPr>
            <w:r>
              <w:rPr>
                <w:rFonts w:ascii="Calibri" w:cs="Calibri" w:eastAsia="Calibri" w:hAnsi="Calibri"/>
                <w:sz w:val="18"/>
                <w:szCs w:val="18"/>
                <w:color w:val="51555C"/>
              </w:rPr>
              <w:t>Investment in equity securites</w:t>
            </w:r>
            <w:r>
              <w:rPr>
                <w:rFonts w:ascii="Calibri" w:cs="Calibri" w:eastAsia="Calibri" w:hAnsi="Calibri"/>
                <w:sz w:val="23"/>
                <w:szCs w:val="23"/>
                <w:color w:val="51555C"/>
                <w:vertAlign w:val="superscript"/>
              </w:rPr>
              <w:t>(6)</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5,284</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24"/>
                <w:szCs w:val="24"/>
                <w:color w:val="auto"/>
              </w:rPr>
            </w:pPr>
          </w:p>
        </w:tc>
      </w:tr>
      <w:tr>
        <w:trPr>
          <w:trHeight w:val="251"/>
        </w:trPr>
        <w:tc>
          <w:tcPr>
            <w:tcW w:w="81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Prepaid insurance</w:t>
            </w:r>
          </w:p>
        </w:tc>
        <w:tc>
          <w:tcPr>
            <w:tcW w:w="3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5,026</w:t>
            </w:r>
          </w:p>
        </w:tc>
        <w:tc>
          <w:tcPr>
            <w:tcW w:w="38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3,940</w:t>
            </w:r>
          </w:p>
        </w:tc>
        <w:tc>
          <w:tcPr>
            <w:tcW w:w="20" w:type="dxa"/>
            <w:vAlign w:val="bottom"/>
          </w:tcPr>
          <w:p>
            <w:pPr>
              <w:spacing w:after="0"/>
              <w:rPr>
                <w:sz w:val="21"/>
                <w:szCs w:val="21"/>
                <w:color w:val="auto"/>
              </w:rPr>
            </w:pPr>
          </w:p>
        </w:tc>
      </w:tr>
      <w:tr>
        <w:trPr>
          <w:trHeight w:val="220"/>
        </w:trPr>
        <w:tc>
          <w:tcPr>
            <w:tcW w:w="8180" w:type="dxa"/>
            <w:vAlign w:val="bottom"/>
          </w:tcPr>
          <w:p>
            <w:pPr>
              <w:ind w:left="20"/>
              <w:spacing w:after="0"/>
              <w:rPr>
                <w:sz w:val="20"/>
                <w:szCs w:val="20"/>
                <w:color w:val="auto"/>
              </w:rPr>
            </w:pPr>
            <w:r>
              <w:rPr>
                <w:rFonts w:ascii="Calibri" w:cs="Calibri" w:eastAsia="Calibri" w:hAnsi="Calibri"/>
                <w:sz w:val="18"/>
                <w:szCs w:val="18"/>
                <w:color w:val="51555C"/>
              </w:rPr>
              <w:t>Derivatve instruments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1,753</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16,198</w:t>
            </w:r>
          </w:p>
        </w:tc>
        <w:tc>
          <w:tcPr>
            <w:tcW w:w="20" w:type="dxa"/>
            <w:vAlign w:val="bottom"/>
          </w:tcPr>
          <w:p>
            <w:pPr>
              <w:spacing w:after="0"/>
              <w:rPr>
                <w:sz w:val="19"/>
                <w:szCs w:val="19"/>
                <w:color w:val="auto"/>
              </w:rPr>
            </w:pPr>
          </w:p>
        </w:tc>
      </w:tr>
      <w:tr>
        <w:trPr>
          <w:trHeight w:val="50"/>
        </w:trPr>
        <w:tc>
          <w:tcPr>
            <w:tcW w:w="8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81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Other assets</w:t>
            </w:r>
          </w:p>
        </w:tc>
        <w:tc>
          <w:tcPr>
            <w:tcW w:w="380" w:type="dxa"/>
            <w:vAlign w:val="bottom"/>
            <w:tcBorders>
              <w:bottom w:val="single" w:sz="8" w:color="EBFBFF"/>
            </w:tcBorders>
            <w:shd w:val="clear" w:color="auto" w:fill="EBFBFF"/>
          </w:tcPr>
          <w:p>
            <w:pPr>
              <w:spacing w:after="0"/>
              <w:rPr>
                <w:sz w:val="23"/>
                <w:szCs w:val="23"/>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16,847</w:t>
            </w:r>
          </w:p>
        </w:tc>
        <w:tc>
          <w:tcPr>
            <w:tcW w:w="380" w:type="dxa"/>
            <w:vAlign w:val="bottom"/>
            <w:tcBorders>
              <w:bottom w:val="single" w:sz="8" w:color="EBFBFF"/>
            </w:tcBorders>
            <w:shd w:val="clear" w:color="auto" w:fill="EBFBFF"/>
          </w:tcPr>
          <w:p>
            <w:pPr>
              <w:spacing w:after="0"/>
              <w:rPr>
                <w:sz w:val="23"/>
                <w:szCs w:val="23"/>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14,346</w:t>
            </w:r>
          </w:p>
        </w:tc>
        <w:tc>
          <w:tcPr>
            <w:tcW w:w="20" w:type="dxa"/>
            <w:vAlign w:val="bottom"/>
          </w:tcPr>
          <w:p>
            <w:pPr>
              <w:spacing w:after="0"/>
              <w:rPr>
                <w:sz w:val="23"/>
                <w:szCs w:val="23"/>
                <w:color w:val="auto"/>
              </w:rPr>
            </w:pPr>
          </w:p>
        </w:tc>
      </w:tr>
      <w:tr>
        <w:trPr>
          <w:trHeight w:val="213"/>
        </w:trPr>
        <w:tc>
          <w:tcPr>
            <w:tcW w:w="8180" w:type="dxa"/>
            <w:vAlign w:val="bottom"/>
          </w:tcPr>
          <w:p>
            <w:pPr>
              <w:ind w:left="140"/>
              <w:spacing w:after="0" w:line="199" w:lineRule="exact"/>
              <w:rPr>
                <w:sz w:val="20"/>
                <w:szCs w:val="20"/>
                <w:color w:val="auto"/>
              </w:rPr>
            </w:pPr>
            <w:r>
              <w:rPr>
                <w:rFonts w:ascii="Calibri" w:cs="Calibri" w:eastAsia="Calibri" w:hAnsi="Calibri"/>
                <w:sz w:val="18"/>
                <w:szCs w:val="18"/>
                <w:color w:val="51555C"/>
              </w:rPr>
              <w:t>Total prepaid expenses and other assets</w:t>
            </w:r>
          </w:p>
        </w:tc>
        <w:tc>
          <w:tcPr>
            <w:tcW w:w="380" w:type="dxa"/>
            <w:vAlign w:val="bottom"/>
            <w:tcBorders>
              <w:top w:val="single" w:sz="8" w:color="51555C"/>
            </w:tcBorders>
          </w:tcPr>
          <w:p>
            <w:pPr>
              <w:spacing w:after="0"/>
              <w:rPr>
                <w:sz w:val="18"/>
                <w:szCs w:val="18"/>
                <w:color w:val="auto"/>
              </w:rPr>
            </w:pPr>
          </w:p>
        </w:tc>
        <w:tc>
          <w:tcPr>
            <w:tcW w:w="11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147,943</w:t>
            </w:r>
          </w:p>
        </w:tc>
        <w:tc>
          <w:tcPr>
            <w:tcW w:w="380" w:type="dxa"/>
            <w:vAlign w:val="bottom"/>
            <w:tcBorders>
              <w:top w:val="single" w:sz="8" w:color="51555C"/>
            </w:tcBorders>
          </w:tcPr>
          <w:p>
            <w:pPr>
              <w:spacing w:after="0"/>
              <w:rPr>
                <w:sz w:val="18"/>
                <w:szCs w:val="18"/>
                <w:color w:val="auto"/>
              </w:rPr>
            </w:pPr>
          </w:p>
        </w:tc>
        <w:tc>
          <w:tcPr>
            <w:tcW w:w="11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150,322</w:t>
            </w:r>
          </w:p>
        </w:tc>
        <w:tc>
          <w:tcPr>
            <w:tcW w:w="20" w:type="dxa"/>
            <w:vAlign w:val="bottom"/>
          </w:tcPr>
          <w:p>
            <w:pPr>
              <w:spacing w:after="0"/>
              <w:rPr>
                <w:sz w:val="18"/>
                <w:szCs w:val="18"/>
                <w:color w:val="auto"/>
              </w:rPr>
            </w:pPr>
          </w:p>
        </w:tc>
      </w:tr>
      <w:tr>
        <w:trPr>
          <w:trHeight w:val="50"/>
        </w:trPr>
        <w:tc>
          <w:tcPr>
            <w:tcW w:w="8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81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Less: Long-term porton</w:t>
            </w:r>
          </w:p>
        </w:tc>
        <w:tc>
          <w:tcPr>
            <w:tcW w:w="380" w:type="dxa"/>
            <w:vAlign w:val="bottom"/>
            <w:tcBorders>
              <w:bottom w:val="single" w:sz="8" w:color="EBFBFF"/>
            </w:tcBorders>
            <w:shd w:val="clear" w:color="auto" w:fill="EBFBFF"/>
          </w:tcPr>
          <w:p>
            <w:pPr>
              <w:spacing w:after="0"/>
              <w:rPr>
                <w:sz w:val="23"/>
                <w:szCs w:val="23"/>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60,444</w:t>
            </w:r>
          </w:p>
        </w:tc>
        <w:tc>
          <w:tcPr>
            <w:tcW w:w="380" w:type="dxa"/>
            <w:vAlign w:val="bottom"/>
            <w:tcBorders>
              <w:bottom w:val="single" w:sz="8" w:color="EBFBFF"/>
            </w:tcBorders>
            <w:shd w:val="clear" w:color="auto" w:fill="EBFBFF"/>
          </w:tcPr>
          <w:p>
            <w:pPr>
              <w:spacing w:after="0"/>
              <w:rPr>
                <w:sz w:val="23"/>
                <w:szCs w:val="23"/>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51,037</w:t>
            </w:r>
          </w:p>
        </w:tc>
        <w:tc>
          <w:tcPr>
            <w:tcW w:w="20" w:type="dxa"/>
            <w:vAlign w:val="bottom"/>
          </w:tcPr>
          <w:p>
            <w:pPr>
              <w:spacing w:after="0"/>
              <w:rPr>
                <w:sz w:val="23"/>
                <w:szCs w:val="23"/>
                <w:color w:val="auto"/>
              </w:rPr>
            </w:pPr>
          </w:p>
        </w:tc>
      </w:tr>
      <w:tr>
        <w:trPr>
          <w:trHeight w:val="213"/>
        </w:trPr>
        <w:tc>
          <w:tcPr>
            <w:tcW w:w="8180" w:type="dxa"/>
            <w:vAlign w:val="bottom"/>
          </w:tcPr>
          <w:p>
            <w:pPr>
              <w:ind w:left="20"/>
              <w:spacing w:after="0" w:line="199" w:lineRule="exact"/>
              <w:rPr>
                <w:sz w:val="20"/>
                <w:szCs w:val="20"/>
                <w:color w:val="auto"/>
              </w:rPr>
            </w:pPr>
            <w:r>
              <w:rPr>
                <w:rFonts w:ascii="Calibri" w:cs="Calibri" w:eastAsia="Calibri" w:hAnsi="Calibri"/>
                <w:sz w:val="18"/>
                <w:szCs w:val="18"/>
                <w:color w:val="51555C"/>
              </w:rPr>
              <w:t>Prepaid expenses and other current assets</w:t>
            </w:r>
          </w:p>
        </w:tc>
        <w:tc>
          <w:tcPr>
            <w:tcW w:w="380" w:type="dxa"/>
            <w:vAlign w:val="bottom"/>
            <w:tcBorders>
              <w:top w:val="single" w:sz="8" w:color="51555C"/>
            </w:tcBorders>
          </w:tcPr>
          <w:p>
            <w:pPr>
              <w:jc w:val="right"/>
              <w:ind w:right="170"/>
              <w:spacing w:after="0" w:line="213" w:lineRule="exact"/>
              <w:rPr>
                <w:sz w:val="20"/>
                <w:szCs w:val="20"/>
                <w:color w:val="auto"/>
              </w:rPr>
            </w:pPr>
            <w:r>
              <w:rPr>
                <w:rFonts w:ascii="Calibri" w:cs="Calibri" w:eastAsia="Calibri" w:hAnsi="Calibri"/>
                <w:sz w:val="18"/>
                <w:szCs w:val="18"/>
                <w:color w:val="51555C"/>
              </w:rPr>
              <w:t>$</w:t>
            </w:r>
          </w:p>
        </w:tc>
        <w:tc>
          <w:tcPr>
            <w:tcW w:w="11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87,499</w:t>
            </w:r>
          </w:p>
        </w:tc>
        <w:tc>
          <w:tcPr>
            <w:tcW w:w="380" w:type="dxa"/>
            <w:vAlign w:val="bottom"/>
            <w:tcBorders>
              <w:top w:val="single" w:sz="8" w:color="51555C"/>
            </w:tcBorders>
          </w:tcPr>
          <w:p>
            <w:pPr>
              <w:jc w:val="right"/>
              <w:ind w:right="190"/>
              <w:spacing w:after="0" w:line="213" w:lineRule="exact"/>
              <w:rPr>
                <w:sz w:val="20"/>
                <w:szCs w:val="20"/>
                <w:color w:val="auto"/>
              </w:rPr>
            </w:pPr>
            <w:r>
              <w:rPr>
                <w:rFonts w:ascii="Calibri" w:cs="Calibri" w:eastAsia="Calibri" w:hAnsi="Calibri"/>
                <w:sz w:val="18"/>
                <w:szCs w:val="18"/>
                <w:color w:val="51555C"/>
                <w:w w:val="87"/>
              </w:rPr>
              <w:t>$</w:t>
            </w:r>
          </w:p>
        </w:tc>
        <w:tc>
          <w:tcPr>
            <w:tcW w:w="11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99,285</w:t>
            </w:r>
          </w:p>
        </w:tc>
        <w:tc>
          <w:tcPr>
            <w:tcW w:w="20" w:type="dxa"/>
            <w:vAlign w:val="bottom"/>
          </w:tcPr>
          <w:p>
            <w:pPr>
              <w:spacing w:after="0"/>
              <w:rPr>
                <w:sz w:val="18"/>
                <w:szCs w:val="18"/>
                <w:color w:val="auto"/>
              </w:rPr>
            </w:pPr>
          </w:p>
        </w:tc>
      </w:tr>
      <w:tr>
        <w:trPr>
          <w:trHeight w:val="50"/>
        </w:trPr>
        <w:tc>
          <w:tcPr>
            <w:tcW w:w="8180" w:type="dxa"/>
            <w:vAlign w:val="bottom"/>
            <w:tcBorders>
              <w:bottom w:val="single" w:sz="8" w:color="0CD973"/>
            </w:tcBorders>
          </w:tcPr>
          <w:p>
            <w:pPr>
              <w:spacing w:after="0"/>
              <w:rPr>
                <w:sz w:val="4"/>
                <w:szCs w:val="4"/>
                <w:color w:val="auto"/>
              </w:rPr>
            </w:pPr>
          </w:p>
        </w:tc>
        <w:tc>
          <w:tcPr>
            <w:tcW w:w="380" w:type="dxa"/>
            <w:vAlign w:val="bottom"/>
            <w:tcBorders>
              <w:bottom w:val="single" w:sz="8" w:color="0CD973"/>
            </w:tcBorders>
          </w:tcPr>
          <w:p>
            <w:pPr>
              <w:spacing w:after="0"/>
              <w:rPr>
                <w:sz w:val="4"/>
                <w:szCs w:val="4"/>
                <w:color w:val="auto"/>
              </w:rPr>
            </w:pPr>
          </w:p>
        </w:tc>
        <w:tc>
          <w:tcPr>
            <w:tcW w:w="1160" w:type="dxa"/>
            <w:vAlign w:val="bottom"/>
            <w:tcBorders>
              <w:bottom w:val="single" w:sz="8" w:color="0CD973"/>
            </w:tcBorders>
          </w:tcPr>
          <w:p>
            <w:pPr>
              <w:spacing w:after="0"/>
              <w:rPr>
                <w:sz w:val="4"/>
                <w:szCs w:val="4"/>
                <w:color w:val="auto"/>
              </w:rPr>
            </w:pPr>
          </w:p>
        </w:tc>
        <w:tc>
          <w:tcPr>
            <w:tcW w:w="380" w:type="dxa"/>
            <w:vAlign w:val="bottom"/>
            <w:tcBorders>
              <w:bottom w:val="single" w:sz="8" w:color="0CD973"/>
            </w:tcBorders>
          </w:tcPr>
          <w:p>
            <w:pPr>
              <w:spacing w:after="0"/>
              <w:rPr>
                <w:sz w:val="4"/>
                <w:szCs w:val="4"/>
                <w:color w:val="auto"/>
              </w:rPr>
            </w:pPr>
          </w:p>
        </w:tc>
        <w:tc>
          <w:tcPr>
            <w:tcW w:w="114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53" w:lineRule="exact"/>
        <w:rPr>
          <w:sz w:val="20"/>
          <w:szCs w:val="20"/>
          <w:color w:val="auto"/>
        </w:rPr>
      </w:pPr>
    </w:p>
    <w:p>
      <w:pPr>
        <w:ind w:left="340" w:right="40" w:hanging="332"/>
        <w:spacing w:after="0" w:line="245" w:lineRule="auto"/>
        <w:tabs>
          <w:tab w:leader="none" w:pos="338" w:val="left"/>
        </w:tabs>
        <w:numPr>
          <w:ilvl w:val="0"/>
          <w:numId w:val="5"/>
        </w:numPr>
        <w:rPr>
          <w:rFonts w:ascii="Calibri" w:cs="Calibri" w:eastAsia="Calibri" w:hAnsi="Calibri"/>
          <w:sz w:val="14"/>
          <w:szCs w:val="14"/>
          <w:color w:val="51555C"/>
        </w:rPr>
      </w:pPr>
      <w:r>
        <w:rPr>
          <w:rFonts w:ascii="Calibri" w:cs="Calibri" w:eastAsia="Calibri" w:hAnsi="Calibri"/>
          <w:sz w:val="14"/>
          <w:szCs w:val="14"/>
          <w:color w:val="51555C"/>
        </w:rPr>
        <w:t>Amortzaton expense from costs of obtaining contracts was $5.1 million and $14.8 million for the three and nine months ended September 30, 2024, respectvely, and $7.9 million and $24.3 million for the three and nine months ended September 30, 2023, respectvely.</w:t>
      </w:r>
    </w:p>
    <w:p>
      <w:pPr>
        <w:spacing w:after="0" w:line="1" w:lineRule="exact"/>
        <w:rPr>
          <w:rFonts w:ascii="Calibri" w:cs="Calibri" w:eastAsia="Calibri" w:hAnsi="Calibri"/>
          <w:sz w:val="14"/>
          <w:szCs w:val="14"/>
          <w:color w:val="51555C"/>
        </w:rPr>
      </w:pPr>
    </w:p>
    <w:p>
      <w:pPr>
        <w:ind w:left="340" w:hanging="332"/>
        <w:spacing w:after="0"/>
        <w:tabs>
          <w:tab w:leader="none" w:pos="340" w:val="left"/>
        </w:tabs>
        <w:numPr>
          <w:ilvl w:val="0"/>
          <w:numId w:val="5"/>
        </w:numPr>
        <w:rPr>
          <w:rFonts w:ascii="Calibri" w:cs="Calibri" w:eastAsia="Calibri" w:hAnsi="Calibri"/>
          <w:sz w:val="14"/>
          <w:szCs w:val="14"/>
          <w:color w:val="51555C"/>
        </w:rPr>
      </w:pPr>
      <w:r>
        <w:rPr>
          <w:rFonts w:ascii="Calibri" w:cs="Calibri" w:eastAsia="Calibri" w:hAnsi="Calibri"/>
          <w:sz w:val="14"/>
          <w:szCs w:val="14"/>
          <w:color w:val="51555C"/>
        </w:rPr>
        <w:t>The current porton of costs of obtaining contracts as of September 30, 2024 and December 31, 2023 was $19.8 million and $25.3 million, respectvely.</w:t>
      </w:r>
    </w:p>
    <w:p>
      <w:pPr>
        <w:spacing w:after="0" w:line="4" w:lineRule="exact"/>
        <w:rPr>
          <w:rFonts w:ascii="Calibri" w:cs="Calibri" w:eastAsia="Calibri" w:hAnsi="Calibri"/>
          <w:sz w:val="14"/>
          <w:szCs w:val="14"/>
          <w:color w:val="51555C"/>
        </w:rPr>
      </w:pPr>
    </w:p>
    <w:p>
      <w:pPr>
        <w:ind w:left="340" w:hanging="332"/>
        <w:spacing w:after="0"/>
        <w:tabs>
          <w:tab w:leader="none" w:pos="340" w:val="left"/>
        </w:tabs>
        <w:numPr>
          <w:ilvl w:val="0"/>
          <w:numId w:val="5"/>
        </w:numPr>
        <w:rPr>
          <w:rFonts w:ascii="Calibri" w:cs="Calibri" w:eastAsia="Calibri" w:hAnsi="Calibri"/>
          <w:sz w:val="14"/>
          <w:szCs w:val="14"/>
          <w:color w:val="51555C"/>
        </w:rPr>
      </w:pPr>
      <w:r>
        <w:rPr>
          <w:rFonts w:ascii="Calibri" w:cs="Calibri" w:eastAsia="Calibri" w:hAnsi="Calibri"/>
          <w:sz w:val="14"/>
          <w:szCs w:val="14"/>
          <w:color w:val="51555C"/>
        </w:rPr>
        <w:t>The current porton of prepaid sofware maintenance and subscriptons as of September 30, 2024 and December 31, 2023 was $31.8 million and $32.4 million, respectvely.</w:t>
      </w:r>
    </w:p>
    <w:p>
      <w:pPr>
        <w:spacing w:after="0" w:line="5" w:lineRule="exact"/>
        <w:rPr>
          <w:rFonts w:ascii="Calibri" w:cs="Calibri" w:eastAsia="Calibri" w:hAnsi="Calibri"/>
          <w:sz w:val="14"/>
          <w:szCs w:val="14"/>
          <w:color w:val="51555C"/>
        </w:rPr>
      </w:pPr>
    </w:p>
    <w:p>
      <w:pPr>
        <w:ind w:left="340" w:right="20" w:hanging="332"/>
        <w:spacing w:after="0"/>
        <w:tabs>
          <w:tab w:leader="none" w:pos="338" w:val="left"/>
        </w:tabs>
        <w:numPr>
          <w:ilvl w:val="0"/>
          <w:numId w:val="5"/>
        </w:numPr>
        <w:rPr>
          <w:rFonts w:ascii="Calibri" w:cs="Calibri" w:eastAsia="Calibri" w:hAnsi="Calibri"/>
          <w:sz w:val="14"/>
          <w:szCs w:val="14"/>
          <w:color w:val="51555C"/>
        </w:rPr>
      </w:pPr>
      <w:r>
        <w:rPr>
          <w:rFonts w:ascii="Calibri" w:cs="Calibri" w:eastAsia="Calibri" w:hAnsi="Calibri"/>
          <w:sz w:val="14"/>
          <w:szCs w:val="14"/>
          <w:color w:val="51555C"/>
        </w:rPr>
        <w:t>These costs primarily relate to the mult-year implementatons of our new global enterprise resource planning, customer relatonship management systems and other cloud-based systems.</w:t>
      </w:r>
    </w:p>
    <w:p>
      <w:pPr>
        <w:spacing w:after="0" w:line="166" w:lineRule="exact"/>
        <w:rPr>
          <w:rFonts w:ascii="Calibri" w:cs="Calibri" w:eastAsia="Calibri" w:hAnsi="Calibri"/>
          <w:sz w:val="14"/>
          <w:szCs w:val="14"/>
          <w:color w:val="51555C"/>
        </w:rPr>
      </w:pPr>
    </w:p>
    <w:p>
      <w:pPr>
        <w:jc w:val="both"/>
        <w:ind w:left="340" w:right="20" w:hanging="332"/>
        <w:spacing w:after="0" w:line="245" w:lineRule="auto"/>
        <w:tabs>
          <w:tab w:leader="none" w:pos="338" w:val="left"/>
        </w:tabs>
        <w:numPr>
          <w:ilvl w:val="0"/>
          <w:numId w:val="5"/>
        </w:numPr>
        <w:rPr>
          <w:rFonts w:ascii="Calibri" w:cs="Calibri" w:eastAsia="Calibri" w:hAnsi="Calibri"/>
          <w:sz w:val="14"/>
          <w:szCs w:val="14"/>
          <w:color w:val="51555C"/>
        </w:rPr>
      </w:pPr>
      <w:r>
        <w:rPr>
          <w:rFonts w:ascii="Calibri" w:cs="Calibri" w:eastAsia="Calibri" w:hAnsi="Calibri"/>
          <w:sz w:val="14"/>
          <w:szCs w:val="14"/>
          <w:color w:val="51555C"/>
        </w:rPr>
        <w:t>Amortzaton expense from capitalized cloud computng implementaton costs was $0.8 million and insignifcant for the three months ended September 30, 2024 and 2023, respectvely, and $2.1 million and $1.8 million for the nine months ended September 30, 2024 and 2023, respectvely. Accumulated amortzaton for these costs was $9.8 million and $7.7 million as of September 30, 2024 and December 31, 2023, respectvely.</w:t>
      </w:r>
    </w:p>
    <w:p>
      <w:pPr>
        <w:spacing w:after="0" w:line="2" w:lineRule="exact"/>
        <w:rPr>
          <w:rFonts w:ascii="Calibri" w:cs="Calibri" w:eastAsia="Calibri" w:hAnsi="Calibri"/>
          <w:sz w:val="14"/>
          <w:szCs w:val="14"/>
          <w:color w:val="51555C"/>
        </w:rPr>
      </w:pPr>
    </w:p>
    <w:p>
      <w:pPr>
        <w:ind w:left="340" w:hanging="332"/>
        <w:spacing w:after="0"/>
        <w:tabs>
          <w:tab w:leader="none" w:pos="340" w:val="left"/>
        </w:tabs>
        <w:numPr>
          <w:ilvl w:val="0"/>
          <w:numId w:val="5"/>
        </w:numPr>
        <w:rPr>
          <w:rFonts w:ascii="Calibri" w:cs="Calibri" w:eastAsia="Calibri" w:hAnsi="Calibri"/>
          <w:sz w:val="14"/>
          <w:szCs w:val="14"/>
          <w:color w:val="51555C"/>
        </w:rPr>
      </w:pPr>
      <w:r>
        <w:rPr>
          <w:rFonts w:ascii="Calibri" w:cs="Calibri" w:eastAsia="Calibri" w:hAnsi="Calibri"/>
          <w:sz w:val="14"/>
          <w:szCs w:val="14"/>
          <w:color w:val="51555C"/>
        </w:rPr>
        <w:t>Represents a strategic investment that did not result in Blackbaud having signifcant infuence over the investee.</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Accrued expenses and other liabilites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shd w:val="clear" w:color="auto" w:fill="004054"/>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380" w:type="dxa"/>
            <w:vAlign w:val="bottom"/>
            <w:shd w:val="clear" w:color="auto" w:fill="004054"/>
          </w:tcPr>
          <w:p>
            <w:pPr>
              <w:spacing w:after="0"/>
              <w:rPr>
                <w:sz w:val="16"/>
                <w:szCs w:val="16"/>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170"/>
        </w:trPr>
        <w:tc>
          <w:tcPr>
            <w:tcW w:w="81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380" w:type="dxa"/>
            <w:vAlign w:val="bottom"/>
            <w:shd w:val="clear" w:color="auto" w:fill="004054"/>
          </w:tcPr>
          <w:p>
            <w:pPr>
              <w:spacing w:after="0"/>
              <w:rPr>
                <w:sz w:val="14"/>
                <w:szCs w:val="14"/>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380" w:type="dxa"/>
            <w:vAlign w:val="bottom"/>
            <w:shd w:val="clear" w:color="auto" w:fill="004054"/>
          </w:tcPr>
          <w:p>
            <w:pPr>
              <w:spacing w:after="0"/>
              <w:rPr>
                <w:sz w:val="14"/>
                <w:szCs w:val="14"/>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4"/>
                <w:szCs w:val="14"/>
                <w:color w:val="auto"/>
              </w:rPr>
            </w:pPr>
          </w:p>
        </w:tc>
      </w:tr>
      <w:tr>
        <w:trPr>
          <w:trHeight w:val="74"/>
        </w:trPr>
        <w:tc>
          <w:tcPr>
            <w:tcW w:w="8180" w:type="dxa"/>
            <w:vAlign w:val="bottom"/>
            <w:shd w:val="clear" w:color="auto" w:fill="004054"/>
          </w:tcPr>
          <w:p>
            <w:pPr>
              <w:spacing w:after="0"/>
              <w:rPr>
                <w:sz w:val="6"/>
                <w:szCs w:val="6"/>
                <w:color w:val="auto"/>
              </w:rPr>
            </w:pPr>
          </w:p>
        </w:tc>
        <w:tc>
          <w:tcPr>
            <w:tcW w:w="380" w:type="dxa"/>
            <w:vAlign w:val="bottom"/>
            <w:shd w:val="clear" w:color="auto" w:fill="004054"/>
          </w:tcPr>
          <w:p>
            <w:pPr>
              <w:spacing w:after="0"/>
              <w:rPr>
                <w:sz w:val="6"/>
                <w:szCs w:val="6"/>
                <w:color w:val="auto"/>
              </w:rPr>
            </w:pPr>
          </w:p>
        </w:tc>
        <w:tc>
          <w:tcPr>
            <w:tcW w:w="1160" w:type="dxa"/>
            <w:vAlign w:val="bottom"/>
            <w:shd w:val="clear" w:color="auto" w:fill="004054"/>
          </w:tcPr>
          <w:p>
            <w:pPr>
              <w:spacing w:after="0"/>
              <w:rPr>
                <w:sz w:val="6"/>
                <w:szCs w:val="6"/>
                <w:color w:val="auto"/>
              </w:rPr>
            </w:pPr>
          </w:p>
        </w:tc>
        <w:tc>
          <w:tcPr>
            <w:tcW w:w="380" w:type="dxa"/>
            <w:vAlign w:val="bottom"/>
            <w:shd w:val="clear" w:color="auto" w:fill="004054"/>
          </w:tcPr>
          <w:p>
            <w:pPr>
              <w:spacing w:after="0"/>
              <w:rPr>
                <w:sz w:val="6"/>
                <w:szCs w:val="6"/>
                <w:color w:val="auto"/>
              </w:rPr>
            </w:pPr>
          </w:p>
        </w:tc>
        <w:tc>
          <w:tcPr>
            <w:tcW w:w="11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304"/>
        </w:trPr>
        <w:tc>
          <w:tcPr>
            <w:tcW w:w="81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Taxes payable</w:t>
            </w:r>
          </w:p>
        </w:tc>
        <w:tc>
          <w:tcPr>
            <w:tcW w:w="380" w:type="dxa"/>
            <w:vAlign w:val="bottom"/>
            <w:tcBorders>
              <w:bottom w:val="single" w:sz="8" w:color="EBFBFF"/>
            </w:tcBorders>
            <w:shd w:val="clear" w:color="auto" w:fill="EBFBFF"/>
          </w:tcPr>
          <w:p>
            <w:pPr>
              <w:jc w:val="right"/>
              <w:ind w:right="170"/>
              <w:spacing w:after="0"/>
              <w:rPr>
                <w:sz w:val="20"/>
                <w:szCs w:val="20"/>
                <w:color w:val="auto"/>
              </w:rPr>
            </w:pPr>
            <w:r>
              <w:rPr>
                <w:rFonts w:ascii="Calibri" w:cs="Calibri" w:eastAsia="Calibri" w:hAnsi="Calibri"/>
                <w:sz w:val="18"/>
                <w:szCs w:val="18"/>
                <w:color w:val="51555C"/>
              </w:rPr>
              <w:t>$</w:t>
            </w: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14,168</w:t>
            </w:r>
          </w:p>
        </w:tc>
        <w:tc>
          <w:tcPr>
            <w:tcW w:w="380" w:type="dxa"/>
            <w:vAlign w:val="bottom"/>
            <w:tcBorders>
              <w:bottom w:val="single" w:sz="8" w:color="EBFBFF"/>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w w:val="87"/>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21,282</w:t>
            </w:r>
          </w:p>
        </w:tc>
        <w:tc>
          <w:tcPr>
            <w:tcW w:w="20" w:type="dxa"/>
            <w:vAlign w:val="bottom"/>
          </w:tcPr>
          <w:p>
            <w:pPr>
              <w:spacing w:after="0"/>
              <w:rPr>
                <w:sz w:val="24"/>
                <w:szCs w:val="24"/>
                <w:color w:val="auto"/>
              </w:rPr>
            </w:pPr>
          </w:p>
        </w:tc>
      </w:tr>
      <w:tr>
        <w:trPr>
          <w:trHeight w:val="220"/>
        </w:trPr>
        <w:tc>
          <w:tcPr>
            <w:tcW w:w="8180" w:type="dxa"/>
            <w:vAlign w:val="bottom"/>
          </w:tcPr>
          <w:p>
            <w:pPr>
              <w:ind w:left="20"/>
              <w:spacing w:after="0"/>
              <w:rPr>
                <w:sz w:val="20"/>
                <w:szCs w:val="20"/>
                <w:color w:val="auto"/>
              </w:rPr>
            </w:pPr>
            <w:r>
              <w:rPr>
                <w:rFonts w:ascii="Calibri" w:cs="Calibri" w:eastAsia="Calibri" w:hAnsi="Calibri"/>
                <w:sz w:val="18"/>
                <w:szCs w:val="18"/>
                <w:color w:val="51555C"/>
              </w:rPr>
              <w:t>Customer credit balances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9,746</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10,238</w:t>
            </w:r>
          </w:p>
        </w:tc>
        <w:tc>
          <w:tcPr>
            <w:tcW w:w="20" w:type="dxa"/>
            <w:vAlign w:val="bottom"/>
          </w:tcPr>
          <w:p>
            <w:pPr>
              <w:spacing w:after="0"/>
              <w:rPr>
                <w:sz w:val="19"/>
                <w:szCs w:val="19"/>
                <w:color w:val="auto"/>
              </w:rPr>
            </w:pPr>
          </w:p>
        </w:tc>
      </w:tr>
      <w:tr>
        <w:trPr>
          <w:trHeight w:val="50"/>
        </w:trPr>
        <w:tc>
          <w:tcPr>
            <w:tcW w:w="8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81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Unrecognized tax beneft</w:t>
            </w:r>
          </w:p>
        </w:tc>
        <w:tc>
          <w:tcPr>
            <w:tcW w:w="3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6,221</w:t>
            </w:r>
          </w:p>
        </w:tc>
        <w:tc>
          <w:tcPr>
            <w:tcW w:w="38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2,954</w:t>
            </w:r>
          </w:p>
        </w:tc>
        <w:tc>
          <w:tcPr>
            <w:tcW w:w="20" w:type="dxa"/>
            <w:vAlign w:val="bottom"/>
          </w:tcPr>
          <w:p>
            <w:pPr>
              <w:spacing w:after="0"/>
              <w:rPr>
                <w:sz w:val="21"/>
                <w:szCs w:val="21"/>
                <w:color w:val="auto"/>
              </w:rPr>
            </w:pPr>
          </w:p>
        </w:tc>
      </w:tr>
      <w:tr>
        <w:trPr>
          <w:trHeight w:val="220"/>
        </w:trPr>
        <w:tc>
          <w:tcPr>
            <w:tcW w:w="8180" w:type="dxa"/>
            <w:vAlign w:val="bottom"/>
          </w:tcPr>
          <w:p>
            <w:pPr>
              <w:ind w:left="20"/>
              <w:spacing w:after="0"/>
              <w:rPr>
                <w:sz w:val="20"/>
                <w:szCs w:val="20"/>
                <w:color w:val="auto"/>
              </w:rPr>
            </w:pPr>
            <w:r>
              <w:rPr>
                <w:rFonts w:ascii="Calibri" w:cs="Calibri" w:eastAsia="Calibri" w:hAnsi="Calibri"/>
                <w:sz w:val="18"/>
                <w:szCs w:val="18"/>
                <w:color w:val="51555C"/>
              </w:rPr>
              <w:t>Derivatve instruments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5,994</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5,540</w:t>
            </w:r>
          </w:p>
        </w:tc>
        <w:tc>
          <w:tcPr>
            <w:tcW w:w="20" w:type="dxa"/>
            <w:vAlign w:val="bottom"/>
          </w:tcPr>
          <w:p>
            <w:pPr>
              <w:spacing w:after="0"/>
              <w:rPr>
                <w:sz w:val="19"/>
                <w:szCs w:val="19"/>
                <w:color w:val="auto"/>
              </w:rPr>
            </w:pPr>
          </w:p>
        </w:tc>
      </w:tr>
      <w:tr>
        <w:trPr>
          <w:trHeight w:val="50"/>
        </w:trPr>
        <w:tc>
          <w:tcPr>
            <w:tcW w:w="8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81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Operatng lease liabilites, current porton</w:t>
            </w:r>
          </w:p>
        </w:tc>
        <w:tc>
          <w:tcPr>
            <w:tcW w:w="3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4,707</w:t>
            </w:r>
          </w:p>
        </w:tc>
        <w:tc>
          <w:tcPr>
            <w:tcW w:w="38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6,701</w:t>
            </w:r>
          </w:p>
        </w:tc>
        <w:tc>
          <w:tcPr>
            <w:tcW w:w="20" w:type="dxa"/>
            <w:vAlign w:val="bottom"/>
          </w:tcPr>
          <w:p>
            <w:pPr>
              <w:spacing w:after="0"/>
              <w:rPr>
                <w:sz w:val="21"/>
                <w:szCs w:val="21"/>
                <w:color w:val="auto"/>
              </w:rPr>
            </w:pPr>
          </w:p>
        </w:tc>
      </w:tr>
      <w:tr>
        <w:trPr>
          <w:trHeight w:val="220"/>
        </w:trPr>
        <w:tc>
          <w:tcPr>
            <w:tcW w:w="8180" w:type="dxa"/>
            <w:vAlign w:val="bottom"/>
          </w:tcPr>
          <w:p>
            <w:pPr>
              <w:ind w:left="20"/>
              <w:spacing w:after="0"/>
              <w:rPr>
                <w:sz w:val="20"/>
                <w:szCs w:val="20"/>
                <w:color w:val="auto"/>
              </w:rPr>
            </w:pPr>
            <w:r>
              <w:rPr>
                <w:rFonts w:ascii="Calibri" w:cs="Calibri" w:eastAsia="Calibri" w:hAnsi="Calibri"/>
                <w:sz w:val="18"/>
                <w:szCs w:val="18"/>
                <w:color w:val="51555C"/>
              </w:rPr>
              <w:t>Accrued commissions and salaries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3,086</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4,413</w:t>
            </w:r>
          </w:p>
        </w:tc>
        <w:tc>
          <w:tcPr>
            <w:tcW w:w="20" w:type="dxa"/>
            <w:vAlign w:val="bottom"/>
          </w:tcPr>
          <w:p>
            <w:pPr>
              <w:spacing w:after="0"/>
              <w:rPr>
                <w:sz w:val="19"/>
                <w:szCs w:val="19"/>
                <w:color w:val="auto"/>
              </w:rPr>
            </w:pPr>
          </w:p>
        </w:tc>
      </w:tr>
      <w:tr>
        <w:trPr>
          <w:trHeight w:val="50"/>
        </w:trPr>
        <w:tc>
          <w:tcPr>
            <w:tcW w:w="8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81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Accrued health care costs</w:t>
            </w:r>
          </w:p>
        </w:tc>
        <w:tc>
          <w:tcPr>
            <w:tcW w:w="3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3,029</w:t>
            </w:r>
          </w:p>
        </w:tc>
        <w:tc>
          <w:tcPr>
            <w:tcW w:w="38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3,865</w:t>
            </w:r>
          </w:p>
        </w:tc>
        <w:tc>
          <w:tcPr>
            <w:tcW w:w="20" w:type="dxa"/>
            <w:vAlign w:val="bottom"/>
          </w:tcPr>
          <w:p>
            <w:pPr>
              <w:spacing w:after="0"/>
              <w:rPr>
                <w:sz w:val="21"/>
                <w:szCs w:val="21"/>
                <w:color w:val="auto"/>
              </w:rPr>
            </w:pPr>
          </w:p>
        </w:tc>
      </w:tr>
      <w:tr>
        <w:trPr>
          <w:trHeight w:val="220"/>
        </w:trPr>
        <w:tc>
          <w:tcPr>
            <w:tcW w:w="8180" w:type="dxa"/>
            <w:vAlign w:val="bottom"/>
          </w:tcPr>
          <w:p>
            <w:pPr>
              <w:ind w:left="20"/>
              <w:spacing w:after="0"/>
              <w:rPr>
                <w:sz w:val="20"/>
                <w:szCs w:val="20"/>
                <w:color w:val="auto"/>
              </w:rPr>
            </w:pPr>
            <w:r>
              <w:rPr>
                <w:rFonts w:ascii="Calibri" w:cs="Calibri" w:eastAsia="Calibri" w:hAnsi="Calibri"/>
                <w:sz w:val="18"/>
                <w:szCs w:val="18"/>
                <w:color w:val="51555C"/>
              </w:rPr>
              <w:t>Accrued vacaton costs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2,810</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2,452</w:t>
            </w:r>
          </w:p>
        </w:tc>
        <w:tc>
          <w:tcPr>
            <w:tcW w:w="20" w:type="dxa"/>
            <w:vAlign w:val="bottom"/>
          </w:tcPr>
          <w:p>
            <w:pPr>
              <w:spacing w:after="0"/>
              <w:rPr>
                <w:sz w:val="19"/>
                <w:szCs w:val="19"/>
                <w:color w:val="auto"/>
              </w:rPr>
            </w:pPr>
          </w:p>
        </w:tc>
      </w:tr>
      <w:tr>
        <w:trPr>
          <w:trHeight w:val="50"/>
        </w:trPr>
        <w:tc>
          <w:tcPr>
            <w:tcW w:w="8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81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Accrued transacton-based costs related to payments services</w:t>
            </w:r>
          </w:p>
        </w:tc>
        <w:tc>
          <w:tcPr>
            <w:tcW w:w="3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2,290</w:t>
            </w:r>
          </w:p>
        </w:tc>
        <w:tc>
          <w:tcPr>
            <w:tcW w:w="38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4,323</w:t>
            </w:r>
          </w:p>
        </w:tc>
        <w:tc>
          <w:tcPr>
            <w:tcW w:w="20" w:type="dxa"/>
            <w:vAlign w:val="bottom"/>
          </w:tcPr>
          <w:p>
            <w:pPr>
              <w:spacing w:after="0"/>
              <w:rPr>
                <w:sz w:val="21"/>
                <w:szCs w:val="21"/>
                <w:color w:val="auto"/>
              </w:rPr>
            </w:pPr>
          </w:p>
        </w:tc>
      </w:tr>
      <w:tr>
        <w:trPr>
          <w:trHeight w:val="324"/>
        </w:trPr>
        <w:tc>
          <w:tcPr>
            <w:tcW w:w="8180" w:type="dxa"/>
            <w:vAlign w:val="bottom"/>
          </w:tcPr>
          <w:p>
            <w:pPr>
              <w:ind w:left="20"/>
              <w:spacing w:after="0"/>
              <w:rPr>
                <w:sz w:val="20"/>
                <w:szCs w:val="20"/>
                <w:color w:val="auto"/>
              </w:rPr>
            </w:pPr>
            <w:r>
              <w:rPr>
                <w:rFonts w:ascii="Calibri" w:cs="Calibri" w:eastAsia="Calibri" w:hAnsi="Calibri"/>
                <w:sz w:val="18"/>
                <w:szCs w:val="18"/>
                <w:color w:val="51555C"/>
              </w:rPr>
              <w:t>Accrued legal costs</w:t>
            </w:r>
            <w:r>
              <w:rPr>
                <w:rFonts w:ascii="Calibri" w:cs="Calibri" w:eastAsia="Calibri" w:hAnsi="Calibri"/>
                <w:sz w:val="23"/>
                <w:szCs w:val="23"/>
                <w:color w:val="51555C"/>
                <w:vertAlign w:val="superscript"/>
              </w:rPr>
              <w:t>(1)</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2,156</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3,659</w:t>
            </w:r>
          </w:p>
        </w:tc>
        <w:tc>
          <w:tcPr>
            <w:tcW w:w="20" w:type="dxa"/>
            <w:vAlign w:val="bottom"/>
          </w:tcPr>
          <w:p>
            <w:pPr>
              <w:spacing w:after="0"/>
              <w:rPr>
                <w:sz w:val="24"/>
                <w:szCs w:val="24"/>
                <w:color w:val="auto"/>
              </w:rPr>
            </w:pPr>
          </w:p>
        </w:tc>
      </w:tr>
      <w:tr>
        <w:trPr>
          <w:trHeight w:val="304"/>
        </w:trPr>
        <w:tc>
          <w:tcPr>
            <w:tcW w:w="81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Contngent consideraton liability</w:t>
            </w:r>
          </w:p>
        </w:tc>
        <w:tc>
          <w:tcPr>
            <w:tcW w:w="380" w:type="dxa"/>
            <w:vAlign w:val="bottom"/>
            <w:tcBorders>
              <w:bottom w:val="single" w:sz="8" w:color="EBFBFF"/>
            </w:tcBorders>
            <w:shd w:val="clear" w:color="auto" w:fill="EBFBFF"/>
          </w:tcPr>
          <w:p>
            <w:pPr>
              <w:spacing w:after="0"/>
              <w:rPr>
                <w:sz w:val="24"/>
                <w:szCs w:val="24"/>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380" w:type="dxa"/>
            <w:vAlign w:val="bottom"/>
            <w:tcBorders>
              <w:bottom w:val="single" w:sz="8" w:color="EBFBFF"/>
            </w:tcBorders>
            <w:shd w:val="clear" w:color="auto" w:fill="EBFBFF"/>
          </w:tcPr>
          <w:p>
            <w:pPr>
              <w:spacing w:after="0"/>
              <w:rPr>
                <w:sz w:val="24"/>
                <w:szCs w:val="24"/>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1,403</w:t>
            </w:r>
          </w:p>
        </w:tc>
        <w:tc>
          <w:tcPr>
            <w:tcW w:w="20" w:type="dxa"/>
            <w:vAlign w:val="bottom"/>
          </w:tcPr>
          <w:p>
            <w:pPr>
              <w:spacing w:after="0"/>
              <w:rPr>
                <w:sz w:val="24"/>
                <w:szCs w:val="24"/>
                <w:color w:val="auto"/>
              </w:rPr>
            </w:pPr>
          </w:p>
        </w:tc>
      </w:tr>
      <w:tr>
        <w:trPr>
          <w:trHeight w:val="219"/>
        </w:trPr>
        <w:tc>
          <w:tcPr>
            <w:tcW w:w="8180" w:type="dxa"/>
            <w:vAlign w:val="bottom"/>
          </w:tcPr>
          <w:p>
            <w:pPr>
              <w:ind w:left="20"/>
              <w:spacing w:after="0"/>
              <w:rPr>
                <w:sz w:val="20"/>
                <w:szCs w:val="20"/>
                <w:color w:val="auto"/>
              </w:rPr>
            </w:pPr>
            <w:r>
              <w:rPr>
                <w:rFonts w:ascii="Calibri" w:cs="Calibri" w:eastAsia="Calibri" w:hAnsi="Calibri"/>
                <w:sz w:val="18"/>
                <w:szCs w:val="18"/>
                <w:color w:val="51555C"/>
              </w:rPr>
              <w:t>Other liabilites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6,842</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7,750</w:t>
            </w:r>
          </w:p>
        </w:tc>
        <w:tc>
          <w:tcPr>
            <w:tcW w:w="20" w:type="dxa"/>
            <w:vAlign w:val="bottom"/>
          </w:tcPr>
          <w:p>
            <w:pPr>
              <w:spacing w:after="0"/>
              <w:rPr>
                <w:sz w:val="19"/>
                <w:szCs w:val="19"/>
                <w:color w:val="auto"/>
              </w:rPr>
            </w:pPr>
          </w:p>
        </w:tc>
      </w:tr>
      <w:tr>
        <w:trPr>
          <w:trHeight w:val="51"/>
        </w:trPr>
        <w:tc>
          <w:tcPr>
            <w:tcW w:w="8180" w:type="dxa"/>
            <w:vAlign w:val="bottom"/>
            <w:tcBorders>
              <w:bottom w:val="single" w:sz="8" w:color="EBFBFF"/>
            </w:tcBorders>
          </w:tcPr>
          <w:p>
            <w:pPr>
              <w:spacing w:after="0"/>
              <w:rPr>
                <w:sz w:val="4"/>
                <w:szCs w:val="4"/>
                <w:color w:val="auto"/>
              </w:rPr>
            </w:pPr>
          </w:p>
        </w:tc>
        <w:tc>
          <w:tcPr>
            <w:tcW w:w="380" w:type="dxa"/>
            <w:vAlign w:val="bottom"/>
            <w:tcBorders>
              <w:bottom w:val="single" w:sz="8" w:color="51555C"/>
            </w:tcBorders>
          </w:tcPr>
          <w:p>
            <w:pPr>
              <w:spacing w:after="0"/>
              <w:rPr>
                <w:sz w:val="4"/>
                <w:szCs w:val="4"/>
                <w:color w:val="auto"/>
              </w:rPr>
            </w:pPr>
          </w:p>
        </w:tc>
        <w:tc>
          <w:tcPr>
            <w:tcW w:w="1160" w:type="dxa"/>
            <w:vAlign w:val="bottom"/>
            <w:tcBorders>
              <w:bottom w:val="single" w:sz="8" w:color="51555C"/>
            </w:tcBorders>
          </w:tcPr>
          <w:p>
            <w:pPr>
              <w:spacing w:after="0"/>
              <w:rPr>
                <w:sz w:val="4"/>
                <w:szCs w:val="4"/>
                <w:color w:val="auto"/>
              </w:rPr>
            </w:pPr>
          </w:p>
        </w:tc>
        <w:tc>
          <w:tcPr>
            <w:tcW w:w="380" w:type="dxa"/>
            <w:vAlign w:val="bottom"/>
            <w:tcBorders>
              <w:bottom w:val="single" w:sz="8" w:color="51555C"/>
            </w:tcBorders>
          </w:tcPr>
          <w:p>
            <w:pPr>
              <w:spacing w:after="0"/>
              <w:rPr>
                <w:sz w:val="4"/>
                <w:szCs w:val="4"/>
                <w:color w:val="auto"/>
              </w:rPr>
            </w:pPr>
          </w:p>
        </w:tc>
        <w:tc>
          <w:tcPr>
            <w:tcW w:w="114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4"/>
        </w:trPr>
        <w:tc>
          <w:tcPr>
            <w:tcW w:w="818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Total accrued expenses and other liabilites</w:t>
            </w:r>
          </w:p>
        </w:tc>
        <w:tc>
          <w:tcPr>
            <w:tcW w:w="3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61,049</w:t>
            </w:r>
          </w:p>
        </w:tc>
        <w:tc>
          <w:tcPr>
            <w:tcW w:w="38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74,580</w:t>
            </w:r>
          </w:p>
        </w:tc>
        <w:tc>
          <w:tcPr>
            <w:tcW w:w="20" w:type="dxa"/>
            <w:vAlign w:val="bottom"/>
          </w:tcPr>
          <w:p>
            <w:pPr>
              <w:spacing w:after="0"/>
              <w:rPr>
                <w:sz w:val="21"/>
                <w:szCs w:val="21"/>
                <w:color w:val="auto"/>
              </w:rPr>
            </w:pPr>
          </w:p>
        </w:tc>
      </w:tr>
      <w:tr>
        <w:trPr>
          <w:trHeight w:val="219"/>
        </w:trPr>
        <w:tc>
          <w:tcPr>
            <w:tcW w:w="8180" w:type="dxa"/>
            <w:vAlign w:val="bottom"/>
          </w:tcPr>
          <w:p>
            <w:pPr>
              <w:ind w:left="20"/>
              <w:spacing w:after="0"/>
              <w:rPr>
                <w:sz w:val="20"/>
                <w:szCs w:val="20"/>
                <w:color w:val="auto"/>
              </w:rPr>
            </w:pPr>
            <w:r>
              <w:rPr>
                <w:rFonts w:ascii="Calibri" w:cs="Calibri" w:eastAsia="Calibri" w:hAnsi="Calibri"/>
                <w:sz w:val="18"/>
                <w:szCs w:val="18"/>
                <w:color w:val="51555C"/>
              </w:rPr>
              <w:t>Less: Long-term porton</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12,304</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10,258</w:t>
            </w:r>
          </w:p>
        </w:tc>
        <w:tc>
          <w:tcPr>
            <w:tcW w:w="20" w:type="dxa"/>
            <w:vAlign w:val="bottom"/>
          </w:tcPr>
          <w:p>
            <w:pPr>
              <w:spacing w:after="0"/>
              <w:rPr>
                <w:sz w:val="19"/>
                <w:szCs w:val="19"/>
                <w:color w:val="auto"/>
              </w:rPr>
            </w:pPr>
          </w:p>
        </w:tc>
      </w:tr>
      <w:tr>
        <w:trPr>
          <w:trHeight w:val="51"/>
        </w:trPr>
        <w:tc>
          <w:tcPr>
            <w:tcW w:w="8180" w:type="dxa"/>
            <w:vAlign w:val="bottom"/>
            <w:tcBorders>
              <w:bottom w:val="single" w:sz="8" w:color="EBFBFF"/>
            </w:tcBorders>
          </w:tcPr>
          <w:p>
            <w:pPr>
              <w:spacing w:after="0"/>
              <w:rPr>
                <w:sz w:val="4"/>
                <w:szCs w:val="4"/>
                <w:color w:val="auto"/>
              </w:rPr>
            </w:pPr>
          </w:p>
        </w:tc>
        <w:tc>
          <w:tcPr>
            <w:tcW w:w="380" w:type="dxa"/>
            <w:vAlign w:val="bottom"/>
            <w:tcBorders>
              <w:bottom w:val="single" w:sz="8" w:color="51555C"/>
            </w:tcBorders>
          </w:tcPr>
          <w:p>
            <w:pPr>
              <w:spacing w:after="0"/>
              <w:rPr>
                <w:sz w:val="4"/>
                <w:szCs w:val="4"/>
                <w:color w:val="auto"/>
              </w:rPr>
            </w:pPr>
          </w:p>
        </w:tc>
        <w:tc>
          <w:tcPr>
            <w:tcW w:w="1160" w:type="dxa"/>
            <w:vAlign w:val="bottom"/>
            <w:tcBorders>
              <w:bottom w:val="single" w:sz="8" w:color="51555C"/>
            </w:tcBorders>
          </w:tcPr>
          <w:p>
            <w:pPr>
              <w:spacing w:after="0"/>
              <w:rPr>
                <w:sz w:val="4"/>
                <w:szCs w:val="4"/>
                <w:color w:val="auto"/>
              </w:rPr>
            </w:pPr>
          </w:p>
        </w:tc>
        <w:tc>
          <w:tcPr>
            <w:tcW w:w="380" w:type="dxa"/>
            <w:vAlign w:val="bottom"/>
            <w:tcBorders>
              <w:bottom w:val="single" w:sz="8" w:color="51555C"/>
            </w:tcBorders>
          </w:tcPr>
          <w:p>
            <w:pPr>
              <w:spacing w:after="0"/>
              <w:rPr>
                <w:sz w:val="4"/>
                <w:szCs w:val="4"/>
                <w:color w:val="auto"/>
              </w:rPr>
            </w:pPr>
          </w:p>
        </w:tc>
        <w:tc>
          <w:tcPr>
            <w:tcW w:w="114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818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color w:val="51555C"/>
              </w:rPr>
              <w:t>Accrued expenses and other current liabilites</w:t>
            </w:r>
          </w:p>
        </w:tc>
        <w:tc>
          <w:tcPr>
            <w:tcW w:w="380" w:type="dxa"/>
            <w:vAlign w:val="bottom"/>
            <w:tcBorders>
              <w:bottom w:val="single" w:sz="8" w:color="EBFBFF"/>
            </w:tcBorders>
            <w:shd w:val="clear" w:color="auto" w:fill="EBFBFF"/>
          </w:tcPr>
          <w:p>
            <w:pPr>
              <w:jc w:val="right"/>
              <w:ind w:right="170"/>
              <w:spacing w:after="0" w:line="213" w:lineRule="exact"/>
              <w:rPr>
                <w:sz w:val="20"/>
                <w:szCs w:val="20"/>
                <w:color w:val="auto"/>
              </w:rPr>
            </w:pPr>
            <w:r>
              <w:rPr>
                <w:rFonts w:ascii="Calibri" w:cs="Calibri" w:eastAsia="Calibri" w:hAnsi="Calibri"/>
                <w:sz w:val="18"/>
                <w:szCs w:val="18"/>
                <w:color w:val="51555C"/>
              </w:rPr>
              <w:t>$</w:t>
            </w:r>
          </w:p>
        </w:tc>
        <w:tc>
          <w:tcPr>
            <w:tcW w:w="1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48,745</w:t>
            </w:r>
          </w:p>
        </w:tc>
        <w:tc>
          <w:tcPr>
            <w:tcW w:w="380" w:type="dxa"/>
            <w:vAlign w:val="bottom"/>
            <w:tcBorders>
              <w:bottom w:val="single" w:sz="8" w:color="EBFBFF"/>
            </w:tcBorders>
            <w:shd w:val="clear" w:color="auto" w:fill="EBFBFF"/>
          </w:tcPr>
          <w:p>
            <w:pPr>
              <w:jc w:val="right"/>
              <w:ind w:right="190"/>
              <w:spacing w:after="0" w:line="213" w:lineRule="exact"/>
              <w:rPr>
                <w:sz w:val="20"/>
                <w:szCs w:val="20"/>
                <w:color w:val="auto"/>
              </w:rPr>
            </w:pPr>
            <w:r>
              <w:rPr>
                <w:rFonts w:ascii="Calibri" w:cs="Calibri" w:eastAsia="Calibri" w:hAnsi="Calibri"/>
                <w:sz w:val="18"/>
                <w:szCs w:val="18"/>
                <w:color w:val="51555C"/>
                <w:w w:val="87"/>
              </w:rPr>
              <w:t>$</w:t>
            </w:r>
          </w:p>
        </w:tc>
        <w:tc>
          <w:tcPr>
            <w:tcW w:w="11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64,322</w:t>
            </w:r>
          </w:p>
        </w:tc>
        <w:tc>
          <w:tcPr>
            <w:tcW w:w="20" w:type="dxa"/>
            <w:vAlign w:val="bottom"/>
          </w:tcPr>
          <w:p>
            <w:pPr>
              <w:spacing w:after="0"/>
              <w:rPr>
                <w:sz w:val="21"/>
                <w:szCs w:val="21"/>
                <w:color w:val="auto"/>
              </w:rPr>
            </w:pPr>
          </w:p>
        </w:tc>
      </w:tr>
      <w:tr>
        <w:trPr>
          <w:trHeight w:val="20"/>
        </w:trPr>
        <w:tc>
          <w:tcPr>
            <w:tcW w:w="818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116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11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20" w:hanging="332"/>
        <w:spacing w:after="0" w:line="245" w:lineRule="auto"/>
        <w:tabs>
          <w:tab w:leader="none" w:pos="338" w:val="left"/>
        </w:tabs>
        <w:numPr>
          <w:ilvl w:val="0"/>
          <w:numId w:val="6"/>
        </w:numPr>
        <w:rPr>
          <w:rFonts w:ascii="Calibri" w:cs="Calibri" w:eastAsia="Calibri" w:hAnsi="Calibri"/>
          <w:sz w:val="14"/>
          <w:szCs w:val="14"/>
          <w:color w:val="51555C"/>
        </w:rPr>
      </w:pPr>
      <w:r>
        <w:rPr>
          <w:rFonts w:ascii="Calibri" w:cs="Calibri" w:eastAsia="Calibri" w:hAnsi="Calibri"/>
          <w:sz w:val="14"/>
          <w:szCs w:val="14"/>
          <w:color w:val="51555C"/>
        </w:rPr>
        <w:t>All accrued legal costs are classifed as current. See Note 9 to these unaudited, condensed consolidated fnancial statements for additonal informaton about our loss contngency accruals and other legal expenses.</w:t>
      </w:r>
    </w:p>
    <w:p>
      <w:pPr>
        <w:spacing w:after="0" w:line="343"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12</w:t>
      </w:r>
      <w:r>
        <w:rPr>
          <w:sz w:val="20"/>
          <w:szCs w:val="20"/>
          <w:color w:val="auto"/>
        </w:rPr>
        <w:tab/>
      </w:r>
      <w:r>
        <w:rPr>
          <w:sz w:val="1"/>
          <w:szCs w:val="1"/>
          <w:color w:val="auto"/>
        </w:rPr>
        <w:drawing>
          <wp:inline distT="0" distB="0" distL="0" distR="0">
            <wp:extent cx="651510" cy="1714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4"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color w:val="51555C"/>
        </w:rPr>
        <w:t>Other income, net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20" w:type="dxa"/>
            <w:vAlign w:val="bottom"/>
            <w:shd w:val="clear" w:color="auto" w:fill="004054"/>
          </w:tcPr>
          <w:p>
            <w:pPr>
              <w:spacing w:after="0"/>
              <w:rPr>
                <w:sz w:val="16"/>
                <w:szCs w:val="16"/>
                <w:color w:val="auto"/>
              </w:rPr>
            </w:pPr>
          </w:p>
        </w:tc>
        <w:tc>
          <w:tcPr>
            <w:tcW w:w="56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36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Three months ended</w:t>
            </w:r>
          </w:p>
        </w:tc>
        <w:tc>
          <w:tcPr>
            <w:tcW w:w="80" w:type="dxa"/>
            <w:vAlign w:val="bottom"/>
          </w:tcPr>
          <w:p>
            <w:pPr>
              <w:spacing w:after="0"/>
              <w:rPr>
                <w:sz w:val="16"/>
                <w:szCs w:val="16"/>
                <w:color w:val="auto"/>
              </w:rPr>
            </w:pPr>
          </w:p>
        </w:tc>
        <w:tc>
          <w:tcPr>
            <w:tcW w:w="56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13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c>
          <w:tcPr>
            <w:tcW w:w="20" w:type="dxa"/>
            <w:vAlign w:val="bottom"/>
            <w:shd w:val="clear" w:color="auto" w:fill="004054"/>
          </w:tcPr>
          <w:p>
            <w:pPr>
              <w:spacing w:after="0"/>
              <w:rPr>
                <w:sz w:val="16"/>
                <w:szCs w:val="16"/>
                <w:color w:val="auto"/>
              </w:rPr>
            </w:pPr>
          </w:p>
        </w:tc>
      </w:tr>
      <w:tr>
        <w:trPr>
          <w:trHeight w:val="170"/>
        </w:trPr>
        <w:tc>
          <w:tcPr>
            <w:tcW w:w="5020" w:type="dxa"/>
            <w:vAlign w:val="bottom"/>
            <w:shd w:val="clear" w:color="auto" w:fill="004054"/>
          </w:tcPr>
          <w:p>
            <w:pPr>
              <w:spacing w:after="0"/>
              <w:rPr>
                <w:sz w:val="14"/>
                <w:szCs w:val="14"/>
                <w:color w:val="auto"/>
              </w:rPr>
            </w:pPr>
          </w:p>
        </w:tc>
        <w:tc>
          <w:tcPr>
            <w:tcW w:w="560" w:type="dxa"/>
            <w:vAlign w:val="bottom"/>
            <w:shd w:val="clear" w:color="auto" w:fill="004054"/>
          </w:tcPr>
          <w:p>
            <w:pPr>
              <w:spacing w:after="0"/>
              <w:rPr>
                <w:sz w:val="14"/>
                <w:szCs w:val="14"/>
                <w:color w:val="auto"/>
              </w:rPr>
            </w:pPr>
          </w:p>
        </w:tc>
        <w:tc>
          <w:tcPr>
            <w:tcW w:w="980" w:type="dxa"/>
            <w:vAlign w:val="bottom"/>
            <w:shd w:val="clear" w:color="auto" w:fill="004054"/>
          </w:tcPr>
          <w:p>
            <w:pPr>
              <w:spacing w:after="0"/>
              <w:rPr>
                <w:sz w:val="14"/>
                <w:szCs w:val="14"/>
                <w:color w:val="auto"/>
              </w:rPr>
            </w:pPr>
          </w:p>
        </w:tc>
        <w:tc>
          <w:tcPr>
            <w:tcW w:w="180" w:type="dxa"/>
            <w:vAlign w:val="bottom"/>
            <w:shd w:val="clear" w:color="auto" w:fill="004054"/>
          </w:tcPr>
          <w:p>
            <w:pPr>
              <w:spacing w:after="0"/>
              <w:rPr>
                <w:sz w:val="14"/>
                <w:szCs w:val="14"/>
                <w:color w:val="auto"/>
              </w:rPr>
            </w:pPr>
          </w:p>
        </w:tc>
        <w:tc>
          <w:tcPr>
            <w:tcW w:w="136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80" w:type="dxa"/>
            <w:vAlign w:val="bottom"/>
          </w:tcPr>
          <w:p>
            <w:pPr>
              <w:spacing w:after="0"/>
              <w:rPr>
                <w:sz w:val="14"/>
                <w:szCs w:val="14"/>
                <w:color w:val="auto"/>
              </w:rPr>
            </w:pPr>
          </w:p>
        </w:tc>
        <w:tc>
          <w:tcPr>
            <w:tcW w:w="560" w:type="dxa"/>
            <w:vAlign w:val="bottom"/>
            <w:shd w:val="clear" w:color="auto" w:fill="004054"/>
          </w:tcPr>
          <w:p>
            <w:pPr>
              <w:spacing w:after="0"/>
              <w:rPr>
                <w:sz w:val="14"/>
                <w:szCs w:val="14"/>
                <w:color w:val="auto"/>
              </w:rPr>
            </w:pPr>
          </w:p>
        </w:tc>
        <w:tc>
          <w:tcPr>
            <w:tcW w:w="980" w:type="dxa"/>
            <w:vAlign w:val="bottom"/>
            <w:shd w:val="clear" w:color="auto" w:fill="004054"/>
          </w:tcPr>
          <w:p>
            <w:pPr>
              <w:spacing w:after="0"/>
              <w:rPr>
                <w:sz w:val="14"/>
                <w:szCs w:val="14"/>
                <w:color w:val="auto"/>
              </w:rPr>
            </w:pPr>
          </w:p>
        </w:tc>
        <w:tc>
          <w:tcPr>
            <w:tcW w:w="220" w:type="dxa"/>
            <w:vAlign w:val="bottom"/>
            <w:shd w:val="clear" w:color="auto" w:fill="004054"/>
          </w:tcPr>
          <w:p>
            <w:pPr>
              <w:spacing w:after="0"/>
              <w:rPr>
                <w:sz w:val="14"/>
                <w:szCs w:val="14"/>
                <w:color w:val="auto"/>
              </w:rPr>
            </w:pPr>
          </w:p>
        </w:tc>
        <w:tc>
          <w:tcPr>
            <w:tcW w:w="13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20" w:type="dxa"/>
            <w:vAlign w:val="bottom"/>
            <w:shd w:val="clear" w:color="auto" w:fill="004054"/>
          </w:tcPr>
          <w:p>
            <w:pPr>
              <w:spacing w:after="0"/>
              <w:rPr>
                <w:sz w:val="14"/>
                <w:szCs w:val="14"/>
                <w:color w:val="auto"/>
              </w:rPr>
            </w:pPr>
          </w:p>
        </w:tc>
      </w:tr>
      <w:tr>
        <w:trPr>
          <w:trHeight w:val="243"/>
        </w:trPr>
        <w:tc>
          <w:tcPr>
            <w:tcW w:w="502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60" w:type="dxa"/>
            <w:vAlign w:val="bottom"/>
            <w:shd w:val="clear" w:color="auto" w:fill="004054"/>
          </w:tcPr>
          <w:p>
            <w:pPr>
              <w:spacing w:after="0"/>
              <w:rPr>
                <w:sz w:val="21"/>
                <w:szCs w:val="21"/>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80" w:type="dxa"/>
            <w:vAlign w:val="bottom"/>
            <w:shd w:val="clear" w:color="auto" w:fill="004054"/>
          </w:tcPr>
          <w:p>
            <w:pPr>
              <w:spacing w:after="0"/>
              <w:rPr>
                <w:sz w:val="21"/>
                <w:szCs w:val="21"/>
                <w:color w:val="auto"/>
              </w:rPr>
            </w:pPr>
          </w:p>
        </w:tc>
        <w:tc>
          <w:tcPr>
            <w:tcW w:w="136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80" w:type="dxa"/>
            <w:vAlign w:val="bottom"/>
          </w:tcPr>
          <w:p>
            <w:pPr>
              <w:spacing w:after="0"/>
              <w:rPr>
                <w:sz w:val="21"/>
                <w:szCs w:val="21"/>
                <w:color w:val="auto"/>
              </w:rPr>
            </w:pPr>
          </w:p>
        </w:tc>
        <w:tc>
          <w:tcPr>
            <w:tcW w:w="560" w:type="dxa"/>
            <w:vAlign w:val="bottom"/>
            <w:shd w:val="clear" w:color="auto" w:fill="004054"/>
          </w:tcPr>
          <w:p>
            <w:pPr>
              <w:spacing w:after="0"/>
              <w:rPr>
                <w:sz w:val="21"/>
                <w:szCs w:val="21"/>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20" w:type="dxa"/>
            <w:vAlign w:val="bottom"/>
            <w:shd w:val="clear" w:color="auto" w:fill="004054"/>
          </w:tcPr>
          <w:p>
            <w:pPr>
              <w:spacing w:after="0"/>
              <w:rPr>
                <w:sz w:val="21"/>
                <w:szCs w:val="21"/>
                <w:color w:val="auto"/>
              </w:rPr>
            </w:pPr>
          </w:p>
        </w:tc>
        <w:tc>
          <w:tcPr>
            <w:tcW w:w="13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21"/>
                <w:szCs w:val="21"/>
                <w:color w:val="auto"/>
              </w:rPr>
            </w:pPr>
          </w:p>
        </w:tc>
      </w:tr>
      <w:tr>
        <w:trPr>
          <w:trHeight w:val="61"/>
        </w:trPr>
        <w:tc>
          <w:tcPr>
            <w:tcW w:w="5020" w:type="dxa"/>
            <w:vAlign w:val="bottom"/>
            <w:tcBorders>
              <w:bottom w:val="single" w:sz="8" w:color="004054"/>
            </w:tcBorders>
            <w:shd w:val="clear" w:color="auto" w:fill="004054"/>
          </w:tcPr>
          <w:p>
            <w:pPr>
              <w:spacing w:after="0"/>
              <w:rPr>
                <w:sz w:val="5"/>
                <w:szCs w:val="5"/>
                <w:color w:val="auto"/>
              </w:rPr>
            </w:pPr>
          </w:p>
        </w:tc>
        <w:tc>
          <w:tcPr>
            <w:tcW w:w="560" w:type="dxa"/>
            <w:vAlign w:val="bottom"/>
            <w:tcBorders>
              <w:bottom w:val="single" w:sz="8" w:color="004054"/>
            </w:tcBorders>
            <w:shd w:val="clear" w:color="auto" w:fill="004054"/>
          </w:tcPr>
          <w:p>
            <w:pPr>
              <w:spacing w:after="0"/>
              <w:rPr>
                <w:sz w:val="5"/>
                <w:szCs w:val="5"/>
                <w:color w:val="auto"/>
              </w:rPr>
            </w:pPr>
          </w:p>
        </w:tc>
        <w:tc>
          <w:tcPr>
            <w:tcW w:w="980" w:type="dxa"/>
            <w:vAlign w:val="bottom"/>
            <w:tcBorders>
              <w:bottom w:val="single" w:sz="8" w:color="004054"/>
            </w:tcBorders>
            <w:shd w:val="clear" w:color="auto" w:fill="004054"/>
          </w:tcPr>
          <w:p>
            <w:pPr>
              <w:spacing w:after="0"/>
              <w:rPr>
                <w:sz w:val="5"/>
                <w:szCs w:val="5"/>
                <w:color w:val="auto"/>
              </w:rPr>
            </w:pPr>
          </w:p>
        </w:tc>
        <w:tc>
          <w:tcPr>
            <w:tcW w:w="180" w:type="dxa"/>
            <w:vAlign w:val="bottom"/>
            <w:tcBorders>
              <w:bottom w:val="single" w:sz="8" w:color="004054"/>
            </w:tcBorders>
            <w:shd w:val="clear" w:color="auto" w:fill="004054"/>
          </w:tcPr>
          <w:p>
            <w:pPr>
              <w:spacing w:after="0"/>
              <w:rPr>
                <w:sz w:val="5"/>
                <w:szCs w:val="5"/>
                <w:color w:val="auto"/>
              </w:rPr>
            </w:pPr>
          </w:p>
        </w:tc>
        <w:tc>
          <w:tcPr>
            <w:tcW w:w="1360" w:type="dxa"/>
            <w:vAlign w:val="bottom"/>
            <w:tcBorders>
              <w:bottom w:val="single" w:sz="8" w:color="004054"/>
              <w:right w:val="single" w:sz="8" w:color="004054"/>
            </w:tcBorders>
            <w:shd w:val="clear" w:color="auto" w:fill="004054"/>
          </w:tcPr>
          <w:p>
            <w:pPr>
              <w:spacing w:after="0"/>
              <w:rPr>
                <w:sz w:val="5"/>
                <w:szCs w:val="5"/>
                <w:color w:val="auto"/>
              </w:rPr>
            </w:pPr>
          </w:p>
        </w:tc>
        <w:tc>
          <w:tcPr>
            <w:tcW w:w="80" w:type="dxa"/>
            <w:vAlign w:val="bottom"/>
            <w:tcBorders>
              <w:bottom w:val="single" w:sz="8" w:color="EBFBFF"/>
            </w:tcBorders>
          </w:tcPr>
          <w:p>
            <w:pPr>
              <w:spacing w:after="0"/>
              <w:rPr>
                <w:sz w:val="5"/>
                <w:szCs w:val="5"/>
                <w:color w:val="auto"/>
              </w:rPr>
            </w:pPr>
          </w:p>
        </w:tc>
        <w:tc>
          <w:tcPr>
            <w:tcW w:w="560" w:type="dxa"/>
            <w:vAlign w:val="bottom"/>
            <w:tcBorders>
              <w:bottom w:val="single" w:sz="8" w:color="004054"/>
            </w:tcBorders>
            <w:shd w:val="clear" w:color="auto" w:fill="004054"/>
          </w:tcPr>
          <w:p>
            <w:pPr>
              <w:spacing w:after="0"/>
              <w:rPr>
                <w:sz w:val="5"/>
                <w:szCs w:val="5"/>
                <w:color w:val="auto"/>
              </w:rPr>
            </w:pPr>
          </w:p>
        </w:tc>
        <w:tc>
          <w:tcPr>
            <w:tcW w:w="980" w:type="dxa"/>
            <w:vAlign w:val="bottom"/>
            <w:tcBorders>
              <w:bottom w:val="single" w:sz="8" w:color="004054"/>
            </w:tcBorders>
            <w:shd w:val="clear" w:color="auto" w:fill="004054"/>
          </w:tcPr>
          <w:p>
            <w:pPr>
              <w:spacing w:after="0"/>
              <w:rPr>
                <w:sz w:val="5"/>
                <w:szCs w:val="5"/>
                <w:color w:val="auto"/>
              </w:rPr>
            </w:pPr>
          </w:p>
        </w:tc>
        <w:tc>
          <w:tcPr>
            <w:tcW w:w="220" w:type="dxa"/>
            <w:vAlign w:val="bottom"/>
            <w:tcBorders>
              <w:bottom w:val="single" w:sz="8" w:color="004054"/>
            </w:tcBorders>
            <w:shd w:val="clear" w:color="auto" w:fill="004054"/>
          </w:tcPr>
          <w:p>
            <w:pPr>
              <w:spacing w:after="0"/>
              <w:rPr>
                <w:sz w:val="5"/>
                <w:szCs w:val="5"/>
                <w:color w:val="auto"/>
              </w:rPr>
            </w:pPr>
          </w:p>
        </w:tc>
        <w:tc>
          <w:tcPr>
            <w:tcW w:w="130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r>
      <w:tr>
        <w:trPr>
          <w:trHeight w:val="243"/>
        </w:trPr>
        <w:tc>
          <w:tcPr>
            <w:tcW w:w="502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Interest income</w:t>
            </w:r>
          </w:p>
        </w:tc>
        <w:tc>
          <w:tcPr>
            <w:tcW w:w="560" w:type="dxa"/>
            <w:vAlign w:val="bottom"/>
            <w:tcBorders>
              <w:bottom w:val="single" w:sz="8" w:color="EBFBFF"/>
            </w:tcBorders>
            <w:shd w:val="clear" w:color="auto" w:fill="EBFBFF"/>
          </w:tcPr>
          <w:p>
            <w:pPr>
              <w:jc w:val="right"/>
              <w:ind w:right="35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center"/>
              <w:ind w:left="354"/>
              <w:spacing w:after="0" w:line="213" w:lineRule="exact"/>
              <w:rPr>
                <w:sz w:val="20"/>
                <w:szCs w:val="20"/>
                <w:color w:val="auto"/>
              </w:rPr>
            </w:pPr>
            <w:r>
              <w:rPr>
                <w:rFonts w:ascii="Calibri" w:cs="Calibri" w:eastAsia="Calibri" w:hAnsi="Calibri"/>
                <w:sz w:val="18"/>
                <w:szCs w:val="18"/>
                <w:color w:val="51555C"/>
              </w:rPr>
              <w:t>3,118</w:t>
            </w:r>
          </w:p>
        </w:tc>
        <w:tc>
          <w:tcPr>
            <w:tcW w:w="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360" w:type="dxa"/>
            <w:vAlign w:val="bottom"/>
            <w:tcBorders>
              <w:bottom w:val="single" w:sz="8" w:color="EBFBFF"/>
              <w:right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3,012</w:t>
            </w:r>
          </w:p>
        </w:tc>
        <w:tc>
          <w:tcPr>
            <w:tcW w:w="640" w:type="dxa"/>
            <w:vAlign w:val="bottom"/>
            <w:tcBorders>
              <w:bottom w:val="single" w:sz="8" w:color="EBFBFF"/>
            </w:tcBorders>
            <w:gridSpan w:val="2"/>
            <w:shd w:val="clear" w:color="auto" w:fill="EBFBFF"/>
          </w:tcPr>
          <w:p>
            <w:pPr>
              <w:jc w:val="right"/>
              <w:ind w:right="35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center"/>
              <w:ind w:left="354"/>
              <w:spacing w:after="0" w:line="213" w:lineRule="exact"/>
              <w:rPr>
                <w:sz w:val="20"/>
                <w:szCs w:val="20"/>
                <w:color w:val="auto"/>
              </w:rPr>
            </w:pPr>
            <w:r>
              <w:rPr>
                <w:rFonts w:ascii="Calibri" w:cs="Calibri" w:eastAsia="Calibri" w:hAnsi="Calibri"/>
                <w:sz w:val="18"/>
                <w:szCs w:val="18"/>
                <w:color w:val="51555C"/>
              </w:rPr>
              <w:t>7,981</w:t>
            </w:r>
          </w:p>
        </w:tc>
        <w:tc>
          <w:tcPr>
            <w:tcW w:w="220" w:type="dxa"/>
            <w:vAlign w:val="bottom"/>
            <w:tcBorders>
              <w:bottom w:val="single" w:sz="8" w:color="EBFBFF"/>
            </w:tcBorders>
            <w:shd w:val="clear" w:color="auto" w:fill="EBFBFF"/>
          </w:tcPr>
          <w:p>
            <w:pPr>
              <w:jc w:val="right"/>
              <w:ind w:right="30"/>
              <w:spacing w:after="0" w:line="213" w:lineRule="exact"/>
              <w:rPr>
                <w:sz w:val="20"/>
                <w:szCs w:val="20"/>
                <w:color w:val="auto"/>
              </w:rPr>
            </w:pPr>
            <w:r>
              <w:rPr>
                <w:rFonts w:ascii="Calibri" w:cs="Calibri" w:eastAsia="Calibri" w:hAnsi="Calibri"/>
                <w:sz w:val="18"/>
                <w:szCs w:val="18"/>
                <w:color w:val="51555C"/>
                <w:w w:val="87"/>
              </w:rPr>
              <w:t>$</w:t>
            </w:r>
          </w:p>
        </w:tc>
        <w:tc>
          <w:tcPr>
            <w:tcW w:w="13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6,556</w:t>
            </w:r>
          </w:p>
        </w:tc>
        <w:tc>
          <w:tcPr>
            <w:tcW w:w="20" w:type="dxa"/>
            <w:vAlign w:val="bottom"/>
          </w:tcPr>
          <w:p>
            <w:pPr>
              <w:spacing w:after="0"/>
              <w:rPr>
                <w:sz w:val="21"/>
                <w:szCs w:val="21"/>
                <w:color w:val="auto"/>
              </w:rPr>
            </w:pPr>
          </w:p>
        </w:tc>
      </w:tr>
      <w:tr>
        <w:trPr>
          <w:trHeight w:val="219"/>
        </w:trPr>
        <w:tc>
          <w:tcPr>
            <w:tcW w:w="5020" w:type="dxa"/>
            <w:vAlign w:val="bottom"/>
          </w:tcPr>
          <w:p>
            <w:pPr>
              <w:ind w:left="20"/>
              <w:spacing w:after="0"/>
              <w:rPr>
                <w:sz w:val="20"/>
                <w:szCs w:val="20"/>
                <w:color w:val="auto"/>
              </w:rPr>
            </w:pPr>
            <w:r>
              <w:rPr>
                <w:rFonts w:ascii="Calibri" w:cs="Calibri" w:eastAsia="Calibri" w:hAnsi="Calibri"/>
                <w:sz w:val="18"/>
                <w:szCs w:val="18"/>
                <w:color w:val="51555C"/>
              </w:rPr>
              <w:t>Currency revaluaton (losses) gains</w:t>
            </w:r>
          </w:p>
        </w:tc>
        <w:tc>
          <w:tcPr>
            <w:tcW w:w="560" w:type="dxa"/>
            <w:vAlign w:val="bottom"/>
          </w:tcPr>
          <w:p>
            <w:pPr>
              <w:spacing w:after="0"/>
              <w:rPr>
                <w:sz w:val="19"/>
                <w:szCs w:val="19"/>
                <w:color w:val="auto"/>
              </w:rPr>
            </w:pPr>
          </w:p>
        </w:tc>
        <w:tc>
          <w:tcPr>
            <w:tcW w:w="980" w:type="dxa"/>
            <w:vAlign w:val="bottom"/>
          </w:tcPr>
          <w:p>
            <w:pPr>
              <w:jc w:val="center"/>
              <w:ind w:left="334"/>
              <w:spacing w:after="0"/>
              <w:rPr>
                <w:sz w:val="20"/>
                <w:szCs w:val="20"/>
                <w:color w:val="auto"/>
              </w:rPr>
            </w:pPr>
            <w:r>
              <w:rPr>
                <w:rFonts w:ascii="Calibri" w:cs="Calibri" w:eastAsia="Calibri" w:hAnsi="Calibri"/>
                <w:sz w:val="18"/>
                <w:szCs w:val="18"/>
                <w:color w:val="51555C"/>
              </w:rPr>
              <w:t>(1,315)</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color w:val="51555C"/>
              </w:rPr>
              <w:t>1,674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center"/>
              <w:ind w:left="314"/>
              <w:spacing w:after="0"/>
              <w:rPr>
                <w:sz w:val="20"/>
                <w:szCs w:val="20"/>
                <w:color w:val="auto"/>
              </w:rPr>
            </w:pPr>
            <w:r>
              <w:rPr>
                <w:rFonts w:ascii="Calibri" w:cs="Calibri" w:eastAsia="Calibri" w:hAnsi="Calibri"/>
                <w:sz w:val="18"/>
                <w:szCs w:val="18"/>
                <w:color w:val="51555C"/>
                <w:w w:val="96"/>
              </w:rPr>
              <w:t>(1,412)</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Calibri" w:cs="Calibri" w:eastAsia="Calibri" w:hAnsi="Calibri"/>
                <w:sz w:val="18"/>
                <w:szCs w:val="18"/>
                <w:color w:val="51555C"/>
              </w:rPr>
              <w:t>894</w:t>
            </w:r>
          </w:p>
        </w:tc>
        <w:tc>
          <w:tcPr>
            <w:tcW w:w="20" w:type="dxa"/>
            <w:vAlign w:val="bottom"/>
          </w:tcPr>
          <w:p>
            <w:pPr>
              <w:spacing w:after="0"/>
              <w:rPr>
                <w:sz w:val="19"/>
                <w:szCs w:val="19"/>
                <w:color w:val="auto"/>
              </w:rPr>
            </w:pPr>
          </w:p>
        </w:tc>
      </w:tr>
      <w:tr>
        <w:trPr>
          <w:trHeight w:val="51"/>
        </w:trPr>
        <w:tc>
          <w:tcPr>
            <w:tcW w:w="5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Other income, net</w:t>
            </w:r>
          </w:p>
        </w:tc>
        <w:tc>
          <w:tcPr>
            <w:tcW w:w="56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tcBorders>
            <w:shd w:val="clear" w:color="auto" w:fill="EBFBFF"/>
          </w:tcPr>
          <w:p>
            <w:pPr>
              <w:jc w:val="center"/>
              <w:ind w:left="354"/>
              <w:spacing w:after="0"/>
              <w:rPr>
                <w:sz w:val="20"/>
                <w:szCs w:val="20"/>
                <w:color w:val="auto"/>
              </w:rPr>
            </w:pPr>
            <w:r>
              <w:rPr>
                <w:rFonts w:ascii="Calibri" w:cs="Calibri" w:eastAsia="Calibri" w:hAnsi="Calibri"/>
                <w:sz w:val="18"/>
                <w:szCs w:val="18"/>
                <w:color w:val="51555C"/>
              </w:rPr>
              <w:t>1,194</w:t>
            </w:r>
          </w:p>
        </w:tc>
        <w:tc>
          <w:tcPr>
            <w:tcW w:w="180" w:type="dxa"/>
            <w:vAlign w:val="bottom"/>
            <w:tcBorders>
              <w:bottom w:val="single" w:sz="8" w:color="EBFBFF"/>
            </w:tcBorders>
            <w:shd w:val="clear" w:color="auto" w:fill="EBFBFF"/>
          </w:tcPr>
          <w:p>
            <w:pPr>
              <w:spacing w:after="0"/>
              <w:rPr>
                <w:sz w:val="23"/>
                <w:szCs w:val="23"/>
                <w:color w:val="auto"/>
              </w:rPr>
            </w:pPr>
          </w:p>
        </w:tc>
        <w:tc>
          <w:tcPr>
            <w:tcW w:w="13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976</w:t>
            </w:r>
          </w:p>
        </w:tc>
        <w:tc>
          <w:tcPr>
            <w:tcW w:w="80" w:type="dxa"/>
            <w:vAlign w:val="bottom"/>
            <w:tcBorders>
              <w:bottom w:val="single" w:sz="8" w:color="EBFBFF"/>
            </w:tcBorders>
            <w:shd w:val="clear" w:color="auto" w:fill="EBFBFF"/>
          </w:tcPr>
          <w:p>
            <w:pPr>
              <w:spacing w:after="0"/>
              <w:rPr>
                <w:sz w:val="23"/>
                <w:szCs w:val="23"/>
                <w:color w:val="auto"/>
              </w:rPr>
            </w:pPr>
          </w:p>
        </w:tc>
        <w:tc>
          <w:tcPr>
            <w:tcW w:w="56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tcBorders>
            <w:shd w:val="clear" w:color="auto" w:fill="EBFBFF"/>
          </w:tcPr>
          <w:p>
            <w:pPr>
              <w:jc w:val="center"/>
              <w:ind w:left="354"/>
              <w:spacing w:after="0"/>
              <w:rPr>
                <w:sz w:val="20"/>
                <w:szCs w:val="20"/>
                <w:color w:val="auto"/>
              </w:rPr>
            </w:pPr>
            <w:r>
              <w:rPr>
                <w:rFonts w:ascii="Calibri" w:cs="Calibri" w:eastAsia="Calibri" w:hAnsi="Calibri"/>
                <w:sz w:val="18"/>
                <w:szCs w:val="18"/>
                <w:color w:val="51555C"/>
              </w:rPr>
              <w:t>3,085</w:t>
            </w:r>
          </w:p>
        </w:tc>
        <w:tc>
          <w:tcPr>
            <w:tcW w:w="220" w:type="dxa"/>
            <w:vAlign w:val="bottom"/>
            <w:tcBorders>
              <w:bottom w:val="single" w:sz="8" w:color="EBFBFF"/>
            </w:tcBorders>
            <w:shd w:val="clear" w:color="auto" w:fill="EBFBFF"/>
          </w:tcPr>
          <w:p>
            <w:pPr>
              <w:spacing w:after="0"/>
              <w:rPr>
                <w:sz w:val="23"/>
                <w:szCs w:val="23"/>
                <w:color w:val="auto"/>
              </w:rPr>
            </w:pPr>
          </w:p>
        </w:tc>
        <w:tc>
          <w:tcPr>
            <w:tcW w:w="13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2,997</w:t>
            </w:r>
          </w:p>
        </w:tc>
        <w:tc>
          <w:tcPr>
            <w:tcW w:w="20" w:type="dxa"/>
            <w:vAlign w:val="bottom"/>
          </w:tcPr>
          <w:p>
            <w:pPr>
              <w:spacing w:after="0"/>
              <w:rPr>
                <w:sz w:val="23"/>
                <w:szCs w:val="23"/>
                <w:color w:val="auto"/>
              </w:rPr>
            </w:pPr>
          </w:p>
        </w:tc>
      </w:tr>
      <w:tr>
        <w:trPr>
          <w:trHeight w:val="213"/>
        </w:trPr>
        <w:tc>
          <w:tcPr>
            <w:tcW w:w="5020" w:type="dxa"/>
            <w:vAlign w:val="bottom"/>
          </w:tcPr>
          <w:p>
            <w:pPr>
              <w:ind w:left="140"/>
              <w:spacing w:after="0" w:line="199" w:lineRule="exact"/>
              <w:rPr>
                <w:sz w:val="20"/>
                <w:szCs w:val="20"/>
                <w:color w:val="auto"/>
              </w:rPr>
            </w:pPr>
            <w:r>
              <w:rPr>
                <w:rFonts w:ascii="Calibri" w:cs="Calibri" w:eastAsia="Calibri" w:hAnsi="Calibri"/>
                <w:sz w:val="18"/>
                <w:szCs w:val="18"/>
                <w:color w:val="51555C"/>
              </w:rPr>
              <w:t>Other income, net</w:t>
            </w:r>
          </w:p>
        </w:tc>
        <w:tc>
          <w:tcPr>
            <w:tcW w:w="560" w:type="dxa"/>
            <w:vAlign w:val="bottom"/>
            <w:tcBorders>
              <w:top w:val="single" w:sz="8" w:color="51555C"/>
            </w:tcBorders>
          </w:tcPr>
          <w:p>
            <w:pPr>
              <w:jc w:val="right"/>
              <w:ind w:right="35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top w:val="single" w:sz="8" w:color="51555C"/>
            </w:tcBorders>
          </w:tcPr>
          <w:p>
            <w:pPr>
              <w:jc w:val="center"/>
              <w:ind w:left="354"/>
              <w:spacing w:after="0" w:line="213" w:lineRule="exact"/>
              <w:rPr>
                <w:sz w:val="20"/>
                <w:szCs w:val="20"/>
                <w:color w:val="auto"/>
              </w:rPr>
            </w:pPr>
            <w:r>
              <w:rPr>
                <w:rFonts w:ascii="Calibri" w:cs="Calibri" w:eastAsia="Calibri" w:hAnsi="Calibri"/>
                <w:sz w:val="18"/>
                <w:szCs w:val="18"/>
                <w:color w:val="51555C"/>
              </w:rPr>
              <w:t>2,997</w:t>
            </w:r>
          </w:p>
        </w:tc>
        <w:tc>
          <w:tcPr>
            <w:tcW w:w="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3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5,662</w:t>
            </w:r>
          </w:p>
        </w:tc>
        <w:tc>
          <w:tcPr>
            <w:tcW w:w="80" w:type="dxa"/>
            <w:vAlign w:val="bottom"/>
          </w:tcPr>
          <w:p>
            <w:pPr>
              <w:spacing w:after="0"/>
              <w:rPr>
                <w:sz w:val="18"/>
                <w:szCs w:val="18"/>
                <w:color w:val="auto"/>
              </w:rPr>
            </w:pPr>
          </w:p>
        </w:tc>
        <w:tc>
          <w:tcPr>
            <w:tcW w:w="560" w:type="dxa"/>
            <w:vAlign w:val="bottom"/>
            <w:tcBorders>
              <w:top w:val="single" w:sz="8" w:color="51555C"/>
            </w:tcBorders>
          </w:tcPr>
          <w:p>
            <w:pPr>
              <w:jc w:val="right"/>
              <w:ind w:right="35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top w:val="single" w:sz="8" w:color="51555C"/>
            </w:tcBorders>
          </w:tcPr>
          <w:p>
            <w:pPr>
              <w:jc w:val="center"/>
              <w:ind w:left="354"/>
              <w:spacing w:after="0" w:line="213" w:lineRule="exact"/>
              <w:rPr>
                <w:sz w:val="20"/>
                <w:szCs w:val="20"/>
                <w:color w:val="auto"/>
              </w:rPr>
            </w:pPr>
            <w:r>
              <w:rPr>
                <w:rFonts w:ascii="Calibri" w:cs="Calibri" w:eastAsia="Calibri" w:hAnsi="Calibri"/>
                <w:sz w:val="18"/>
                <w:szCs w:val="18"/>
                <w:color w:val="51555C"/>
              </w:rPr>
              <w:t>9,654</w:t>
            </w:r>
          </w:p>
        </w:tc>
        <w:tc>
          <w:tcPr>
            <w:tcW w:w="220" w:type="dxa"/>
            <w:vAlign w:val="bottom"/>
            <w:tcBorders>
              <w:top w:val="single" w:sz="8" w:color="51555C"/>
            </w:tcBorders>
          </w:tcPr>
          <w:p>
            <w:pPr>
              <w:jc w:val="right"/>
              <w:ind w:right="30"/>
              <w:spacing w:after="0" w:line="213" w:lineRule="exact"/>
              <w:rPr>
                <w:sz w:val="20"/>
                <w:szCs w:val="20"/>
                <w:color w:val="auto"/>
              </w:rPr>
            </w:pPr>
            <w:r>
              <w:rPr>
                <w:rFonts w:ascii="Calibri" w:cs="Calibri" w:eastAsia="Calibri" w:hAnsi="Calibri"/>
                <w:sz w:val="18"/>
                <w:szCs w:val="18"/>
                <w:color w:val="51555C"/>
                <w:w w:val="87"/>
              </w:rPr>
              <w:t>$</w:t>
            </w:r>
          </w:p>
        </w:tc>
        <w:tc>
          <w:tcPr>
            <w:tcW w:w="13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10,447</w:t>
            </w:r>
          </w:p>
        </w:tc>
        <w:tc>
          <w:tcPr>
            <w:tcW w:w="20" w:type="dxa"/>
            <w:vAlign w:val="bottom"/>
          </w:tcPr>
          <w:p>
            <w:pPr>
              <w:spacing w:after="0"/>
              <w:rPr>
                <w:sz w:val="18"/>
                <w:szCs w:val="18"/>
                <w:color w:val="auto"/>
              </w:rPr>
            </w:pPr>
          </w:p>
        </w:tc>
      </w:tr>
      <w:tr>
        <w:trPr>
          <w:trHeight w:val="50"/>
        </w:trPr>
        <w:tc>
          <w:tcPr>
            <w:tcW w:w="5020" w:type="dxa"/>
            <w:vAlign w:val="bottom"/>
            <w:tcBorders>
              <w:bottom w:val="single" w:sz="8" w:color="0CD973"/>
            </w:tcBorders>
          </w:tcPr>
          <w:p>
            <w:pPr>
              <w:spacing w:after="0"/>
              <w:rPr>
                <w:sz w:val="4"/>
                <w:szCs w:val="4"/>
                <w:color w:val="auto"/>
              </w:rPr>
            </w:pPr>
          </w:p>
        </w:tc>
        <w:tc>
          <w:tcPr>
            <w:tcW w:w="560" w:type="dxa"/>
            <w:vAlign w:val="bottom"/>
            <w:tcBorders>
              <w:bottom w:val="single" w:sz="8" w:color="0CD973"/>
            </w:tcBorders>
          </w:tcPr>
          <w:p>
            <w:pPr>
              <w:spacing w:after="0"/>
              <w:rPr>
                <w:sz w:val="4"/>
                <w:szCs w:val="4"/>
                <w:color w:val="auto"/>
              </w:rPr>
            </w:pPr>
          </w:p>
        </w:tc>
        <w:tc>
          <w:tcPr>
            <w:tcW w:w="980" w:type="dxa"/>
            <w:vAlign w:val="bottom"/>
            <w:tcBorders>
              <w:bottom w:val="single" w:sz="8" w:color="0CD973"/>
            </w:tcBorders>
          </w:tcPr>
          <w:p>
            <w:pPr>
              <w:spacing w:after="0"/>
              <w:rPr>
                <w:sz w:val="4"/>
                <w:szCs w:val="4"/>
                <w:color w:val="auto"/>
              </w:rPr>
            </w:pPr>
          </w:p>
        </w:tc>
        <w:tc>
          <w:tcPr>
            <w:tcW w:w="180" w:type="dxa"/>
            <w:vAlign w:val="bottom"/>
            <w:tcBorders>
              <w:bottom w:val="single" w:sz="8" w:color="0CD973"/>
            </w:tcBorders>
          </w:tcPr>
          <w:p>
            <w:pPr>
              <w:spacing w:after="0"/>
              <w:rPr>
                <w:sz w:val="4"/>
                <w:szCs w:val="4"/>
                <w:color w:val="auto"/>
              </w:rPr>
            </w:pPr>
          </w:p>
        </w:tc>
        <w:tc>
          <w:tcPr>
            <w:tcW w:w="1360" w:type="dxa"/>
            <w:vAlign w:val="bottom"/>
            <w:tcBorders>
              <w:bottom w:val="single" w:sz="8" w:color="0CD973"/>
            </w:tcBorders>
          </w:tcPr>
          <w:p>
            <w:pPr>
              <w:spacing w:after="0"/>
              <w:rPr>
                <w:sz w:val="4"/>
                <w:szCs w:val="4"/>
                <w:color w:val="auto"/>
              </w:rPr>
            </w:pPr>
          </w:p>
        </w:tc>
        <w:tc>
          <w:tcPr>
            <w:tcW w:w="80" w:type="dxa"/>
            <w:vAlign w:val="bottom"/>
            <w:tcBorders>
              <w:bottom w:val="single" w:sz="8" w:color="0CD973"/>
            </w:tcBorders>
          </w:tcPr>
          <w:p>
            <w:pPr>
              <w:spacing w:after="0"/>
              <w:rPr>
                <w:sz w:val="4"/>
                <w:szCs w:val="4"/>
                <w:color w:val="auto"/>
              </w:rPr>
            </w:pPr>
          </w:p>
        </w:tc>
        <w:tc>
          <w:tcPr>
            <w:tcW w:w="560" w:type="dxa"/>
            <w:vAlign w:val="bottom"/>
            <w:tcBorders>
              <w:bottom w:val="single" w:sz="8" w:color="0CD973"/>
            </w:tcBorders>
          </w:tcPr>
          <w:p>
            <w:pPr>
              <w:spacing w:after="0"/>
              <w:rPr>
                <w:sz w:val="4"/>
                <w:szCs w:val="4"/>
                <w:color w:val="auto"/>
              </w:rPr>
            </w:pPr>
          </w:p>
        </w:tc>
        <w:tc>
          <w:tcPr>
            <w:tcW w:w="980" w:type="dxa"/>
            <w:vAlign w:val="bottom"/>
            <w:tcBorders>
              <w:bottom w:val="single" w:sz="8" w:color="0CD973"/>
            </w:tcBorders>
          </w:tcPr>
          <w:p>
            <w:pPr>
              <w:spacing w:after="0"/>
              <w:rPr>
                <w:sz w:val="4"/>
                <w:szCs w:val="4"/>
                <w:color w:val="auto"/>
              </w:rPr>
            </w:pPr>
          </w:p>
        </w:tc>
        <w:tc>
          <w:tcPr>
            <w:tcW w:w="220" w:type="dxa"/>
            <w:vAlign w:val="bottom"/>
            <w:tcBorders>
              <w:bottom w:val="single" w:sz="8" w:color="0CD973"/>
            </w:tcBorders>
          </w:tcPr>
          <w:p>
            <w:pPr>
              <w:spacing w:after="0"/>
              <w:rPr>
                <w:sz w:val="4"/>
                <w:szCs w:val="4"/>
                <w:color w:val="auto"/>
              </w:rPr>
            </w:pPr>
          </w:p>
        </w:tc>
        <w:tc>
          <w:tcPr>
            <w:tcW w:w="130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-864870</wp:posOffset>
            </wp:positionV>
            <wp:extent cx="39516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7.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following table summarizes our debt balances and the related weighted average efectve interest rates, which includes the efect of interest rate swap agreements.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shd w:val="clear" w:color="auto" w:fill="004054"/>
          </w:tcPr>
          <w:p>
            <w:pPr>
              <w:spacing w:after="0"/>
              <w:rPr>
                <w:sz w:val="16"/>
                <w:szCs w:val="16"/>
                <w:color w:val="auto"/>
              </w:rPr>
            </w:pPr>
          </w:p>
        </w:tc>
        <w:tc>
          <w:tcPr>
            <w:tcW w:w="360" w:type="dxa"/>
            <w:vAlign w:val="bottom"/>
            <w:shd w:val="clear" w:color="auto" w:fill="004054"/>
          </w:tcPr>
          <w:p>
            <w:pPr>
              <w:spacing w:after="0"/>
              <w:rPr>
                <w:sz w:val="16"/>
                <w:szCs w:val="16"/>
                <w:color w:val="auto"/>
              </w:rPr>
            </w:pPr>
          </w:p>
        </w:tc>
        <w:tc>
          <w:tcPr>
            <w:tcW w:w="1140" w:type="dxa"/>
            <w:vAlign w:val="bottom"/>
            <w:shd w:val="clear" w:color="auto" w:fill="004054"/>
          </w:tcPr>
          <w:p>
            <w:pPr>
              <w:spacing w:after="0"/>
              <w:rPr>
                <w:sz w:val="16"/>
                <w:szCs w:val="16"/>
                <w:color w:val="auto"/>
              </w:rPr>
            </w:pPr>
          </w:p>
        </w:tc>
        <w:tc>
          <w:tcPr>
            <w:tcW w:w="320" w:type="dxa"/>
            <w:vAlign w:val="bottom"/>
            <w:shd w:val="clear" w:color="auto" w:fill="004054"/>
          </w:tcPr>
          <w:p>
            <w:pPr>
              <w:spacing w:after="0"/>
              <w:rPr>
                <w:sz w:val="16"/>
                <w:szCs w:val="16"/>
                <w:color w:val="auto"/>
              </w:rPr>
            </w:pPr>
          </w:p>
        </w:tc>
        <w:tc>
          <w:tcPr>
            <w:tcW w:w="1180" w:type="dxa"/>
            <w:vAlign w:val="bottom"/>
            <w:shd w:val="clear" w:color="auto" w:fill="004054"/>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shd w:val="clear" w:color="auto" w:fill="004054"/>
          </w:tcPr>
          <w:p>
            <w:pPr>
              <w:spacing w:after="0"/>
              <w:rPr>
                <w:sz w:val="16"/>
                <w:szCs w:val="16"/>
                <w:color w:val="auto"/>
              </w:rPr>
            </w:pP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Weighted average</w:t>
            </w:r>
          </w:p>
        </w:tc>
        <w:tc>
          <w:tcPr>
            <w:tcW w:w="20" w:type="dxa"/>
            <w:vAlign w:val="bottom"/>
            <w:shd w:val="clear" w:color="auto" w:fill="004054"/>
          </w:tcPr>
          <w:p>
            <w:pPr>
              <w:spacing w:after="0"/>
              <w:rPr>
                <w:sz w:val="16"/>
                <w:szCs w:val="16"/>
                <w:color w:val="auto"/>
              </w:rPr>
            </w:pPr>
          </w:p>
        </w:tc>
      </w:tr>
      <w:tr>
        <w:trPr>
          <w:trHeight w:val="170"/>
        </w:trPr>
        <w:tc>
          <w:tcPr>
            <w:tcW w:w="4900" w:type="dxa"/>
            <w:vAlign w:val="bottom"/>
            <w:shd w:val="clear" w:color="auto" w:fill="004054"/>
          </w:tcPr>
          <w:p>
            <w:pPr>
              <w:spacing w:after="0"/>
              <w:rPr>
                <w:sz w:val="14"/>
                <w:szCs w:val="14"/>
                <w:color w:val="auto"/>
              </w:rPr>
            </w:pPr>
          </w:p>
        </w:tc>
        <w:tc>
          <w:tcPr>
            <w:tcW w:w="360" w:type="dxa"/>
            <w:vAlign w:val="bottom"/>
            <w:shd w:val="clear" w:color="auto" w:fill="004054"/>
          </w:tcPr>
          <w:p>
            <w:pPr>
              <w:spacing w:after="0"/>
              <w:rPr>
                <w:sz w:val="14"/>
                <w:szCs w:val="14"/>
                <w:color w:val="auto"/>
              </w:rPr>
            </w:pPr>
          </w:p>
        </w:tc>
        <w:tc>
          <w:tcPr>
            <w:tcW w:w="1140" w:type="dxa"/>
            <w:vAlign w:val="bottom"/>
            <w:shd w:val="clear" w:color="auto" w:fill="004054"/>
          </w:tcPr>
          <w:p>
            <w:pPr>
              <w:spacing w:after="0"/>
              <w:rPr>
                <w:sz w:val="14"/>
                <w:szCs w:val="14"/>
                <w:color w:val="auto"/>
              </w:rPr>
            </w:pPr>
          </w:p>
        </w:tc>
        <w:tc>
          <w:tcPr>
            <w:tcW w:w="320" w:type="dxa"/>
            <w:vAlign w:val="bottom"/>
            <w:shd w:val="clear" w:color="auto" w:fill="004054"/>
          </w:tcPr>
          <w:p>
            <w:pPr>
              <w:spacing w:after="0"/>
              <w:rPr>
                <w:sz w:val="14"/>
                <w:szCs w:val="14"/>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Debt balance at</w:t>
            </w:r>
          </w:p>
        </w:tc>
        <w:tc>
          <w:tcPr>
            <w:tcW w:w="100" w:type="dxa"/>
            <w:vAlign w:val="bottom"/>
          </w:tcPr>
          <w:p>
            <w:pPr>
              <w:spacing w:after="0"/>
              <w:rPr>
                <w:sz w:val="14"/>
                <w:szCs w:val="14"/>
                <w:color w:val="auto"/>
              </w:rPr>
            </w:pPr>
          </w:p>
        </w:tc>
        <w:tc>
          <w:tcPr>
            <w:tcW w:w="1620" w:type="dxa"/>
            <w:vAlign w:val="bottom"/>
            <w:shd w:val="clear" w:color="auto" w:fill="004054"/>
          </w:tcPr>
          <w:p>
            <w:pPr>
              <w:spacing w:after="0"/>
              <w:rPr>
                <w:sz w:val="14"/>
                <w:szCs w:val="14"/>
                <w:color w:val="auto"/>
              </w:rPr>
            </w:pP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efectve interest rate at</w:t>
            </w:r>
          </w:p>
        </w:tc>
        <w:tc>
          <w:tcPr>
            <w:tcW w:w="20" w:type="dxa"/>
            <w:vAlign w:val="bottom"/>
            <w:shd w:val="clear" w:color="auto" w:fill="004054"/>
          </w:tcPr>
          <w:p>
            <w:pPr>
              <w:spacing w:after="0"/>
              <w:rPr>
                <w:sz w:val="14"/>
                <w:szCs w:val="14"/>
                <w:color w:val="auto"/>
              </w:rPr>
            </w:pPr>
          </w:p>
        </w:tc>
      </w:tr>
      <w:tr>
        <w:trPr>
          <w:trHeight w:val="243"/>
        </w:trPr>
        <w:tc>
          <w:tcPr>
            <w:tcW w:w="4900" w:type="dxa"/>
            <w:vAlign w:val="bottom"/>
            <w:shd w:val="clear" w:color="auto" w:fill="004054"/>
          </w:tcPr>
          <w:p>
            <w:pPr>
              <w:spacing w:after="0"/>
              <w:rPr>
                <w:sz w:val="21"/>
                <w:szCs w:val="21"/>
                <w:color w:val="auto"/>
              </w:rPr>
            </w:pPr>
          </w:p>
        </w:tc>
        <w:tc>
          <w:tcPr>
            <w:tcW w:w="360" w:type="dxa"/>
            <w:vAlign w:val="bottom"/>
            <w:shd w:val="clear" w:color="auto" w:fill="004054"/>
          </w:tcPr>
          <w:p>
            <w:pPr>
              <w:spacing w:after="0"/>
              <w:rPr>
                <w:sz w:val="21"/>
                <w:szCs w:val="21"/>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320" w:type="dxa"/>
            <w:vAlign w:val="bottom"/>
            <w:shd w:val="clear" w:color="auto" w:fill="004054"/>
          </w:tcPr>
          <w:p>
            <w:pPr>
              <w:spacing w:after="0"/>
              <w:rPr>
                <w:sz w:val="21"/>
                <w:szCs w:val="21"/>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00" w:type="dxa"/>
            <w:vAlign w:val="bottom"/>
          </w:tcPr>
          <w:p>
            <w:pPr>
              <w:spacing w:after="0"/>
              <w:rPr>
                <w:sz w:val="21"/>
                <w:szCs w:val="21"/>
                <w:color w:val="auto"/>
              </w:rPr>
            </w:pP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21"/>
                <w:szCs w:val="21"/>
                <w:color w:val="auto"/>
              </w:rPr>
            </w:pPr>
          </w:p>
        </w:tc>
      </w:tr>
      <w:tr>
        <w:trPr>
          <w:trHeight w:val="176"/>
        </w:trPr>
        <w:tc>
          <w:tcPr>
            <w:tcW w:w="49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360" w:type="dxa"/>
            <w:vAlign w:val="bottom"/>
            <w:shd w:val="clear" w:color="auto" w:fill="004054"/>
          </w:tcPr>
          <w:p>
            <w:pPr>
              <w:spacing w:after="0"/>
              <w:rPr>
                <w:sz w:val="15"/>
                <w:szCs w:val="15"/>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32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00" w:type="dxa"/>
            <w:vAlign w:val="bottom"/>
          </w:tcPr>
          <w:p>
            <w:pPr>
              <w:spacing w:after="0"/>
              <w:rPr>
                <w:sz w:val="15"/>
                <w:szCs w:val="15"/>
                <w:color w:val="auto"/>
              </w:rPr>
            </w:pP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5"/>
                <w:szCs w:val="15"/>
                <w:color w:val="auto"/>
              </w:rPr>
            </w:pPr>
          </w:p>
        </w:tc>
      </w:tr>
      <w:tr>
        <w:trPr>
          <w:trHeight w:val="60"/>
        </w:trPr>
        <w:tc>
          <w:tcPr>
            <w:tcW w:w="4900" w:type="dxa"/>
            <w:vAlign w:val="bottom"/>
            <w:tcBorders>
              <w:bottom w:val="single" w:sz="8" w:color="004054"/>
            </w:tcBorders>
            <w:shd w:val="clear" w:color="auto" w:fill="004054"/>
          </w:tcPr>
          <w:p>
            <w:pPr>
              <w:spacing w:after="0"/>
              <w:rPr>
                <w:sz w:val="5"/>
                <w:szCs w:val="5"/>
                <w:color w:val="auto"/>
              </w:rPr>
            </w:pPr>
          </w:p>
        </w:tc>
        <w:tc>
          <w:tcPr>
            <w:tcW w:w="360" w:type="dxa"/>
            <w:vAlign w:val="bottom"/>
            <w:tcBorders>
              <w:bottom w:val="single" w:sz="8" w:color="004054"/>
            </w:tcBorders>
            <w:shd w:val="clear" w:color="auto" w:fill="004054"/>
          </w:tcPr>
          <w:p>
            <w:pPr>
              <w:spacing w:after="0"/>
              <w:rPr>
                <w:sz w:val="5"/>
                <w:szCs w:val="5"/>
                <w:color w:val="auto"/>
              </w:rPr>
            </w:pPr>
          </w:p>
        </w:tc>
        <w:tc>
          <w:tcPr>
            <w:tcW w:w="1140" w:type="dxa"/>
            <w:vAlign w:val="bottom"/>
            <w:tcBorders>
              <w:bottom w:val="single" w:sz="8" w:color="004054"/>
            </w:tcBorders>
            <w:shd w:val="clear" w:color="auto" w:fill="004054"/>
          </w:tcPr>
          <w:p>
            <w:pPr>
              <w:spacing w:after="0"/>
              <w:rPr>
                <w:sz w:val="5"/>
                <w:szCs w:val="5"/>
                <w:color w:val="auto"/>
              </w:rPr>
            </w:pPr>
          </w:p>
        </w:tc>
        <w:tc>
          <w:tcPr>
            <w:tcW w:w="320" w:type="dxa"/>
            <w:vAlign w:val="bottom"/>
            <w:tcBorders>
              <w:bottom w:val="single" w:sz="8" w:color="004054"/>
            </w:tcBorders>
            <w:shd w:val="clear" w:color="auto" w:fill="004054"/>
          </w:tcPr>
          <w:p>
            <w:pPr>
              <w:spacing w:after="0"/>
              <w:rPr>
                <w:sz w:val="5"/>
                <w:szCs w:val="5"/>
                <w:color w:val="auto"/>
              </w:rPr>
            </w:pPr>
          </w:p>
        </w:tc>
        <w:tc>
          <w:tcPr>
            <w:tcW w:w="1180" w:type="dxa"/>
            <w:vAlign w:val="bottom"/>
            <w:tcBorders>
              <w:bottom w:val="single" w:sz="8" w:color="004054"/>
            </w:tcBorders>
            <w:shd w:val="clear" w:color="auto" w:fill="004054"/>
          </w:tcPr>
          <w:p>
            <w:pPr>
              <w:spacing w:after="0"/>
              <w:rPr>
                <w:sz w:val="5"/>
                <w:szCs w:val="5"/>
                <w:color w:val="auto"/>
              </w:rPr>
            </w:pPr>
          </w:p>
        </w:tc>
        <w:tc>
          <w:tcPr>
            <w:tcW w:w="100" w:type="dxa"/>
            <w:vAlign w:val="bottom"/>
            <w:tcBorders>
              <w:bottom w:val="single" w:sz="8" w:color="EBFBFF"/>
            </w:tcBorders>
          </w:tcPr>
          <w:p>
            <w:pPr>
              <w:spacing w:after="0"/>
              <w:rPr>
                <w:sz w:val="5"/>
                <w:szCs w:val="5"/>
                <w:color w:val="auto"/>
              </w:rPr>
            </w:pPr>
          </w:p>
        </w:tc>
        <w:tc>
          <w:tcPr>
            <w:tcW w:w="1620" w:type="dxa"/>
            <w:vAlign w:val="bottom"/>
            <w:tcBorders>
              <w:bottom w:val="single" w:sz="8" w:color="004054"/>
            </w:tcBorders>
            <w:shd w:val="clear" w:color="auto" w:fill="004054"/>
          </w:tcPr>
          <w:p>
            <w:pPr>
              <w:spacing w:after="0"/>
              <w:rPr>
                <w:sz w:val="5"/>
                <w:szCs w:val="5"/>
                <w:color w:val="auto"/>
              </w:rPr>
            </w:pPr>
          </w:p>
        </w:tc>
        <w:tc>
          <w:tcPr>
            <w:tcW w:w="162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r>
      <w:tr>
        <w:trPr>
          <w:trHeight w:val="243"/>
        </w:trPr>
        <w:tc>
          <w:tcPr>
            <w:tcW w:w="490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Credit facility:</w:t>
            </w:r>
          </w:p>
        </w:tc>
        <w:tc>
          <w:tcPr>
            <w:tcW w:w="36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spacing w:after="0"/>
              <w:rPr>
                <w:sz w:val="21"/>
                <w:szCs w:val="21"/>
                <w:color w:val="auto"/>
              </w:rPr>
            </w:pPr>
          </w:p>
        </w:tc>
        <w:tc>
          <w:tcPr>
            <w:tcW w:w="32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1620" w:type="dxa"/>
            <w:vAlign w:val="bottom"/>
            <w:tcBorders>
              <w:bottom w:val="single" w:sz="8" w:color="EBFBFF"/>
            </w:tcBorders>
            <w:shd w:val="clear" w:color="auto" w:fill="EBFBFF"/>
          </w:tcPr>
          <w:p>
            <w:pPr>
              <w:spacing w:after="0"/>
              <w:rPr>
                <w:sz w:val="21"/>
                <w:szCs w:val="21"/>
                <w:color w:val="auto"/>
              </w:rPr>
            </w:pPr>
          </w:p>
        </w:tc>
        <w:tc>
          <w:tcPr>
            <w:tcW w:w="16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4900" w:type="dxa"/>
            <w:vAlign w:val="bottom"/>
          </w:tcPr>
          <w:p>
            <w:pPr>
              <w:ind w:left="140"/>
              <w:spacing w:after="0"/>
              <w:rPr>
                <w:sz w:val="20"/>
                <w:szCs w:val="20"/>
                <w:color w:val="auto"/>
              </w:rPr>
            </w:pPr>
            <w:r>
              <w:rPr>
                <w:rFonts w:ascii="Calibri" w:cs="Calibri" w:eastAsia="Calibri" w:hAnsi="Calibri"/>
                <w:sz w:val="18"/>
                <w:szCs w:val="18"/>
                <w:color w:val="51555C"/>
              </w:rPr>
              <w:t>Revolving credit loans</w:t>
            </w:r>
          </w:p>
        </w:tc>
        <w:tc>
          <w:tcPr>
            <w:tcW w:w="360" w:type="dxa"/>
            <w:vAlign w:val="bottom"/>
          </w:tcPr>
          <w:p>
            <w:pPr>
              <w:jc w:val="right"/>
              <w:ind w:right="170"/>
              <w:spacing w:after="0"/>
              <w:rPr>
                <w:sz w:val="20"/>
                <w:szCs w:val="20"/>
                <w:color w:val="auto"/>
              </w:rPr>
            </w:pPr>
            <w:r>
              <w:rPr>
                <w:rFonts w:ascii="Calibri" w:cs="Calibri" w:eastAsia="Calibri" w:hAnsi="Calibri"/>
                <w:sz w:val="18"/>
                <w:szCs w:val="18"/>
                <w:color w:val="51555C"/>
                <w:w w:val="87"/>
              </w:rPr>
              <w:t>$</w:t>
            </w: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151,000</w:t>
            </w:r>
          </w:p>
        </w:tc>
        <w:tc>
          <w:tcPr>
            <w:tcW w:w="320" w:type="dxa"/>
            <w:vAlign w:val="bottom"/>
          </w:tcPr>
          <w:p>
            <w:pPr>
              <w:jc w:val="right"/>
              <w:ind w:right="130"/>
              <w:spacing w:after="0"/>
              <w:rPr>
                <w:sz w:val="20"/>
                <w:szCs w:val="20"/>
                <w:color w:val="auto"/>
              </w:rPr>
            </w:pPr>
            <w:r>
              <w:rPr>
                <w:rFonts w:ascii="Calibri" w:cs="Calibri" w:eastAsia="Calibri" w:hAnsi="Calibri"/>
                <w:sz w:val="18"/>
                <w:szCs w:val="18"/>
                <w:color w:val="51555C"/>
                <w:w w:val="87"/>
              </w:rPr>
              <w:t>$</w:t>
            </w: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114,100</w:t>
            </w:r>
          </w:p>
        </w:tc>
        <w:tc>
          <w:tcPr>
            <w:tcW w:w="1720" w:type="dxa"/>
            <w:vAlign w:val="bottom"/>
            <w:gridSpan w:val="2"/>
          </w:tcPr>
          <w:p>
            <w:pPr>
              <w:jc w:val="right"/>
              <w:spacing w:after="0"/>
              <w:rPr>
                <w:sz w:val="20"/>
                <w:szCs w:val="20"/>
                <w:color w:val="auto"/>
              </w:rPr>
            </w:pPr>
            <w:r>
              <w:rPr>
                <w:rFonts w:ascii="Calibri" w:cs="Calibri" w:eastAsia="Calibri" w:hAnsi="Calibri"/>
                <w:sz w:val="18"/>
                <w:szCs w:val="18"/>
                <w:color w:val="51555C"/>
              </w:rPr>
              <w:t>7.00 %</w:t>
            </w:r>
          </w:p>
        </w:tc>
        <w:tc>
          <w:tcPr>
            <w:tcW w:w="1620" w:type="dxa"/>
            <w:vAlign w:val="bottom"/>
          </w:tcPr>
          <w:p>
            <w:pPr>
              <w:jc w:val="right"/>
              <w:spacing w:after="0"/>
              <w:rPr>
                <w:sz w:val="20"/>
                <w:szCs w:val="20"/>
                <w:color w:val="auto"/>
              </w:rPr>
            </w:pPr>
            <w:r>
              <w:rPr>
                <w:rFonts w:ascii="Calibri" w:cs="Calibri" w:eastAsia="Calibri" w:hAnsi="Calibri"/>
                <w:sz w:val="18"/>
                <w:szCs w:val="18"/>
                <w:color w:val="51555C"/>
              </w:rPr>
              <w:t>7.52 %</w:t>
            </w:r>
          </w:p>
        </w:tc>
        <w:tc>
          <w:tcPr>
            <w:tcW w:w="20" w:type="dxa"/>
            <w:vAlign w:val="bottom"/>
          </w:tcPr>
          <w:p>
            <w:pPr>
              <w:spacing w:after="0"/>
              <w:rPr>
                <w:sz w:val="19"/>
                <w:szCs w:val="19"/>
                <w:color w:val="auto"/>
              </w:rPr>
            </w:pPr>
          </w:p>
        </w:tc>
      </w:tr>
      <w:tr>
        <w:trPr>
          <w:trHeight w:val="50"/>
        </w:trPr>
        <w:tc>
          <w:tcPr>
            <w:tcW w:w="4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9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Term loans</w:t>
            </w:r>
          </w:p>
        </w:tc>
        <w:tc>
          <w:tcPr>
            <w:tcW w:w="36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795,000</w:t>
            </w:r>
          </w:p>
        </w:tc>
        <w:tc>
          <w:tcPr>
            <w:tcW w:w="32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607,500</w:t>
            </w:r>
          </w:p>
        </w:tc>
        <w:tc>
          <w:tcPr>
            <w:tcW w:w="172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8"/>
                <w:szCs w:val="18"/>
                <w:color w:val="51555C"/>
              </w:rPr>
              <w:t>4.28 %</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3.51 %</w:t>
            </w:r>
          </w:p>
        </w:tc>
        <w:tc>
          <w:tcPr>
            <w:tcW w:w="20" w:type="dxa"/>
            <w:vAlign w:val="bottom"/>
          </w:tcPr>
          <w:p>
            <w:pPr>
              <w:spacing w:after="0"/>
              <w:rPr>
                <w:sz w:val="21"/>
                <w:szCs w:val="21"/>
                <w:color w:val="auto"/>
              </w:rPr>
            </w:pPr>
          </w:p>
        </w:tc>
      </w:tr>
      <w:tr>
        <w:trPr>
          <w:trHeight w:val="220"/>
        </w:trPr>
        <w:tc>
          <w:tcPr>
            <w:tcW w:w="4900" w:type="dxa"/>
            <w:vAlign w:val="bottom"/>
          </w:tcPr>
          <w:p>
            <w:pPr>
              <w:ind w:left="20"/>
              <w:spacing w:after="0"/>
              <w:rPr>
                <w:sz w:val="20"/>
                <w:szCs w:val="20"/>
                <w:color w:val="auto"/>
              </w:rPr>
            </w:pPr>
            <w:r>
              <w:rPr>
                <w:rFonts w:ascii="Calibri" w:cs="Calibri" w:eastAsia="Calibri" w:hAnsi="Calibri"/>
                <w:sz w:val="18"/>
                <w:szCs w:val="18"/>
                <w:color w:val="51555C"/>
              </w:rPr>
              <w:t>Real estate loans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55,553</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56,745</w:t>
            </w:r>
          </w:p>
        </w:tc>
        <w:tc>
          <w:tcPr>
            <w:tcW w:w="1720" w:type="dxa"/>
            <w:vAlign w:val="bottom"/>
            <w:gridSpan w:val="2"/>
          </w:tcPr>
          <w:p>
            <w:pPr>
              <w:jc w:val="right"/>
              <w:spacing w:after="0"/>
              <w:rPr>
                <w:sz w:val="20"/>
                <w:szCs w:val="20"/>
                <w:color w:val="auto"/>
              </w:rPr>
            </w:pPr>
            <w:r>
              <w:rPr>
                <w:rFonts w:ascii="Calibri" w:cs="Calibri" w:eastAsia="Calibri" w:hAnsi="Calibri"/>
                <w:sz w:val="18"/>
                <w:szCs w:val="18"/>
                <w:color w:val="51555C"/>
              </w:rPr>
              <w:t>5.23 %</w:t>
            </w:r>
          </w:p>
        </w:tc>
        <w:tc>
          <w:tcPr>
            <w:tcW w:w="1620" w:type="dxa"/>
            <w:vAlign w:val="bottom"/>
          </w:tcPr>
          <w:p>
            <w:pPr>
              <w:jc w:val="right"/>
              <w:spacing w:after="0"/>
              <w:rPr>
                <w:sz w:val="20"/>
                <w:szCs w:val="20"/>
                <w:color w:val="auto"/>
              </w:rPr>
            </w:pPr>
            <w:r>
              <w:rPr>
                <w:rFonts w:ascii="Calibri" w:cs="Calibri" w:eastAsia="Calibri" w:hAnsi="Calibri"/>
                <w:sz w:val="18"/>
                <w:szCs w:val="18"/>
                <w:color w:val="51555C"/>
              </w:rPr>
              <w:t>5.22 %</w:t>
            </w:r>
          </w:p>
        </w:tc>
        <w:tc>
          <w:tcPr>
            <w:tcW w:w="20" w:type="dxa"/>
            <w:vAlign w:val="bottom"/>
          </w:tcPr>
          <w:p>
            <w:pPr>
              <w:spacing w:after="0"/>
              <w:rPr>
                <w:sz w:val="19"/>
                <w:szCs w:val="19"/>
                <w:color w:val="auto"/>
              </w:rPr>
            </w:pPr>
          </w:p>
        </w:tc>
      </w:tr>
      <w:tr>
        <w:trPr>
          <w:trHeight w:val="50"/>
        </w:trPr>
        <w:tc>
          <w:tcPr>
            <w:tcW w:w="4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9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Other debt</w:t>
            </w:r>
          </w:p>
        </w:tc>
        <w:tc>
          <w:tcPr>
            <w:tcW w:w="360" w:type="dxa"/>
            <w:vAlign w:val="bottom"/>
            <w:tcBorders>
              <w:bottom w:val="single" w:sz="8" w:color="EBFBFF"/>
            </w:tcBorders>
            <w:shd w:val="clear" w:color="auto" w:fill="EBFBFF"/>
          </w:tcPr>
          <w:p>
            <w:pPr>
              <w:spacing w:after="0"/>
              <w:rPr>
                <w:sz w:val="23"/>
                <w:szCs w:val="23"/>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2,782</w:t>
            </w:r>
          </w:p>
        </w:tc>
        <w:tc>
          <w:tcPr>
            <w:tcW w:w="32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2,800</w:t>
            </w:r>
          </w:p>
        </w:tc>
        <w:tc>
          <w:tcPr>
            <w:tcW w:w="172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8"/>
                <w:szCs w:val="18"/>
                <w:color w:val="51555C"/>
              </w:rPr>
              <w:t>8.77 %</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8.42 %</w:t>
            </w:r>
          </w:p>
        </w:tc>
        <w:tc>
          <w:tcPr>
            <w:tcW w:w="20" w:type="dxa"/>
            <w:vAlign w:val="bottom"/>
          </w:tcPr>
          <w:p>
            <w:pPr>
              <w:spacing w:after="0"/>
              <w:rPr>
                <w:sz w:val="23"/>
                <w:szCs w:val="23"/>
                <w:color w:val="auto"/>
              </w:rPr>
            </w:pPr>
          </w:p>
        </w:tc>
      </w:tr>
      <w:tr>
        <w:trPr>
          <w:trHeight w:val="213"/>
        </w:trPr>
        <w:tc>
          <w:tcPr>
            <w:tcW w:w="4900" w:type="dxa"/>
            <w:vAlign w:val="bottom"/>
          </w:tcPr>
          <w:p>
            <w:pPr>
              <w:ind w:left="360"/>
              <w:spacing w:after="0" w:line="213" w:lineRule="exact"/>
              <w:rPr>
                <w:sz w:val="20"/>
                <w:szCs w:val="20"/>
                <w:color w:val="auto"/>
              </w:rPr>
            </w:pPr>
            <w:r>
              <w:rPr>
                <w:rFonts w:ascii="Calibri" w:cs="Calibri" w:eastAsia="Calibri" w:hAnsi="Calibri"/>
                <w:sz w:val="18"/>
                <w:szCs w:val="18"/>
                <w:color w:val="51555C"/>
              </w:rPr>
              <w:t>Total debt</w:t>
            </w:r>
          </w:p>
        </w:tc>
        <w:tc>
          <w:tcPr>
            <w:tcW w:w="360" w:type="dxa"/>
            <w:vAlign w:val="bottom"/>
            <w:tcBorders>
              <w:top w:val="single" w:sz="8" w:color="51555C"/>
            </w:tcBorders>
          </w:tcPr>
          <w:p>
            <w:pPr>
              <w:spacing w:after="0"/>
              <w:rPr>
                <w:sz w:val="18"/>
                <w:szCs w:val="18"/>
                <w:color w:val="auto"/>
              </w:rPr>
            </w:pPr>
          </w:p>
        </w:tc>
        <w:tc>
          <w:tcPr>
            <w:tcW w:w="11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1,004,335</w:t>
            </w:r>
          </w:p>
        </w:tc>
        <w:tc>
          <w:tcPr>
            <w:tcW w:w="320" w:type="dxa"/>
            <w:vAlign w:val="bottom"/>
            <w:tcBorders>
              <w:top w:val="single" w:sz="8" w:color="51555C"/>
            </w:tcBorders>
          </w:tcPr>
          <w:p>
            <w:pPr>
              <w:spacing w:after="0"/>
              <w:rPr>
                <w:sz w:val="18"/>
                <w:szCs w:val="18"/>
                <w:color w:val="auto"/>
              </w:rPr>
            </w:pP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781,145</w:t>
            </w:r>
          </w:p>
        </w:tc>
        <w:tc>
          <w:tcPr>
            <w:tcW w:w="100" w:type="dxa"/>
            <w:vAlign w:val="bottom"/>
          </w:tcPr>
          <w:p>
            <w:pPr>
              <w:spacing w:after="0"/>
              <w:rPr>
                <w:sz w:val="18"/>
                <w:szCs w:val="18"/>
                <w:color w:val="auto"/>
              </w:rPr>
            </w:pPr>
          </w:p>
        </w:tc>
        <w:tc>
          <w:tcPr>
            <w:tcW w:w="16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4.75 %</w:t>
            </w:r>
          </w:p>
        </w:tc>
        <w:tc>
          <w:tcPr>
            <w:tcW w:w="16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4.24 %</w:t>
            </w:r>
          </w:p>
        </w:tc>
        <w:tc>
          <w:tcPr>
            <w:tcW w:w="20" w:type="dxa"/>
            <w:vAlign w:val="bottom"/>
          </w:tcPr>
          <w:p>
            <w:pPr>
              <w:spacing w:after="0"/>
              <w:rPr>
                <w:sz w:val="18"/>
                <w:szCs w:val="18"/>
                <w:color w:val="auto"/>
              </w:rPr>
            </w:pPr>
          </w:p>
        </w:tc>
      </w:tr>
      <w:tr>
        <w:trPr>
          <w:trHeight w:val="50"/>
        </w:trPr>
        <w:tc>
          <w:tcPr>
            <w:tcW w:w="4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9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Less: Unamortzed discount and debt issuance costs</w:t>
            </w:r>
          </w:p>
        </w:tc>
        <w:tc>
          <w:tcPr>
            <w:tcW w:w="36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3,486</w:t>
            </w:r>
          </w:p>
        </w:tc>
        <w:tc>
          <w:tcPr>
            <w:tcW w:w="32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1,481</w:t>
            </w:r>
          </w:p>
        </w:tc>
        <w:tc>
          <w:tcPr>
            <w:tcW w:w="100" w:type="dxa"/>
            <w:vAlign w:val="bottom"/>
            <w:tcBorders>
              <w:bottom w:val="single" w:sz="8" w:color="EBFBFF"/>
            </w:tcBorders>
            <w:shd w:val="clear" w:color="auto" w:fill="EBFBFF"/>
          </w:tcPr>
          <w:p>
            <w:pPr>
              <w:spacing w:after="0"/>
              <w:rPr>
                <w:sz w:val="21"/>
                <w:szCs w:val="21"/>
                <w:color w:val="auto"/>
              </w:rPr>
            </w:pPr>
          </w:p>
        </w:tc>
        <w:tc>
          <w:tcPr>
            <w:tcW w:w="1620" w:type="dxa"/>
            <w:vAlign w:val="bottom"/>
            <w:tcBorders>
              <w:bottom w:val="single" w:sz="8" w:color="EBFBFF"/>
            </w:tcBorders>
            <w:shd w:val="clear" w:color="auto" w:fill="EBFBFF"/>
          </w:tcPr>
          <w:p>
            <w:pPr>
              <w:spacing w:after="0"/>
              <w:rPr>
                <w:sz w:val="21"/>
                <w:szCs w:val="21"/>
                <w:color w:val="auto"/>
              </w:rPr>
            </w:pPr>
          </w:p>
        </w:tc>
        <w:tc>
          <w:tcPr>
            <w:tcW w:w="16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4900" w:type="dxa"/>
            <w:vAlign w:val="bottom"/>
          </w:tcPr>
          <w:p>
            <w:pPr>
              <w:ind w:left="20"/>
              <w:spacing w:after="0"/>
              <w:rPr>
                <w:sz w:val="20"/>
                <w:szCs w:val="20"/>
                <w:color w:val="auto"/>
              </w:rPr>
            </w:pPr>
            <w:r>
              <w:rPr>
                <w:rFonts w:ascii="Calibri" w:cs="Calibri" w:eastAsia="Calibri" w:hAnsi="Calibri"/>
                <w:sz w:val="18"/>
                <w:szCs w:val="18"/>
                <w:color w:val="51555C"/>
              </w:rPr>
              <w:t>Less: Debt, current porton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23,830</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19,259</w:t>
            </w:r>
          </w:p>
        </w:tc>
        <w:tc>
          <w:tcPr>
            <w:tcW w:w="1720" w:type="dxa"/>
            <w:vAlign w:val="bottom"/>
            <w:gridSpan w:val="2"/>
          </w:tcPr>
          <w:p>
            <w:pPr>
              <w:jc w:val="right"/>
              <w:spacing w:after="0"/>
              <w:rPr>
                <w:sz w:val="20"/>
                <w:szCs w:val="20"/>
                <w:color w:val="auto"/>
              </w:rPr>
            </w:pPr>
            <w:r>
              <w:rPr>
                <w:rFonts w:ascii="Calibri" w:cs="Calibri" w:eastAsia="Calibri" w:hAnsi="Calibri"/>
                <w:sz w:val="18"/>
                <w:szCs w:val="18"/>
                <w:color w:val="51555C"/>
              </w:rPr>
              <w:t>6.86 %</w:t>
            </w:r>
          </w:p>
        </w:tc>
        <w:tc>
          <w:tcPr>
            <w:tcW w:w="1620" w:type="dxa"/>
            <w:vAlign w:val="bottom"/>
          </w:tcPr>
          <w:p>
            <w:pPr>
              <w:jc w:val="right"/>
              <w:spacing w:after="0"/>
              <w:rPr>
                <w:sz w:val="20"/>
                <w:szCs w:val="20"/>
                <w:color w:val="auto"/>
              </w:rPr>
            </w:pPr>
            <w:r>
              <w:rPr>
                <w:rFonts w:ascii="Calibri" w:cs="Calibri" w:eastAsia="Calibri" w:hAnsi="Calibri"/>
                <w:sz w:val="18"/>
                <w:szCs w:val="18"/>
                <w:color w:val="51555C"/>
              </w:rPr>
              <w:t>7.02 %</w:t>
            </w:r>
          </w:p>
        </w:tc>
        <w:tc>
          <w:tcPr>
            <w:tcW w:w="20" w:type="dxa"/>
            <w:vAlign w:val="bottom"/>
          </w:tcPr>
          <w:p>
            <w:pPr>
              <w:spacing w:after="0"/>
              <w:rPr>
                <w:sz w:val="19"/>
                <w:szCs w:val="19"/>
                <w:color w:val="auto"/>
              </w:rPr>
            </w:pPr>
          </w:p>
        </w:tc>
      </w:tr>
      <w:tr>
        <w:trPr>
          <w:trHeight w:val="50"/>
        </w:trPr>
        <w:tc>
          <w:tcPr>
            <w:tcW w:w="4900" w:type="dxa"/>
            <w:vAlign w:val="bottom"/>
            <w:tcBorders>
              <w:bottom w:val="single" w:sz="8" w:color="EBFBFF"/>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1140" w:type="dxa"/>
            <w:vAlign w:val="bottom"/>
            <w:tcBorders>
              <w:bottom w:val="single" w:sz="8" w:color="51555C"/>
            </w:tcBorders>
          </w:tcPr>
          <w:p>
            <w:pPr>
              <w:spacing w:after="0"/>
              <w:rPr>
                <w:sz w:val="4"/>
                <w:szCs w:val="4"/>
                <w:color w:val="auto"/>
              </w:rPr>
            </w:pPr>
          </w:p>
        </w:tc>
        <w:tc>
          <w:tcPr>
            <w:tcW w:w="320" w:type="dxa"/>
            <w:vAlign w:val="bottom"/>
            <w:tcBorders>
              <w:bottom w:val="single" w:sz="8" w:color="51555C"/>
            </w:tcBorders>
          </w:tcPr>
          <w:p>
            <w:pPr>
              <w:spacing w:after="0"/>
              <w:rPr>
                <w:sz w:val="4"/>
                <w:szCs w:val="4"/>
                <w:color w:val="auto"/>
              </w:rPr>
            </w:pPr>
          </w:p>
        </w:tc>
        <w:tc>
          <w:tcPr>
            <w:tcW w:w="118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1620" w:type="dxa"/>
            <w:vAlign w:val="bottom"/>
            <w:tcBorders>
              <w:bottom w:val="single" w:sz="8" w:color="51555C"/>
            </w:tcBorders>
          </w:tcPr>
          <w:p>
            <w:pPr>
              <w:spacing w:after="0"/>
              <w:rPr>
                <w:sz w:val="4"/>
                <w:szCs w:val="4"/>
                <w:color w:val="auto"/>
              </w:rPr>
            </w:pPr>
          </w:p>
        </w:tc>
        <w:tc>
          <w:tcPr>
            <w:tcW w:w="162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490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Debt, net of current porton</w:t>
            </w:r>
          </w:p>
        </w:tc>
        <w:tc>
          <w:tcPr>
            <w:tcW w:w="360" w:type="dxa"/>
            <w:vAlign w:val="bottom"/>
            <w:tcBorders>
              <w:bottom w:val="single" w:sz="8" w:color="EBFBFF"/>
            </w:tcBorders>
            <w:shd w:val="clear" w:color="auto" w:fill="EBFBFF"/>
          </w:tcPr>
          <w:p>
            <w:pPr>
              <w:jc w:val="right"/>
              <w:ind w:right="170"/>
              <w:spacing w:after="0" w:line="213" w:lineRule="exact"/>
              <w:rPr>
                <w:sz w:val="20"/>
                <w:szCs w:val="20"/>
                <w:color w:val="auto"/>
              </w:rPr>
            </w:pPr>
            <w:r>
              <w:rPr>
                <w:rFonts w:ascii="Calibri" w:cs="Calibri" w:eastAsia="Calibri" w:hAnsi="Calibri"/>
                <w:sz w:val="18"/>
                <w:szCs w:val="18"/>
                <w:color w:val="51555C"/>
                <w:w w:val="87"/>
              </w:rPr>
              <w:t>$</w:t>
            </w:r>
          </w:p>
        </w:tc>
        <w:tc>
          <w:tcPr>
            <w:tcW w:w="11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977,019</w:t>
            </w:r>
          </w:p>
        </w:tc>
        <w:tc>
          <w:tcPr>
            <w:tcW w:w="320" w:type="dxa"/>
            <w:vAlign w:val="bottom"/>
            <w:tcBorders>
              <w:bottom w:val="single" w:sz="8" w:color="EBFBFF"/>
            </w:tcBorders>
            <w:shd w:val="clear" w:color="auto" w:fill="EBFBFF"/>
          </w:tcPr>
          <w:p>
            <w:pPr>
              <w:jc w:val="right"/>
              <w:ind w:right="130"/>
              <w:spacing w:after="0" w:line="213" w:lineRule="exact"/>
              <w:rPr>
                <w:sz w:val="20"/>
                <w:szCs w:val="20"/>
                <w:color w:val="auto"/>
              </w:rPr>
            </w:pPr>
            <w:r>
              <w:rPr>
                <w:rFonts w:ascii="Calibri" w:cs="Calibri" w:eastAsia="Calibri" w:hAnsi="Calibri"/>
                <w:sz w:val="18"/>
                <w:szCs w:val="18"/>
                <w:color w:val="51555C"/>
                <w:w w:val="87"/>
              </w:rPr>
              <w:t>$</w:t>
            </w:r>
          </w:p>
        </w:tc>
        <w:tc>
          <w:tcPr>
            <w:tcW w:w="1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760,405</w:t>
            </w:r>
          </w:p>
        </w:tc>
        <w:tc>
          <w:tcPr>
            <w:tcW w:w="1720" w:type="dxa"/>
            <w:vAlign w:val="bottom"/>
            <w:tcBorders>
              <w:bottom w:val="single" w:sz="8" w:color="EBFBFF"/>
            </w:tcBorders>
            <w:gridSpan w:val="2"/>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4.70 %</w:t>
            </w:r>
          </w:p>
        </w:tc>
        <w:tc>
          <w:tcPr>
            <w:tcW w:w="16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4.17 %</w:t>
            </w:r>
          </w:p>
        </w:tc>
        <w:tc>
          <w:tcPr>
            <w:tcW w:w="20" w:type="dxa"/>
            <w:vAlign w:val="bottom"/>
          </w:tcPr>
          <w:p>
            <w:pPr>
              <w:spacing w:after="0"/>
              <w:rPr>
                <w:sz w:val="21"/>
                <w:szCs w:val="21"/>
                <w:color w:val="auto"/>
              </w:rPr>
            </w:pPr>
          </w:p>
        </w:tc>
      </w:tr>
      <w:tr>
        <w:trPr>
          <w:trHeight w:val="20"/>
        </w:trPr>
        <w:tc>
          <w:tcPr>
            <w:tcW w:w="490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1140" w:type="dxa"/>
            <w:vAlign w:val="bottom"/>
            <w:shd w:val="clear" w:color="auto" w:fill="0CD973"/>
          </w:tcPr>
          <w:p>
            <w:pPr>
              <w:spacing w:after="0" w:line="20" w:lineRule="exact"/>
              <w:rPr>
                <w:sz w:val="1"/>
                <w:szCs w:val="1"/>
                <w:color w:val="auto"/>
              </w:rPr>
            </w:pPr>
          </w:p>
        </w:tc>
        <w:tc>
          <w:tcPr>
            <w:tcW w:w="32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1620" w:type="dxa"/>
            <w:vAlign w:val="bottom"/>
            <w:shd w:val="clear" w:color="auto" w:fill="0CD973"/>
          </w:tcPr>
          <w:p>
            <w:pPr>
              <w:spacing w:after="0" w:line="20" w:lineRule="exact"/>
              <w:rPr>
                <w:sz w:val="1"/>
                <w:szCs w:val="1"/>
                <w:color w:val="auto"/>
              </w:rPr>
            </w:pPr>
          </w:p>
        </w:tc>
        <w:tc>
          <w:tcPr>
            <w:tcW w:w="16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-1842770</wp:posOffset>
            </wp:positionV>
            <wp:extent cx="40373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2024 refnancing</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On April 30, 2024, we entered into the Third Amendment to Credit Agreement (the "Amendment"), by and among us, the lenders party thereto and Bank of America N.A., as administratve agent (the "Agent"). The Amendment amends the Amended and Restated Credit Agreement, dated as of October 30, 2020 (as previously amended, the "2020 Credit Agreement" and the 2020 Credit Agreement as amended by the Amendment, the “2024 Credit Agreement”), by and among us, the lenders from tme-to-tme party thereto and the Agent.</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Amendment amends the 2020 Credit Agreement to, among other things, (a) refnance the existng $1.1 billion credit facilites under the 2020 Credit Agreement to provide for new credit facilites in the aggregate principal amount of $1.5 billion consistng of (i) a $700.0 million revolving credit facility (the “2024 Revolving Facility”) and (ii) a $800.0 million term loan facility (the “2024 Term Facility” and together with the 2024 Revolving Facility, the “2024 Credit Facilites”), (b) extend the maturity date to April 30, 2029, (c) modify the defniton of Applicable Margin (as defned below) and (iv) modify certain negatve and fnancial covenants to provide additonal operatonal fexibility. Upon closing, we borrowed $800.0 million pursuant to the 2024 Term Facility and $208.2 million pursuant to the 2024 Revolving Facility and used the proceeds to repay the outstanding principal balances of the term loans under the 2020 Credit Agreement (the "2020 Term Facilites"), and repay $196.6 million of outstanding revolving credit loans under the 2020 Credit Agreement (the "2020 Revolving Facility").</w:t>
      </w:r>
    </w:p>
    <w:p>
      <w:pPr>
        <w:spacing w:after="0" w:line="169" w:lineRule="exact"/>
        <w:rPr>
          <w:sz w:val="20"/>
          <w:szCs w:val="20"/>
          <w:color w:val="auto"/>
        </w:rPr>
      </w:pPr>
    </w:p>
    <w:p>
      <w:pPr>
        <w:jc w:val="both"/>
        <w:ind w:right="20"/>
        <w:spacing w:after="0" w:line="251" w:lineRule="auto"/>
        <w:rPr>
          <w:sz w:val="20"/>
          <w:szCs w:val="20"/>
          <w:color w:val="auto"/>
        </w:rPr>
      </w:pPr>
      <w:r>
        <w:rPr>
          <w:rFonts w:ascii="Calibri" w:cs="Calibri" w:eastAsia="Calibri" w:hAnsi="Calibri"/>
          <w:sz w:val="17"/>
          <w:szCs w:val="17"/>
          <w:color w:val="51555C"/>
        </w:rPr>
        <w:t>Certain lenders of the 2024 Term Facility partcipated in the 2020 Term Facilites and the change in present value of our future cash fows to these lenders under the 2020 Term Facilites and under the 2024 Term Facility was less than 10%. Accordingly, we accounted for the refnancing event for these lenders as a debt modifcaton. Certain lenders of the 2020 Term Facilites did not partcipate in the 2024 Term Facility. Accordingly, we accounted for the refnancing event for these lenders as a debt extnguishment. Certain lenders of the 2020 Revolving Facility partcipated in the 2024 Revolving Facility and provided increased borrowing capacites. Accordingly, we accounted for the refnancing event for these lenders as a debt modifcaton. Certain lenders of the 2020 Revolving Facility did not partcipate in the 2024 Revolving Facility. Accordingly, we accounted for the refnancing event for these lenders as a debt extnguishment.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233045</wp:posOffset>
            </wp:positionV>
            <wp:extent cx="65976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13</w:t>
            </w:r>
          </w:p>
        </w:tc>
      </w:tr>
      <w:tr>
        <w:trPr>
          <w:trHeight w:val="365"/>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9"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51555C"/>
        </w:rPr>
        <w:t>We recorded an insignifcant loss on debt extnguishment related to the write-of of debt discount and deferred fnancing costs for the portons of the 2020 Credit Agreement considered to be extnguished. This loss was recognized in the consolidated statements of comprehensive income within other income, net.</w:t>
      </w:r>
    </w:p>
    <w:p>
      <w:pPr>
        <w:spacing w:after="0" w:line="1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connecton with our entry into the 2024 Credit Agreement, we paid $6.5 million in fnancing costs, of which $1.6 million were capitalized in other assets and, together with a porton of the unamortzed deferred fnancing costs from the 2020 Credit Agreement and prior agreements, are being amortzed into interest expense over the term of the new facility. As of September 30, 2024, deferred fnancing costs totaling $1.8 million were included in other assets on our consolidated balance sheets. We recorded aggregate fnancing costs of $3.6 million as a direct deducton from the carrying amount of our debt liability, which related to debt discount (fees paid to lenders) and debt issuance costs for the 2024 Term Facility.</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Summary of the 2024 Credit Facilites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2024 Revolving Facility includes (i) a $50.0 million leter of credit subfacility, (ii) a $50.0 million swingline subfacility and (iii) a $150.0 million sublimit available for multcurrency borrowings.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Under the 2024 Credit Facilites, dollar tranche revolving loans and term loans bear interest at a rate per annum equal to, at the opton of the Company: (a) a base rate equal to the highest of (i) the Federal Funds Rate plus 0.50%, (ii) the prime rate announced by Bank of America, N.A., and (iii) Term SOFR plus 1.00% (the “Base Rate”), plus an applicable margin as specifed in the 2024 Credit Agreement (the “Applicable Margin”); (b) Term SOFR plus the Applicable Margin; or (c) the Daily SOFR Rate plus the Applicable Margin. The Applicable Margin shall be adjusted quarterly, varies based on our net leverage rato and varies based on whether the loan is a Base Rate Loan (0.375% to 1.500%), or a Term SOFR Loan/Daily SOFR Loan (1.375% to 2.500%). The 2024 Credit Agreement also provides for a commitment fee of between 0.250% and 0.500% of the unused commitment under the 2024 Revolving Facility depending on our net leverage rato.</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Under the 2024 Credit Facilites, designated currency tranche revolving loans bear interest at a rate per annum equal to, at the opton of the Company: (a) the Designated Currency Daily Rate (as defned in the 2024 Credit Agreement) plus the Applicable Margin; or (b) the Designated Currency Term Rate (as defned in the 2024 Credit Agreement) plus the Applicable Margin. The Applicable Margin shall be adjusted quarterly and varies based on our net leverage rato for both Designated Currency Daily Rate Loans and Designated Currency Term Rate Loans (1.375% to 2.500%).</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may prepay the 2024 Credit Agreement in whole or in part at any tme without premium or penalty, other than customary breakage costs with respect to certain types of loans.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Under the terms of the 2024 Credit Agreement, we are enttled on one or more occasion, subject to the satsfacton of certain conditons, to request an increase in the commitments under the 2024 Revolving Facility and/or request additonal incremental term loans in the aggregate principal amount of up to the sum of (i) the greater of (A) $360.0 million and (B) 100% of EBITDA (as defned in the 2024 Credit Agreement), plus (ii) at our opton, up to an amount such that the net leverage rato shall be no greater than 3.50 to 1.00.</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2024 Credit Agreement contains various representatons, warrantes and afrmatve, negatve and fnancial covenants customary for fnancings of this type. Financial covenants include a net leverage rato and an interest coverage rato. At September 30, 2024, we were in compliance with our debt covenants under the 2024 Credit Facilites.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Real estate loans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August 2020, we completed the purchase of our global headquarters facility. As part of the purchase price, we assumed the seller’s obligatons under two senior secured notes with a then-aggregate outstanding principal amount of $61.1 million (collectvely, the “Real Estate Loans”). The Real Estate Loans require periodic principal payments and the balance of the Real Estate Loans are due upon maturity in April 2038. At September 30, 2024, we were in compliance with our debt covenants under the Real Estate Loans.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Other debt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From tme to tme, we enter into third-party fnancing agreements for purchases of sofware and related services for our internal use. Generally, the agreements are non-interest-bearing notes requiring annual payments. Interest associated with the notes is imputed at the rate we would incur for amounts borrowed under our then-existng credit facility at the incepton of the notes.</w:t>
      </w:r>
    </w:p>
    <w:p>
      <w:pPr>
        <w:spacing w:after="0" w:line="338"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14</w:t>
      </w:r>
      <w:r>
        <w:rPr>
          <w:sz w:val="20"/>
          <w:szCs w:val="20"/>
          <w:color w:val="auto"/>
        </w:rPr>
        <w:tab/>
      </w:r>
      <w:r>
        <w:rPr>
          <w:sz w:val="1"/>
          <w:szCs w:val="1"/>
          <w:color w:val="auto"/>
        </w:rPr>
        <w:drawing>
          <wp:inline distT="0" distB="0" distL="0" distR="0">
            <wp:extent cx="651510" cy="1714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summarizes our currently efectve supplier fnancing agreements as of September 30,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shd w:val="clear" w:color="auto" w:fill="004054"/>
          </w:tcPr>
          <w:p>
            <w:pPr>
              <w:spacing w:after="0"/>
              <w:rPr>
                <w:sz w:val="16"/>
                <w:szCs w:val="16"/>
                <w:color w:val="auto"/>
              </w:rPr>
            </w:pP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Term</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Number of</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First Annual</w:t>
            </w:r>
          </w:p>
        </w:tc>
        <w:tc>
          <w:tcPr>
            <w:tcW w:w="400" w:type="dxa"/>
            <w:vAlign w:val="bottom"/>
            <w:shd w:val="clear" w:color="auto" w:fill="004054"/>
          </w:tcPr>
          <w:p>
            <w:pPr>
              <w:spacing w:after="0"/>
              <w:rPr>
                <w:sz w:val="16"/>
                <w:szCs w:val="16"/>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Original Loan</w:t>
            </w:r>
          </w:p>
        </w:tc>
        <w:tc>
          <w:tcPr>
            <w:tcW w:w="20" w:type="dxa"/>
            <w:vAlign w:val="bottom"/>
            <w:shd w:val="clear" w:color="auto" w:fill="004054"/>
          </w:tcPr>
          <w:p>
            <w:pPr>
              <w:spacing w:after="0"/>
              <w:rPr>
                <w:sz w:val="16"/>
                <w:szCs w:val="16"/>
                <w:color w:val="auto"/>
              </w:rPr>
            </w:pPr>
          </w:p>
        </w:tc>
      </w:tr>
      <w:tr>
        <w:trPr>
          <w:trHeight w:val="170"/>
        </w:trPr>
        <w:tc>
          <w:tcPr>
            <w:tcW w:w="49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 Months</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Annual Payments</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Payment Due</w:t>
            </w:r>
          </w:p>
        </w:tc>
        <w:tc>
          <w:tcPr>
            <w:tcW w:w="40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Value</w:t>
            </w:r>
          </w:p>
        </w:tc>
        <w:tc>
          <w:tcPr>
            <w:tcW w:w="20" w:type="dxa"/>
            <w:vAlign w:val="bottom"/>
            <w:shd w:val="clear" w:color="auto" w:fill="004054"/>
          </w:tcPr>
          <w:p>
            <w:pPr>
              <w:spacing w:after="0"/>
              <w:rPr>
                <w:sz w:val="14"/>
                <w:szCs w:val="14"/>
                <w:color w:val="auto"/>
              </w:rPr>
            </w:pPr>
          </w:p>
        </w:tc>
      </w:tr>
      <w:tr>
        <w:trPr>
          <w:trHeight w:val="74"/>
        </w:trPr>
        <w:tc>
          <w:tcPr>
            <w:tcW w:w="4900" w:type="dxa"/>
            <w:vAlign w:val="bottom"/>
            <w:shd w:val="clear" w:color="auto" w:fill="004054"/>
          </w:tcPr>
          <w:p>
            <w:pPr>
              <w:spacing w:after="0"/>
              <w:rPr>
                <w:sz w:val="6"/>
                <w:szCs w:val="6"/>
                <w:color w:val="auto"/>
              </w:rPr>
            </w:pPr>
          </w:p>
        </w:tc>
        <w:tc>
          <w:tcPr>
            <w:tcW w:w="1520" w:type="dxa"/>
            <w:vAlign w:val="bottom"/>
            <w:shd w:val="clear" w:color="auto" w:fill="004054"/>
          </w:tcPr>
          <w:p>
            <w:pPr>
              <w:spacing w:after="0"/>
              <w:rPr>
                <w:sz w:val="6"/>
                <w:szCs w:val="6"/>
                <w:color w:val="auto"/>
              </w:rPr>
            </w:pPr>
          </w:p>
        </w:tc>
        <w:tc>
          <w:tcPr>
            <w:tcW w:w="1650" w:type="dxa"/>
            <w:vAlign w:val="bottom"/>
            <w:shd w:val="clear" w:color="auto" w:fill="004054"/>
          </w:tcPr>
          <w:p>
            <w:pPr>
              <w:spacing w:after="0"/>
              <w:rPr>
                <w:sz w:val="6"/>
                <w:szCs w:val="6"/>
                <w:color w:val="auto"/>
              </w:rPr>
            </w:pPr>
          </w:p>
        </w:tc>
        <w:tc>
          <w:tcPr>
            <w:tcW w:w="165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432"/>
        </w:trPr>
        <w:tc>
          <w:tcPr>
            <w:tcW w:w="4900" w:type="dxa"/>
            <w:vAlign w:val="bottom"/>
            <w:shd w:val="clear" w:color="auto" w:fill="EBFBFF"/>
          </w:tcPr>
          <w:p>
            <w:pPr>
              <w:ind w:left="20"/>
              <w:spacing w:after="0"/>
              <w:rPr>
                <w:sz w:val="20"/>
                <w:szCs w:val="20"/>
                <w:color w:val="auto"/>
              </w:rPr>
            </w:pPr>
            <w:r>
              <w:rPr>
                <w:rFonts w:ascii="Calibri" w:cs="Calibri" w:eastAsia="Calibri" w:hAnsi="Calibri"/>
                <w:sz w:val="18"/>
                <w:szCs w:val="18"/>
                <w:b w:val="1"/>
                <w:bCs w:val="1"/>
                <w:color w:val="51555C"/>
              </w:rPr>
              <w:t xml:space="preserve">Efectve dates of agreements </w:t>
            </w:r>
            <w:r>
              <w:rPr>
                <w:rFonts w:ascii="Calibri" w:cs="Calibri" w:eastAsia="Calibri" w:hAnsi="Calibri"/>
                <w:sz w:val="23"/>
                <w:szCs w:val="23"/>
                <w:b w:val="1"/>
                <w:bCs w:val="1"/>
                <w:color w:val="51555C"/>
                <w:vertAlign w:val="superscript"/>
              </w:rPr>
              <w:t>(1)</w:t>
            </w:r>
            <w:r>
              <w:rPr>
                <w:rFonts w:ascii="Calibri" w:cs="Calibri" w:eastAsia="Calibri" w:hAnsi="Calibri"/>
                <w:sz w:val="18"/>
                <w:szCs w:val="18"/>
                <w:b w:val="1"/>
                <w:bCs w:val="1"/>
                <w:color w:val="51555C"/>
              </w:rPr>
              <w:t>:</w:t>
            </w:r>
          </w:p>
        </w:tc>
        <w:tc>
          <w:tcPr>
            <w:tcW w:w="1520" w:type="dxa"/>
            <w:vAlign w:val="bottom"/>
            <w:shd w:val="clear" w:color="auto" w:fill="EBFBFF"/>
          </w:tcPr>
          <w:p>
            <w:pPr>
              <w:spacing w:after="0"/>
              <w:rPr>
                <w:sz w:val="24"/>
                <w:szCs w:val="24"/>
                <w:color w:val="auto"/>
              </w:rPr>
            </w:pPr>
          </w:p>
        </w:tc>
        <w:tc>
          <w:tcPr>
            <w:tcW w:w="1650" w:type="dxa"/>
            <w:vAlign w:val="bottom"/>
            <w:shd w:val="clear" w:color="auto" w:fill="EBFBFF"/>
          </w:tcPr>
          <w:p>
            <w:pPr>
              <w:spacing w:after="0"/>
              <w:rPr>
                <w:sz w:val="24"/>
                <w:szCs w:val="24"/>
                <w:color w:val="auto"/>
              </w:rPr>
            </w:pPr>
          </w:p>
        </w:tc>
        <w:tc>
          <w:tcPr>
            <w:tcW w:w="1650" w:type="dxa"/>
            <w:vAlign w:val="bottom"/>
            <w:shd w:val="clear" w:color="auto" w:fill="EBFBFF"/>
          </w:tcPr>
          <w:p>
            <w:pPr>
              <w:spacing w:after="0"/>
              <w:rPr>
                <w:sz w:val="24"/>
                <w:szCs w:val="24"/>
                <w:color w:val="auto"/>
              </w:rPr>
            </w:pPr>
          </w:p>
        </w:tc>
        <w:tc>
          <w:tcPr>
            <w:tcW w:w="400" w:type="dxa"/>
            <w:vAlign w:val="bottom"/>
            <w:shd w:val="clear" w:color="auto" w:fill="EBFBFF"/>
          </w:tcPr>
          <w:p>
            <w:pPr>
              <w:spacing w:after="0"/>
              <w:rPr>
                <w:sz w:val="24"/>
                <w:szCs w:val="24"/>
                <w:color w:val="auto"/>
              </w:rPr>
            </w:pPr>
          </w:p>
        </w:tc>
        <w:tc>
          <w:tcPr>
            <w:tcW w:w="112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4900" w:type="dxa"/>
            <w:vAlign w:val="bottom"/>
          </w:tcPr>
          <w:p>
            <w:pPr>
              <w:ind w:left="140"/>
              <w:spacing w:after="0"/>
              <w:rPr>
                <w:sz w:val="20"/>
                <w:szCs w:val="20"/>
                <w:color w:val="auto"/>
              </w:rPr>
            </w:pPr>
            <w:r>
              <w:rPr>
                <w:rFonts w:ascii="Calibri" w:cs="Calibri" w:eastAsia="Calibri" w:hAnsi="Calibri"/>
                <w:sz w:val="18"/>
                <w:szCs w:val="18"/>
                <w:color w:val="51555C"/>
              </w:rPr>
              <w:t>December 2022</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39</w:t>
            </w:r>
          </w:p>
        </w:tc>
        <w:tc>
          <w:tcPr>
            <w:tcW w:w="1650" w:type="dxa"/>
            <w:vAlign w:val="bottom"/>
          </w:tcPr>
          <w:p>
            <w:pPr>
              <w:jc w:val="right"/>
              <w:spacing w:after="0"/>
              <w:rPr>
                <w:sz w:val="20"/>
                <w:szCs w:val="20"/>
                <w:color w:val="auto"/>
              </w:rPr>
            </w:pPr>
            <w:r>
              <w:rPr>
                <w:rFonts w:ascii="Calibri" w:cs="Calibri" w:eastAsia="Calibri" w:hAnsi="Calibri"/>
                <w:sz w:val="18"/>
                <w:szCs w:val="18"/>
                <w:color w:val="51555C"/>
              </w:rPr>
              <w:t>3</w:t>
            </w:r>
          </w:p>
        </w:tc>
        <w:tc>
          <w:tcPr>
            <w:tcW w:w="1650" w:type="dxa"/>
            <w:vAlign w:val="bottom"/>
          </w:tcPr>
          <w:p>
            <w:pPr>
              <w:jc w:val="right"/>
              <w:spacing w:after="0"/>
              <w:rPr>
                <w:sz w:val="20"/>
                <w:szCs w:val="20"/>
                <w:color w:val="auto"/>
              </w:rPr>
            </w:pPr>
            <w:r>
              <w:rPr>
                <w:rFonts w:ascii="Calibri" w:cs="Calibri" w:eastAsia="Calibri" w:hAnsi="Calibri"/>
                <w:sz w:val="18"/>
                <w:szCs w:val="18"/>
                <w:color w:val="51555C"/>
              </w:rPr>
              <w:t>January 2023</w:t>
            </w:r>
          </w:p>
        </w:tc>
        <w:tc>
          <w:tcPr>
            <w:tcW w:w="400" w:type="dxa"/>
            <w:vAlign w:val="bottom"/>
          </w:tcPr>
          <w:p>
            <w:pPr>
              <w:jc w:val="right"/>
              <w:ind w:right="210"/>
              <w:spacing w:after="0"/>
              <w:rPr>
                <w:sz w:val="20"/>
                <w:szCs w:val="20"/>
                <w:color w:val="auto"/>
              </w:rPr>
            </w:pPr>
            <w:r>
              <w:rPr>
                <w:rFonts w:ascii="Calibri" w:cs="Calibri" w:eastAsia="Calibri" w:hAnsi="Calibri"/>
                <w:sz w:val="18"/>
                <w:szCs w:val="18"/>
                <w:color w:val="51555C"/>
                <w:w w:val="87"/>
              </w:rPr>
              <w:t>$</w:t>
            </w: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1,710</w:t>
            </w:r>
          </w:p>
        </w:tc>
        <w:tc>
          <w:tcPr>
            <w:tcW w:w="20" w:type="dxa"/>
            <w:vAlign w:val="bottom"/>
          </w:tcPr>
          <w:p>
            <w:pPr>
              <w:spacing w:after="0"/>
              <w:rPr>
                <w:sz w:val="19"/>
                <w:szCs w:val="19"/>
                <w:color w:val="auto"/>
              </w:rPr>
            </w:pPr>
          </w:p>
        </w:tc>
      </w:tr>
      <w:tr>
        <w:trPr>
          <w:trHeight w:val="51"/>
        </w:trPr>
        <w:tc>
          <w:tcPr>
            <w:tcW w:w="4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650" w:type="dxa"/>
            <w:vAlign w:val="bottom"/>
          </w:tcPr>
          <w:p>
            <w:pPr>
              <w:spacing w:after="0"/>
              <w:rPr>
                <w:sz w:val="4"/>
                <w:szCs w:val="4"/>
                <w:color w:val="auto"/>
              </w:rPr>
            </w:pPr>
          </w:p>
        </w:tc>
        <w:tc>
          <w:tcPr>
            <w:tcW w:w="165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9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January 2023</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36</w:t>
            </w:r>
          </w:p>
        </w:tc>
        <w:tc>
          <w:tcPr>
            <w:tcW w:w="165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w:t>
            </w:r>
          </w:p>
        </w:tc>
        <w:tc>
          <w:tcPr>
            <w:tcW w:w="165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April 2023</w:t>
            </w:r>
          </w:p>
        </w:tc>
        <w:tc>
          <w:tcPr>
            <w:tcW w:w="400" w:type="dxa"/>
            <w:vAlign w:val="bottom"/>
            <w:tcBorders>
              <w:bottom w:val="single" w:sz="8" w:color="EBFBFF"/>
            </w:tcBorders>
            <w:shd w:val="clear" w:color="auto" w:fill="EBFBFF"/>
          </w:tcPr>
          <w:p>
            <w:pPr>
              <w:jc w:val="right"/>
              <w:ind w:right="210"/>
              <w:spacing w:after="0"/>
              <w:rPr>
                <w:sz w:val="20"/>
                <w:szCs w:val="20"/>
                <w:color w:val="auto"/>
              </w:rPr>
            </w:pPr>
            <w:r>
              <w:rPr>
                <w:rFonts w:ascii="Calibri" w:cs="Calibri" w:eastAsia="Calibri" w:hAnsi="Calibri"/>
                <w:sz w:val="18"/>
                <w:szCs w:val="18"/>
                <w:color w:val="51555C"/>
                <w:w w:val="87"/>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2,491</w:t>
            </w:r>
          </w:p>
        </w:tc>
        <w:tc>
          <w:tcPr>
            <w:tcW w:w="20" w:type="dxa"/>
            <w:vAlign w:val="bottom"/>
          </w:tcPr>
          <w:p>
            <w:pPr>
              <w:spacing w:after="0"/>
              <w:rPr>
                <w:sz w:val="21"/>
                <w:szCs w:val="21"/>
                <w:color w:val="auto"/>
              </w:rPr>
            </w:pPr>
          </w:p>
        </w:tc>
      </w:tr>
      <w:tr>
        <w:trPr>
          <w:trHeight w:val="219"/>
        </w:trPr>
        <w:tc>
          <w:tcPr>
            <w:tcW w:w="4900" w:type="dxa"/>
            <w:vAlign w:val="bottom"/>
          </w:tcPr>
          <w:p>
            <w:pPr>
              <w:ind w:left="140"/>
              <w:spacing w:after="0"/>
              <w:rPr>
                <w:sz w:val="20"/>
                <w:szCs w:val="20"/>
                <w:color w:val="auto"/>
              </w:rPr>
            </w:pPr>
            <w:r>
              <w:rPr>
                <w:rFonts w:ascii="Calibri" w:cs="Calibri" w:eastAsia="Calibri" w:hAnsi="Calibri"/>
                <w:sz w:val="18"/>
                <w:szCs w:val="18"/>
                <w:color w:val="51555C"/>
              </w:rPr>
              <w:t>April 2024</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36</w:t>
            </w:r>
          </w:p>
        </w:tc>
        <w:tc>
          <w:tcPr>
            <w:tcW w:w="1650" w:type="dxa"/>
            <w:vAlign w:val="bottom"/>
          </w:tcPr>
          <w:p>
            <w:pPr>
              <w:jc w:val="right"/>
              <w:spacing w:after="0"/>
              <w:rPr>
                <w:sz w:val="20"/>
                <w:szCs w:val="20"/>
                <w:color w:val="auto"/>
              </w:rPr>
            </w:pPr>
            <w:r>
              <w:rPr>
                <w:rFonts w:ascii="Calibri" w:cs="Calibri" w:eastAsia="Calibri" w:hAnsi="Calibri"/>
                <w:sz w:val="18"/>
                <w:szCs w:val="18"/>
                <w:color w:val="51555C"/>
              </w:rPr>
              <w:t>3</w:t>
            </w:r>
          </w:p>
        </w:tc>
        <w:tc>
          <w:tcPr>
            <w:tcW w:w="1650" w:type="dxa"/>
            <w:vAlign w:val="bottom"/>
          </w:tcPr>
          <w:p>
            <w:pPr>
              <w:jc w:val="right"/>
              <w:spacing w:after="0"/>
              <w:rPr>
                <w:sz w:val="20"/>
                <w:szCs w:val="20"/>
                <w:color w:val="auto"/>
              </w:rPr>
            </w:pPr>
            <w:r>
              <w:rPr>
                <w:rFonts w:ascii="Calibri" w:cs="Calibri" w:eastAsia="Calibri" w:hAnsi="Calibri"/>
                <w:sz w:val="18"/>
                <w:szCs w:val="18"/>
                <w:color w:val="51555C"/>
              </w:rPr>
              <w:t>May 2024</w:t>
            </w:r>
          </w:p>
        </w:tc>
        <w:tc>
          <w:tcPr>
            <w:tcW w:w="400" w:type="dxa"/>
            <w:vAlign w:val="bottom"/>
          </w:tcPr>
          <w:p>
            <w:pPr>
              <w:jc w:val="right"/>
              <w:ind w:right="210"/>
              <w:spacing w:after="0"/>
              <w:rPr>
                <w:sz w:val="20"/>
                <w:szCs w:val="20"/>
                <w:color w:val="auto"/>
              </w:rPr>
            </w:pPr>
            <w:r>
              <w:rPr>
                <w:rFonts w:ascii="Calibri" w:cs="Calibri" w:eastAsia="Calibri" w:hAnsi="Calibri"/>
                <w:sz w:val="18"/>
                <w:szCs w:val="18"/>
                <w:color w:val="51555C"/>
                <w:w w:val="87"/>
              </w:rPr>
              <w:t>$</w:t>
            </w: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2,073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0"/>
          <w:szCs w:val="20"/>
          <w:color w:val="auto"/>
        </w:rPr>
      </w:pPr>
    </w:p>
    <w:p>
      <w:pPr>
        <w:ind w:left="340" w:hanging="332"/>
        <w:spacing w:after="0"/>
        <w:tabs>
          <w:tab w:leader="none" w:pos="340" w:val="left"/>
        </w:tabs>
        <w:numPr>
          <w:ilvl w:val="0"/>
          <w:numId w:val="7"/>
        </w:numPr>
        <w:rPr>
          <w:rFonts w:ascii="Calibri" w:cs="Calibri" w:eastAsia="Calibri" w:hAnsi="Calibri"/>
          <w:sz w:val="14"/>
          <w:szCs w:val="14"/>
          <w:color w:val="51555C"/>
        </w:rPr>
      </w:pPr>
      <w:r>
        <w:rPr>
          <w:rFonts w:ascii="Calibri" w:cs="Calibri" w:eastAsia="Calibri" w:hAnsi="Calibri"/>
          <w:sz w:val="14"/>
          <w:szCs w:val="14"/>
          <w:color w:val="51555C"/>
        </w:rPr>
        <w:t>Represent noncash investng and fnancing transactons during the periods indicated as we purchased sofware and services by assuming directly related liabilites.</w:t>
      </w:r>
    </w:p>
    <w:p>
      <w:pPr>
        <w:spacing w:after="0" w:line="168" w:lineRule="exact"/>
        <w:rPr>
          <w:sz w:val="20"/>
          <w:szCs w:val="20"/>
          <w:color w:val="auto"/>
        </w:rPr>
      </w:pPr>
    </w:p>
    <w:p>
      <w:pPr>
        <w:spacing w:after="0"/>
        <w:rPr>
          <w:sz w:val="20"/>
          <w:szCs w:val="20"/>
          <w:color w:val="auto"/>
        </w:rPr>
      </w:pPr>
      <w:r>
        <w:rPr>
          <w:rFonts w:ascii="Calibri" w:cs="Calibri" w:eastAsia="Calibri" w:hAnsi="Calibri"/>
          <w:sz w:val="18"/>
          <w:szCs w:val="18"/>
          <w:color w:val="51555C"/>
        </w:rPr>
        <w:t>The changes in supplier fnancing obligatons during the nine months ended September 30, 2024,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40" w:type="dxa"/>
            <w:vAlign w:val="bottom"/>
            <w:shd w:val="clear" w:color="auto" w:fill="004054"/>
          </w:tcPr>
          <w:p>
            <w:pPr>
              <w:spacing w:after="0"/>
              <w:rPr>
                <w:sz w:val="16"/>
                <w:szCs w:val="16"/>
                <w:color w:val="auto"/>
              </w:rPr>
            </w:pPr>
          </w:p>
        </w:tc>
        <w:tc>
          <w:tcPr>
            <w:tcW w:w="980" w:type="dxa"/>
            <w:vAlign w:val="bottom"/>
            <w:shd w:val="clear" w:color="auto" w:fill="004054"/>
          </w:tcPr>
          <w:p>
            <w:pPr>
              <w:ind w:left="680"/>
              <w:spacing w:after="0"/>
              <w:rPr>
                <w:sz w:val="20"/>
                <w:szCs w:val="20"/>
                <w:color w:val="auto"/>
              </w:rPr>
            </w:pPr>
            <w:r>
              <w:rPr>
                <w:rFonts w:ascii="Calibri" w:cs="Calibri" w:eastAsia="Calibri" w:hAnsi="Calibri"/>
                <w:sz w:val="14"/>
                <w:szCs w:val="14"/>
                <w:b w:val="1"/>
                <w:bCs w:val="1"/>
                <w:color w:val="FFFFFF"/>
                <w:w w:val="94"/>
              </w:rPr>
              <w:t>Total</w:t>
            </w:r>
          </w:p>
        </w:tc>
        <w:tc>
          <w:tcPr>
            <w:tcW w:w="20" w:type="dxa"/>
            <w:vAlign w:val="bottom"/>
            <w:shd w:val="clear" w:color="auto" w:fill="004054"/>
          </w:tcPr>
          <w:p>
            <w:pPr>
              <w:spacing w:after="0"/>
              <w:rPr>
                <w:sz w:val="16"/>
                <w:szCs w:val="16"/>
                <w:color w:val="auto"/>
              </w:rPr>
            </w:pPr>
          </w:p>
        </w:tc>
      </w:tr>
      <w:tr>
        <w:trPr>
          <w:trHeight w:val="67"/>
        </w:trPr>
        <w:tc>
          <w:tcPr>
            <w:tcW w:w="9720" w:type="dxa"/>
            <w:vAlign w:val="bottom"/>
            <w:shd w:val="clear" w:color="auto" w:fill="004054"/>
          </w:tcPr>
          <w:p>
            <w:pPr>
              <w:spacing w:after="0"/>
              <w:rPr>
                <w:sz w:val="5"/>
                <w:szCs w:val="5"/>
                <w:color w:val="auto"/>
              </w:rPr>
            </w:pPr>
          </w:p>
        </w:tc>
        <w:tc>
          <w:tcPr>
            <w:tcW w:w="540" w:type="dxa"/>
            <w:vAlign w:val="bottom"/>
            <w:shd w:val="clear" w:color="auto" w:fill="004054"/>
          </w:tcPr>
          <w:p>
            <w:pPr>
              <w:spacing w:after="0"/>
              <w:rPr>
                <w:sz w:val="5"/>
                <w:szCs w:val="5"/>
                <w:color w:val="auto"/>
              </w:rPr>
            </w:pPr>
          </w:p>
        </w:tc>
        <w:tc>
          <w:tcPr>
            <w:tcW w:w="98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r>
      <w:tr>
        <w:trPr>
          <w:trHeight w:val="250"/>
        </w:trPr>
        <w:tc>
          <w:tcPr>
            <w:tcW w:w="97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Balance at December 31, 2023</w:t>
            </w:r>
          </w:p>
        </w:tc>
        <w:tc>
          <w:tcPr>
            <w:tcW w:w="540" w:type="dxa"/>
            <w:vAlign w:val="bottom"/>
            <w:tcBorders>
              <w:bottom w:val="single" w:sz="8" w:color="EBFBFF"/>
            </w:tcBorders>
            <w:shd w:val="clear" w:color="auto" w:fill="EBFBFF"/>
          </w:tcPr>
          <w:p>
            <w:pPr>
              <w:jc w:val="right"/>
              <w:ind w:right="350"/>
              <w:spacing w:after="0"/>
              <w:rPr>
                <w:sz w:val="20"/>
                <w:szCs w:val="20"/>
                <w:color w:val="auto"/>
              </w:rPr>
            </w:pPr>
            <w:r>
              <w:rPr>
                <w:rFonts w:ascii="Calibri" w:cs="Calibri" w:eastAsia="Calibri" w:hAnsi="Calibri"/>
                <w:sz w:val="18"/>
                <w:szCs w:val="18"/>
                <w:color w:val="51555C"/>
                <w:w w:val="87"/>
              </w:rPr>
              <w:t>$</w:t>
            </w:r>
          </w:p>
        </w:tc>
        <w:tc>
          <w:tcPr>
            <w:tcW w:w="980" w:type="dxa"/>
            <w:vAlign w:val="bottom"/>
            <w:tcBorders>
              <w:bottom w:val="single" w:sz="8" w:color="EBFBFF"/>
            </w:tcBorders>
            <w:shd w:val="clear" w:color="auto" w:fill="EBFBFF"/>
          </w:tcPr>
          <w:p>
            <w:pPr>
              <w:jc w:val="center"/>
              <w:ind w:left="374"/>
              <w:spacing w:after="0"/>
              <w:rPr>
                <w:sz w:val="20"/>
                <w:szCs w:val="20"/>
                <w:color w:val="auto"/>
              </w:rPr>
            </w:pPr>
            <w:r>
              <w:rPr>
                <w:rFonts w:ascii="Calibri" w:cs="Calibri" w:eastAsia="Calibri" w:hAnsi="Calibri"/>
                <w:sz w:val="18"/>
                <w:szCs w:val="18"/>
                <w:color w:val="51555C"/>
                <w:w w:val="97"/>
              </w:rPr>
              <w:t>2,800</w:t>
            </w:r>
          </w:p>
        </w:tc>
        <w:tc>
          <w:tcPr>
            <w:tcW w:w="20" w:type="dxa"/>
            <w:vAlign w:val="bottom"/>
          </w:tcPr>
          <w:p>
            <w:pPr>
              <w:spacing w:after="0"/>
              <w:rPr>
                <w:sz w:val="21"/>
                <w:szCs w:val="21"/>
                <w:color w:val="auto"/>
              </w:rPr>
            </w:pPr>
          </w:p>
        </w:tc>
      </w:tr>
      <w:tr>
        <w:trPr>
          <w:trHeight w:val="273"/>
        </w:trPr>
        <w:tc>
          <w:tcPr>
            <w:tcW w:w="9720" w:type="dxa"/>
            <w:vAlign w:val="bottom"/>
          </w:tcPr>
          <w:p>
            <w:pPr>
              <w:ind w:left="140"/>
              <w:spacing w:after="0"/>
              <w:rPr>
                <w:sz w:val="20"/>
                <w:szCs w:val="20"/>
                <w:color w:val="auto"/>
              </w:rPr>
            </w:pPr>
            <w:r>
              <w:rPr>
                <w:rFonts w:ascii="Calibri" w:cs="Calibri" w:eastAsia="Calibri" w:hAnsi="Calibri"/>
                <w:sz w:val="18"/>
                <w:szCs w:val="18"/>
                <w:color w:val="51555C"/>
              </w:rPr>
              <w:t>Additons</w:t>
            </w:r>
          </w:p>
        </w:tc>
        <w:tc>
          <w:tcPr>
            <w:tcW w:w="540" w:type="dxa"/>
            <w:vAlign w:val="bottom"/>
          </w:tcPr>
          <w:p>
            <w:pPr>
              <w:spacing w:after="0"/>
              <w:rPr>
                <w:sz w:val="23"/>
                <w:szCs w:val="23"/>
                <w:color w:val="auto"/>
              </w:rPr>
            </w:pPr>
          </w:p>
        </w:tc>
        <w:tc>
          <w:tcPr>
            <w:tcW w:w="980" w:type="dxa"/>
            <w:vAlign w:val="bottom"/>
          </w:tcPr>
          <w:p>
            <w:pPr>
              <w:jc w:val="center"/>
              <w:ind w:left="374"/>
              <w:spacing w:after="0"/>
              <w:rPr>
                <w:sz w:val="20"/>
                <w:szCs w:val="20"/>
                <w:color w:val="auto"/>
              </w:rPr>
            </w:pPr>
            <w:r>
              <w:rPr>
                <w:rFonts w:ascii="Calibri" w:cs="Calibri" w:eastAsia="Calibri" w:hAnsi="Calibri"/>
                <w:sz w:val="18"/>
                <w:szCs w:val="18"/>
                <w:color w:val="51555C"/>
                <w:w w:val="97"/>
              </w:rPr>
              <w:t>2,073</w:t>
            </w:r>
          </w:p>
        </w:tc>
        <w:tc>
          <w:tcPr>
            <w:tcW w:w="20" w:type="dxa"/>
            <w:vAlign w:val="bottom"/>
          </w:tcPr>
          <w:p>
            <w:pPr>
              <w:spacing w:after="0"/>
              <w:rPr>
                <w:sz w:val="23"/>
                <w:szCs w:val="23"/>
                <w:color w:val="auto"/>
              </w:rPr>
            </w:pPr>
          </w:p>
        </w:tc>
      </w:tr>
      <w:tr>
        <w:trPr>
          <w:trHeight w:val="51"/>
        </w:trPr>
        <w:tc>
          <w:tcPr>
            <w:tcW w:w="9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97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Setlements</w:t>
            </w:r>
          </w:p>
        </w:tc>
        <w:tc>
          <w:tcPr>
            <w:tcW w:w="540" w:type="dxa"/>
            <w:vAlign w:val="bottom"/>
            <w:tcBorders>
              <w:bottom w:val="single" w:sz="8" w:color="EBFBFF"/>
            </w:tcBorders>
            <w:shd w:val="clear" w:color="auto" w:fill="EBFBFF"/>
          </w:tcPr>
          <w:p>
            <w:pPr>
              <w:spacing w:after="0"/>
              <w:rPr>
                <w:sz w:val="24"/>
                <w:szCs w:val="24"/>
                <w:color w:val="auto"/>
              </w:rPr>
            </w:pPr>
          </w:p>
        </w:tc>
        <w:tc>
          <w:tcPr>
            <w:tcW w:w="980" w:type="dxa"/>
            <w:vAlign w:val="bottom"/>
            <w:tcBorders>
              <w:bottom w:val="single" w:sz="8" w:color="EBFBFF"/>
            </w:tcBorders>
            <w:shd w:val="clear" w:color="auto" w:fill="EBFBFF"/>
          </w:tcPr>
          <w:p>
            <w:pPr>
              <w:jc w:val="center"/>
              <w:ind w:left="334"/>
              <w:spacing w:after="0"/>
              <w:rPr>
                <w:sz w:val="20"/>
                <w:szCs w:val="20"/>
                <w:color w:val="auto"/>
              </w:rPr>
            </w:pPr>
            <w:r>
              <w:rPr>
                <w:rFonts w:ascii="Calibri" w:cs="Calibri" w:eastAsia="Calibri" w:hAnsi="Calibri"/>
                <w:sz w:val="18"/>
                <w:szCs w:val="18"/>
                <w:color w:val="51555C"/>
              </w:rPr>
              <w:t>(2,091)</w:t>
            </w:r>
          </w:p>
        </w:tc>
        <w:tc>
          <w:tcPr>
            <w:tcW w:w="20" w:type="dxa"/>
            <w:vAlign w:val="bottom"/>
          </w:tcPr>
          <w:p>
            <w:pPr>
              <w:spacing w:after="0"/>
              <w:rPr>
                <w:sz w:val="24"/>
                <w:szCs w:val="24"/>
                <w:color w:val="auto"/>
              </w:rPr>
            </w:pPr>
          </w:p>
        </w:tc>
      </w:tr>
      <w:tr>
        <w:trPr>
          <w:trHeight w:val="213"/>
        </w:trPr>
        <w:tc>
          <w:tcPr>
            <w:tcW w:w="9720" w:type="dxa"/>
            <w:vAlign w:val="bottom"/>
          </w:tcPr>
          <w:p>
            <w:pPr>
              <w:ind w:left="20"/>
              <w:spacing w:after="0" w:line="213" w:lineRule="exact"/>
              <w:rPr>
                <w:sz w:val="20"/>
                <w:szCs w:val="20"/>
                <w:color w:val="auto"/>
              </w:rPr>
            </w:pPr>
            <w:r>
              <w:rPr>
                <w:rFonts w:ascii="Calibri" w:cs="Calibri" w:eastAsia="Calibri" w:hAnsi="Calibri"/>
                <w:sz w:val="18"/>
                <w:szCs w:val="18"/>
                <w:b w:val="1"/>
                <w:bCs w:val="1"/>
                <w:color w:val="51555C"/>
              </w:rPr>
              <w:t>Balance at September 30, 2024</w:t>
            </w:r>
          </w:p>
        </w:tc>
        <w:tc>
          <w:tcPr>
            <w:tcW w:w="540" w:type="dxa"/>
            <w:vAlign w:val="bottom"/>
            <w:tcBorders>
              <w:top w:val="single" w:sz="8" w:color="51555C"/>
            </w:tcBorders>
          </w:tcPr>
          <w:p>
            <w:pPr>
              <w:jc w:val="right"/>
              <w:ind w:right="350"/>
              <w:spacing w:after="0" w:line="213" w:lineRule="exact"/>
              <w:rPr>
                <w:sz w:val="20"/>
                <w:szCs w:val="20"/>
                <w:color w:val="auto"/>
              </w:rPr>
            </w:pPr>
            <w:r>
              <w:rPr>
                <w:rFonts w:ascii="Calibri" w:cs="Calibri" w:eastAsia="Calibri" w:hAnsi="Calibri"/>
                <w:sz w:val="18"/>
                <w:szCs w:val="18"/>
                <w:color w:val="51555C"/>
                <w:w w:val="87"/>
              </w:rPr>
              <w:t>$</w:t>
            </w:r>
          </w:p>
        </w:tc>
        <w:tc>
          <w:tcPr>
            <w:tcW w:w="980" w:type="dxa"/>
            <w:vAlign w:val="bottom"/>
            <w:tcBorders>
              <w:top w:val="single" w:sz="8" w:color="51555C"/>
            </w:tcBorders>
          </w:tcPr>
          <w:p>
            <w:pPr>
              <w:jc w:val="center"/>
              <w:ind w:left="374"/>
              <w:spacing w:after="0" w:line="213" w:lineRule="exact"/>
              <w:rPr>
                <w:sz w:val="20"/>
                <w:szCs w:val="20"/>
                <w:color w:val="auto"/>
              </w:rPr>
            </w:pPr>
            <w:r>
              <w:rPr>
                <w:rFonts w:ascii="Calibri" w:cs="Calibri" w:eastAsia="Calibri" w:hAnsi="Calibri"/>
                <w:sz w:val="18"/>
                <w:szCs w:val="18"/>
                <w:color w:val="51555C"/>
                <w:w w:val="97"/>
              </w:rPr>
              <w:t>2,782</w:t>
            </w:r>
          </w:p>
        </w:tc>
        <w:tc>
          <w:tcPr>
            <w:tcW w:w="20" w:type="dxa"/>
            <w:vAlign w:val="bottom"/>
          </w:tcPr>
          <w:p>
            <w:pPr>
              <w:spacing w:after="0"/>
              <w:rPr>
                <w:sz w:val="18"/>
                <w:szCs w:val="18"/>
                <w:color w:val="auto"/>
              </w:rPr>
            </w:pPr>
          </w:p>
        </w:tc>
      </w:tr>
      <w:tr>
        <w:trPr>
          <w:trHeight w:val="51"/>
        </w:trPr>
        <w:tc>
          <w:tcPr>
            <w:tcW w:w="9720" w:type="dxa"/>
            <w:vAlign w:val="bottom"/>
            <w:tcBorders>
              <w:bottom w:val="single" w:sz="8" w:color="0CD973"/>
            </w:tcBorders>
          </w:tcPr>
          <w:p>
            <w:pPr>
              <w:spacing w:after="0"/>
              <w:rPr>
                <w:sz w:val="4"/>
                <w:szCs w:val="4"/>
                <w:color w:val="auto"/>
              </w:rPr>
            </w:pPr>
          </w:p>
        </w:tc>
        <w:tc>
          <w:tcPr>
            <w:tcW w:w="540" w:type="dxa"/>
            <w:vAlign w:val="bottom"/>
            <w:tcBorders>
              <w:bottom w:val="single" w:sz="8" w:color="0CD973"/>
            </w:tcBorders>
          </w:tcPr>
          <w:p>
            <w:pPr>
              <w:spacing w:after="0"/>
              <w:rPr>
                <w:sz w:val="4"/>
                <w:szCs w:val="4"/>
                <w:color w:val="auto"/>
              </w:rPr>
            </w:pPr>
          </w:p>
        </w:tc>
        <w:tc>
          <w:tcPr>
            <w:tcW w:w="98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color w:val="51555C"/>
        </w:rPr>
        <w:t>As of September 30, 2024, the required annual maturites related to the 2024 Credit Facilites, the Real Estate Loans and our other debt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2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Years ending December 31,</w:t>
            </w:r>
          </w:p>
        </w:tc>
        <w:tc>
          <w:tcPr>
            <w:tcW w:w="420" w:type="dxa"/>
            <w:vAlign w:val="bottom"/>
            <w:shd w:val="clear" w:color="auto" w:fill="004054"/>
          </w:tcPr>
          <w:p>
            <w:pPr>
              <w:spacing w:after="0"/>
              <w:rPr>
                <w:sz w:val="16"/>
                <w:szCs w:val="16"/>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Annual</w:t>
            </w:r>
          </w:p>
        </w:tc>
        <w:tc>
          <w:tcPr>
            <w:tcW w:w="20" w:type="dxa"/>
            <w:vAlign w:val="bottom"/>
            <w:shd w:val="clear" w:color="auto" w:fill="004054"/>
          </w:tcPr>
          <w:p>
            <w:pPr>
              <w:spacing w:after="0"/>
              <w:rPr>
                <w:sz w:val="16"/>
                <w:szCs w:val="16"/>
                <w:color w:val="auto"/>
              </w:rPr>
            </w:pPr>
          </w:p>
        </w:tc>
      </w:tr>
      <w:tr>
        <w:trPr>
          <w:trHeight w:val="170"/>
        </w:trPr>
        <w:tc>
          <w:tcPr>
            <w:tcW w:w="972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420" w:type="dxa"/>
            <w:vAlign w:val="bottom"/>
            <w:shd w:val="clear" w:color="auto" w:fill="004054"/>
          </w:tcPr>
          <w:p>
            <w:pPr>
              <w:spacing w:after="0"/>
              <w:rPr>
                <w:sz w:val="14"/>
                <w:szCs w:val="14"/>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maturites</w:t>
            </w:r>
          </w:p>
        </w:tc>
        <w:tc>
          <w:tcPr>
            <w:tcW w:w="20" w:type="dxa"/>
            <w:vAlign w:val="bottom"/>
            <w:shd w:val="clear" w:color="auto" w:fill="004054"/>
          </w:tcPr>
          <w:p>
            <w:pPr>
              <w:spacing w:after="0"/>
              <w:rPr>
                <w:sz w:val="14"/>
                <w:szCs w:val="14"/>
                <w:color w:val="auto"/>
              </w:rPr>
            </w:pPr>
          </w:p>
        </w:tc>
      </w:tr>
      <w:tr>
        <w:trPr>
          <w:trHeight w:val="74"/>
        </w:trPr>
        <w:tc>
          <w:tcPr>
            <w:tcW w:w="9720" w:type="dxa"/>
            <w:vAlign w:val="bottom"/>
            <w:shd w:val="clear" w:color="auto" w:fill="004054"/>
          </w:tcPr>
          <w:p>
            <w:pPr>
              <w:spacing w:after="0"/>
              <w:rPr>
                <w:sz w:val="6"/>
                <w:szCs w:val="6"/>
                <w:color w:val="auto"/>
              </w:rPr>
            </w:pPr>
          </w:p>
        </w:tc>
        <w:tc>
          <w:tcPr>
            <w:tcW w:w="420" w:type="dxa"/>
            <w:vAlign w:val="bottom"/>
            <w:shd w:val="clear" w:color="auto" w:fill="004054"/>
          </w:tcPr>
          <w:p>
            <w:pPr>
              <w:spacing w:after="0"/>
              <w:rPr>
                <w:sz w:val="6"/>
                <w:szCs w:val="6"/>
                <w:color w:val="auto"/>
              </w:rPr>
            </w:pPr>
          </w:p>
        </w:tc>
        <w:tc>
          <w:tcPr>
            <w:tcW w:w="11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97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2024 - remaining</w:t>
            </w:r>
          </w:p>
        </w:tc>
        <w:tc>
          <w:tcPr>
            <w:tcW w:w="420" w:type="dxa"/>
            <w:vAlign w:val="bottom"/>
            <w:tcBorders>
              <w:bottom w:val="single" w:sz="8" w:color="EBFBFF"/>
            </w:tcBorders>
            <w:shd w:val="clear" w:color="auto" w:fill="EBFBFF"/>
          </w:tcPr>
          <w:p>
            <w:pPr>
              <w:jc w:val="right"/>
              <w:ind w:right="230"/>
              <w:spacing w:after="0"/>
              <w:rPr>
                <w:sz w:val="20"/>
                <w:szCs w:val="20"/>
                <w:color w:val="auto"/>
              </w:rPr>
            </w:pPr>
            <w:r>
              <w:rPr>
                <w:rFonts w:ascii="Calibri" w:cs="Calibri" w:eastAsia="Calibri" w:hAnsi="Calibri"/>
                <w:sz w:val="18"/>
                <w:szCs w:val="18"/>
                <w:color w:val="51555C"/>
                <w:w w:val="87"/>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5,417</w:t>
            </w:r>
          </w:p>
        </w:tc>
        <w:tc>
          <w:tcPr>
            <w:tcW w:w="20" w:type="dxa"/>
            <w:vAlign w:val="bottom"/>
          </w:tcPr>
          <w:p>
            <w:pPr>
              <w:spacing w:after="0"/>
              <w:rPr>
                <w:sz w:val="21"/>
                <w:szCs w:val="21"/>
                <w:color w:val="auto"/>
              </w:rPr>
            </w:pPr>
          </w:p>
        </w:tc>
      </w:tr>
      <w:tr>
        <w:trPr>
          <w:trHeight w:val="220"/>
        </w:trPr>
        <w:tc>
          <w:tcPr>
            <w:tcW w:w="9720" w:type="dxa"/>
            <w:vAlign w:val="bottom"/>
          </w:tcPr>
          <w:p>
            <w:pPr>
              <w:ind w:left="20"/>
              <w:spacing w:after="0"/>
              <w:rPr>
                <w:sz w:val="20"/>
                <w:szCs w:val="20"/>
                <w:color w:val="auto"/>
              </w:rPr>
            </w:pPr>
            <w:r>
              <w:rPr>
                <w:rFonts w:ascii="Calibri" w:cs="Calibri" w:eastAsia="Calibri" w:hAnsi="Calibri"/>
                <w:sz w:val="18"/>
                <w:szCs w:val="18"/>
                <w:color w:val="51555C"/>
              </w:rPr>
              <w:t>2025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51555C"/>
              </w:rPr>
              <w:t>23,875</w:t>
            </w:r>
          </w:p>
        </w:tc>
        <w:tc>
          <w:tcPr>
            <w:tcW w:w="20" w:type="dxa"/>
            <w:vAlign w:val="bottom"/>
          </w:tcPr>
          <w:p>
            <w:pPr>
              <w:spacing w:after="0"/>
              <w:rPr>
                <w:sz w:val="19"/>
                <w:szCs w:val="19"/>
                <w:color w:val="auto"/>
              </w:rPr>
            </w:pPr>
          </w:p>
        </w:tc>
      </w:tr>
      <w:tr>
        <w:trPr>
          <w:trHeight w:val="50"/>
        </w:trPr>
        <w:tc>
          <w:tcPr>
            <w:tcW w:w="9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7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2026</w:t>
            </w:r>
          </w:p>
        </w:tc>
        <w:tc>
          <w:tcPr>
            <w:tcW w:w="42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22,660</w:t>
            </w:r>
          </w:p>
        </w:tc>
        <w:tc>
          <w:tcPr>
            <w:tcW w:w="20" w:type="dxa"/>
            <w:vAlign w:val="bottom"/>
          </w:tcPr>
          <w:p>
            <w:pPr>
              <w:spacing w:after="0"/>
              <w:rPr>
                <w:sz w:val="21"/>
                <w:szCs w:val="21"/>
                <w:color w:val="auto"/>
              </w:rPr>
            </w:pPr>
          </w:p>
        </w:tc>
      </w:tr>
      <w:tr>
        <w:trPr>
          <w:trHeight w:val="220"/>
        </w:trPr>
        <w:tc>
          <w:tcPr>
            <w:tcW w:w="9720" w:type="dxa"/>
            <w:vAlign w:val="bottom"/>
          </w:tcPr>
          <w:p>
            <w:pPr>
              <w:ind w:left="20"/>
              <w:spacing w:after="0"/>
              <w:rPr>
                <w:sz w:val="20"/>
                <w:szCs w:val="20"/>
                <w:color w:val="auto"/>
              </w:rPr>
            </w:pPr>
            <w:r>
              <w:rPr>
                <w:rFonts w:ascii="Calibri" w:cs="Calibri" w:eastAsia="Calibri" w:hAnsi="Calibri"/>
                <w:sz w:val="18"/>
                <w:szCs w:val="18"/>
                <w:color w:val="51555C"/>
              </w:rPr>
              <w:t>2027</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51555C"/>
              </w:rPr>
              <w:t>22,166</w:t>
            </w:r>
          </w:p>
        </w:tc>
        <w:tc>
          <w:tcPr>
            <w:tcW w:w="20" w:type="dxa"/>
            <w:vAlign w:val="bottom"/>
          </w:tcPr>
          <w:p>
            <w:pPr>
              <w:spacing w:after="0"/>
              <w:rPr>
                <w:sz w:val="19"/>
                <w:szCs w:val="19"/>
                <w:color w:val="auto"/>
              </w:rPr>
            </w:pPr>
          </w:p>
        </w:tc>
      </w:tr>
      <w:tr>
        <w:trPr>
          <w:trHeight w:val="50"/>
        </w:trPr>
        <w:tc>
          <w:tcPr>
            <w:tcW w:w="9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7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2028</w:t>
            </w:r>
          </w:p>
        </w:tc>
        <w:tc>
          <w:tcPr>
            <w:tcW w:w="42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22,375</w:t>
            </w:r>
          </w:p>
        </w:tc>
        <w:tc>
          <w:tcPr>
            <w:tcW w:w="20" w:type="dxa"/>
            <w:vAlign w:val="bottom"/>
          </w:tcPr>
          <w:p>
            <w:pPr>
              <w:spacing w:after="0"/>
              <w:rPr>
                <w:sz w:val="21"/>
                <w:szCs w:val="21"/>
                <w:color w:val="auto"/>
              </w:rPr>
            </w:pPr>
          </w:p>
        </w:tc>
      </w:tr>
      <w:tr>
        <w:trPr>
          <w:trHeight w:val="220"/>
        </w:trPr>
        <w:tc>
          <w:tcPr>
            <w:tcW w:w="9720" w:type="dxa"/>
            <w:vAlign w:val="bottom"/>
          </w:tcPr>
          <w:p>
            <w:pPr>
              <w:ind w:left="20"/>
              <w:spacing w:after="0"/>
              <w:rPr>
                <w:sz w:val="20"/>
                <w:szCs w:val="20"/>
                <w:color w:val="auto"/>
              </w:rPr>
            </w:pPr>
            <w:r>
              <w:rPr>
                <w:rFonts w:ascii="Calibri" w:cs="Calibri" w:eastAsia="Calibri" w:hAnsi="Calibri"/>
                <w:sz w:val="18"/>
                <w:szCs w:val="18"/>
                <w:color w:val="51555C"/>
              </w:rPr>
              <w:t>Thereafer</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51555C"/>
              </w:rPr>
              <w:t>907,842</w:t>
            </w:r>
          </w:p>
        </w:tc>
        <w:tc>
          <w:tcPr>
            <w:tcW w:w="20" w:type="dxa"/>
            <w:vAlign w:val="bottom"/>
          </w:tcPr>
          <w:p>
            <w:pPr>
              <w:spacing w:after="0"/>
              <w:rPr>
                <w:sz w:val="19"/>
                <w:szCs w:val="19"/>
                <w:color w:val="auto"/>
              </w:rPr>
            </w:pPr>
          </w:p>
        </w:tc>
      </w:tr>
      <w:tr>
        <w:trPr>
          <w:trHeight w:val="50"/>
        </w:trPr>
        <w:tc>
          <w:tcPr>
            <w:tcW w:w="9720" w:type="dxa"/>
            <w:vAlign w:val="bottom"/>
            <w:tcBorders>
              <w:bottom w:val="single" w:sz="8" w:color="EBFBFF"/>
            </w:tcBorders>
          </w:tcPr>
          <w:p>
            <w:pPr>
              <w:spacing w:after="0"/>
              <w:rPr>
                <w:sz w:val="4"/>
                <w:szCs w:val="4"/>
                <w:color w:val="auto"/>
              </w:rPr>
            </w:pPr>
          </w:p>
        </w:tc>
        <w:tc>
          <w:tcPr>
            <w:tcW w:w="420" w:type="dxa"/>
            <w:vAlign w:val="bottom"/>
            <w:tcBorders>
              <w:bottom w:val="single" w:sz="8" w:color="51555C"/>
            </w:tcBorders>
          </w:tcPr>
          <w:p>
            <w:pPr>
              <w:spacing w:after="0"/>
              <w:rPr>
                <w:sz w:val="4"/>
                <w:szCs w:val="4"/>
                <w:color w:val="auto"/>
              </w:rPr>
            </w:pPr>
          </w:p>
        </w:tc>
        <w:tc>
          <w:tcPr>
            <w:tcW w:w="110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4"/>
        </w:trPr>
        <w:tc>
          <w:tcPr>
            <w:tcW w:w="9720" w:type="dxa"/>
            <w:vAlign w:val="bottom"/>
            <w:tcBorders>
              <w:bottom w:val="single" w:sz="8" w:color="EBFBFF"/>
            </w:tcBorders>
            <w:shd w:val="clear" w:color="auto" w:fill="EBFBFF"/>
          </w:tcPr>
          <w:p>
            <w:pPr>
              <w:ind w:left="140"/>
              <w:spacing w:after="0" w:line="213" w:lineRule="exact"/>
              <w:rPr>
                <w:sz w:val="20"/>
                <w:szCs w:val="20"/>
                <w:color w:val="auto"/>
              </w:rPr>
            </w:pPr>
            <w:r>
              <w:rPr>
                <w:rFonts w:ascii="Calibri" w:cs="Calibri" w:eastAsia="Calibri" w:hAnsi="Calibri"/>
                <w:sz w:val="18"/>
                <w:szCs w:val="18"/>
                <w:color w:val="51555C"/>
              </w:rPr>
              <w:t>Total required maturites</w:t>
            </w:r>
          </w:p>
        </w:tc>
        <w:tc>
          <w:tcPr>
            <w:tcW w:w="420" w:type="dxa"/>
            <w:vAlign w:val="bottom"/>
            <w:tcBorders>
              <w:bottom w:val="single" w:sz="8" w:color="EBFBFF"/>
            </w:tcBorders>
            <w:shd w:val="clear" w:color="auto" w:fill="EBFBFF"/>
          </w:tcPr>
          <w:p>
            <w:pPr>
              <w:jc w:val="right"/>
              <w:ind w:right="230"/>
              <w:spacing w:after="0" w:line="213" w:lineRule="exact"/>
              <w:rPr>
                <w:sz w:val="20"/>
                <w:szCs w:val="20"/>
                <w:color w:val="auto"/>
              </w:rPr>
            </w:pPr>
            <w:r>
              <w:rPr>
                <w:rFonts w:ascii="Calibri" w:cs="Calibri" w:eastAsia="Calibri" w:hAnsi="Calibri"/>
                <w:sz w:val="18"/>
                <w:szCs w:val="18"/>
                <w:color w:val="51555C"/>
                <w:w w:val="87"/>
              </w:rPr>
              <w:t>$</w:t>
            </w:r>
          </w:p>
        </w:tc>
        <w:tc>
          <w:tcPr>
            <w:tcW w:w="11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1,004,335</w:t>
            </w:r>
          </w:p>
        </w:tc>
        <w:tc>
          <w:tcPr>
            <w:tcW w:w="20" w:type="dxa"/>
            <w:vAlign w:val="bottom"/>
          </w:tcPr>
          <w:p>
            <w:pPr>
              <w:spacing w:after="0"/>
              <w:rPr>
                <w:sz w:val="21"/>
                <w:szCs w:val="21"/>
                <w:color w:val="auto"/>
              </w:rPr>
            </w:pPr>
          </w:p>
        </w:tc>
      </w:tr>
      <w:tr>
        <w:trPr>
          <w:trHeight w:val="20"/>
        </w:trPr>
        <w:tc>
          <w:tcPr>
            <w:tcW w:w="9720" w:type="dxa"/>
            <w:vAlign w:val="bottom"/>
            <w:shd w:val="clear" w:color="auto" w:fill="0CD973"/>
          </w:tcPr>
          <w:p>
            <w:pPr>
              <w:spacing w:after="0" w:line="20" w:lineRule="exact"/>
              <w:rPr>
                <w:sz w:val="1"/>
                <w:szCs w:val="1"/>
                <w:color w:val="auto"/>
              </w:rPr>
            </w:pPr>
          </w:p>
        </w:tc>
        <w:tc>
          <w:tcPr>
            <w:tcW w:w="420" w:type="dxa"/>
            <w:vAlign w:val="bottom"/>
            <w:shd w:val="clear" w:color="auto" w:fill="0CD973"/>
          </w:tcPr>
          <w:p>
            <w:pPr>
              <w:spacing w:after="0" w:line="20" w:lineRule="exact"/>
              <w:rPr>
                <w:sz w:val="1"/>
                <w:szCs w:val="1"/>
                <w:color w:val="auto"/>
              </w:rPr>
            </w:pPr>
          </w:p>
        </w:tc>
        <w:tc>
          <w:tcPr>
            <w:tcW w:w="11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5"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8. Derivatve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8"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generally use derivatve instruments to manage our interest rate and foreign currency exchange risk. We currently have derivatves classifed as cash fow hedges and net investment hedges. We do not enter into any derivatves for trading or speculatve purposes.</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All of our derivatve instruments are governed by Internatonal Swap Dealers Associaton, Inc. master agreements with our counterpartes. As of September 30, 2024 and December 31, 2023, we have presented the fair value of our derivatve instruments at the gross amounts in the condensed consolidated balance sheets as the gross fair values of our derivatve instruments equaled their net fair values.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Cash fow hedges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entered into interest rate swap agreements, which efectvely convert portons of our variable rate debt under the 2024 Credit Facilites to a fxed rate for the term of the swap agreements. We designated each of the interest rate swaps as cash fow hedges at the incepton of the contracts. Our entry into the 2024 Credit Agreement in April 2024 did not afect our interest rate swap agreements, including their designaton as cash fow hedges, as the 2024 Credit Agreement has substantally the same critcal terms as the the 2020 Credit Agreement.</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September 2024, we entered into two additonal forward-startng interest rate swap agreements each with a notonal value of $100.0 million with efectve dates beginning in March 2025 through September 2026 and March 2027 (the "September 2024 Swap Agreements"). We designated the September 2024 Swap Agreements as cash fow hedges at the incepton of the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247650</wp:posOffset>
            </wp:positionV>
            <wp:extent cx="65976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15</w:t>
            </w:r>
          </w:p>
        </w:tc>
      </w:tr>
      <w:tr>
        <w:trPr>
          <w:trHeight w:val="351"/>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of September 30, 2024 and December 31, 2023, the aggregate notonal values of the interest rate swaps were $1.1 billion and $935.0 million, respectvely. All of the contracts have maturites on or before October 2028. The aggregate notonal value as of September 30, 2024 includes the two additonal forward-startng interest rate swap agreements discussed above.</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entered into foreign currency forward contracts to hedge revenues denominated in the Canadian Dollar ("CAD") against changes in the exchange rate with the United States Dollar ("USD"). We designated each of these foreign currency forward contracts as cash fow hedges at the incepton of the contracts. As of September 30, 2024 and December 31, 2023, the aggregate notonal values of the foreign currency forward contracts designated as cash fow hedges that we held to buy USD in exchange for Canadian Dollars were $32.5 million CAD and $29.9 million CAD, respectvely. All of the contracts have maturites of 12 months or less.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Net investment hedges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entered into foreign currency forward contracts to hedge a porton of the foreign currency exposure that arises on translaton of our investments denominated in Britsh Pounds ("GBP") into USD. We designated each of these foreign currency forward contracts as net investment hedges at the incepton of the contracts. As of September 30, 2024 and December 31, 2023, the aggregate notonal values of the foreign currency forward contracts designated as net investment hedges to reduce the volatlity of the U.S. dollar value of a porton of our GBP-denominated investments was £10.5 million and £13.2 million, respectvely.</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fair values of our derivatve instruments were as follows as of: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shd w:val="clear" w:color="auto" w:fill="004054"/>
          </w:tcPr>
          <w:p>
            <w:pPr>
              <w:spacing w:after="0"/>
              <w:rPr>
                <w:sz w:val="16"/>
                <w:szCs w:val="16"/>
                <w:color w:val="auto"/>
              </w:rPr>
            </w:pPr>
          </w:p>
        </w:tc>
        <w:tc>
          <w:tcPr>
            <w:tcW w:w="1180" w:type="dxa"/>
            <w:vAlign w:val="bottom"/>
            <w:shd w:val="clear" w:color="auto" w:fill="004054"/>
          </w:tcPr>
          <w:p>
            <w:pPr>
              <w:spacing w:after="0"/>
              <w:rPr>
                <w:sz w:val="16"/>
                <w:szCs w:val="16"/>
                <w:color w:val="auto"/>
              </w:rPr>
            </w:pPr>
          </w:p>
        </w:tc>
        <w:tc>
          <w:tcPr>
            <w:tcW w:w="170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160" w:type="dxa"/>
            <w:vAlign w:val="bottom"/>
            <w:shd w:val="clear" w:color="auto" w:fill="004054"/>
          </w:tcPr>
          <w:p>
            <w:pPr>
              <w:spacing w:after="0"/>
              <w:rPr>
                <w:sz w:val="16"/>
                <w:szCs w:val="16"/>
                <w:color w:val="auto"/>
              </w:rPr>
            </w:pPr>
          </w:p>
        </w:tc>
        <w:tc>
          <w:tcPr>
            <w:tcW w:w="11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Asset derivatves</w:t>
            </w:r>
          </w:p>
        </w:tc>
        <w:tc>
          <w:tcPr>
            <w:tcW w:w="80" w:type="dxa"/>
            <w:vAlign w:val="bottom"/>
          </w:tcPr>
          <w:p>
            <w:pPr>
              <w:spacing w:after="0"/>
              <w:rPr>
                <w:sz w:val="16"/>
                <w:szCs w:val="16"/>
                <w:color w:val="auto"/>
              </w:rPr>
            </w:pPr>
          </w:p>
        </w:tc>
        <w:tc>
          <w:tcPr>
            <w:tcW w:w="170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1240" w:type="dxa"/>
            <w:vAlign w:val="bottom"/>
            <w:gridSpan w:val="2"/>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Liability derivatves</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600" w:type="dxa"/>
            <w:vAlign w:val="bottom"/>
            <w:shd w:val="clear" w:color="auto" w:fill="004054"/>
          </w:tcPr>
          <w:p>
            <w:pPr>
              <w:spacing w:after="0"/>
              <w:rPr>
                <w:sz w:val="20"/>
                <w:szCs w:val="20"/>
                <w:color w:val="auto"/>
              </w:rPr>
            </w:pPr>
          </w:p>
        </w:tc>
        <w:tc>
          <w:tcPr>
            <w:tcW w:w="1180" w:type="dxa"/>
            <w:vAlign w:val="bottom"/>
            <w:shd w:val="clear" w:color="auto" w:fill="004054"/>
          </w:tcPr>
          <w:p>
            <w:pPr>
              <w:spacing w:after="0"/>
              <w:rPr>
                <w:sz w:val="20"/>
                <w:szCs w:val="20"/>
                <w:color w:val="auto"/>
              </w:rPr>
            </w:pPr>
          </w:p>
        </w:tc>
        <w:tc>
          <w:tcPr>
            <w:tcW w:w="1700" w:type="dxa"/>
            <w:vAlign w:val="bottom"/>
            <w:shd w:val="clear" w:color="auto" w:fill="004054"/>
          </w:tcPr>
          <w:p>
            <w:pPr>
              <w:spacing w:after="0"/>
              <w:rPr>
                <w:sz w:val="20"/>
                <w:szCs w:val="20"/>
                <w:color w:val="auto"/>
              </w:rPr>
            </w:pPr>
          </w:p>
        </w:tc>
        <w:tc>
          <w:tcPr>
            <w:tcW w:w="220" w:type="dxa"/>
            <w:vAlign w:val="bottom"/>
            <w:shd w:val="clear" w:color="auto" w:fill="004054"/>
          </w:tcPr>
          <w:p>
            <w:pPr>
              <w:spacing w:after="0"/>
              <w:rPr>
                <w:sz w:val="20"/>
                <w:szCs w:val="20"/>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160" w:type="dxa"/>
            <w:vAlign w:val="bottom"/>
            <w:shd w:val="clear" w:color="auto" w:fill="004054"/>
          </w:tcPr>
          <w:p>
            <w:pPr>
              <w:spacing w:after="0"/>
              <w:rPr>
                <w:sz w:val="20"/>
                <w:szCs w:val="20"/>
                <w:color w:val="auto"/>
              </w:rPr>
            </w:pPr>
          </w:p>
        </w:tc>
        <w:tc>
          <w:tcPr>
            <w:tcW w:w="11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80" w:type="dxa"/>
            <w:vAlign w:val="bottom"/>
          </w:tcPr>
          <w:p>
            <w:pPr>
              <w:spacing w:after="0"/>
              <w:rPr>
                <w:sz w:val="20"/>
                <w:szCs w:val="20"/>
                <w:color w:val="auto"/>
              </w:rPr>
            </w:pPr>
          </w:p>
        </w:tc>
        <w:tc>
          <w:tcPr>
            <w:tcW w:w="1700" w:type="dxa"/>
            <w:vAlign w:val="bottom"/>
            <w:shd w:val="clear" w:color="auto" w:fill="004054"/>
          </w:tcPr>
          <w:p>
            <w:pPr>
              <w:spacing w:after="0"/>
              <w:rPr>
                <w:sz w:val="20"/>
                <w:szCs w:val="20"/>
                <w:color w:val="auto"/>
              </w:rPr>
            </w:pPr>
          </w:p>
        </w:tc>
        <w:tc>
          <w:tcPr>
            <w:tcW w:w="220" w:type="dxa"/>
            <w:vAlign w:val="bottom"/>
            <w:shd w:val="clear" w:color="auto" w:fill="004054"/>
          </w:tcPr>
          <w:p>
            <w:pPr>
              <w:spacing w:after="0"/>
              <w:rPr>
                <w:sz w:val="20"/>
                <w:szCs w:val="20"/>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260" w:type="dxa"/>
            <w:vAlign w:val="bottom"/>
            <w:shd w:val="clear" w:color="auto" w:fill="004054"/>
          </w:tcPr>
          <w:p>
            <w:pPr>
              <w:spacing w:after="0"/>
              <w:rPr>
                <w:sz w:val="20"/>
                <w:szCs w:val="20"/>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6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180" w:type="dxa"/>
            <w:vAlign w:val="bottom"/>
            <w:shd w:val="clear" w:color="auto" w:fill="004054"/>
          </w:tcPr>
          <w:p>
            <w:pPr>
              <w:spacing w:after="0"/>
              <w:rPr>
                <w:sz w:val="15"/>
                <w:szCs w:val="15"/>
                <w:color w:val="auto"/>
              </w:rPr>
            </w:pPr>
          </w:p>
        </w:tc>
        <w:tc>
          <w:tcPr>
            <w:tcW w:w="17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 sheet locaton</w:t>
            </w:r>
          </w:p>
        </w:tc>
        <w:tc>
          <w:tcPr>
            <w:tcW w:w="220" w:type="dxa"/>
            <w:vAlign w:val="bottom"/>
            <w:shd w:val="clear" w:color="auto" w:fill="004054"/>
          </w:tcPr>
          <w:p>
            <w:pPr>
              <w:spacing w:after="0"/>
              <w:rPr>
                <w:sz w:val="15"/>
                <w:szCs w:val="15"/>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60" w:type="dxa"/>
            <w:vAlign w:val="bottom"/>
            <w:shd w:val="clear" w:color="auto" w:fill="004054"/>
          </w:tcPr>
          <w:p>
            <w:pPr>
              <w:spacing w:after="0"/>
              <w:rPr>
                <w:sz w:val="15"/>
                <w:szCs w:val="15"/>
                <w:color w:val="auto"/>
              </w:rPr>
            </w:pPr>
          </w:p>
        </w:tc>
        <w:tc>
          <w:tcPr>
            <w:tcW w:w="11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80" w:type="dxa"/>
            <w:vAlign w:val="bottom"/>
          </w:tcPr>
          <w:p>
            <w:pPr>
              <w:spacing w:after="0"/>
              <w:rPr>
                <w:sz w:val="15"/>
                <w:szCs w:val="15"/>
                <w:color w:val="auto"/>
              </w:rPr>
            </w:pPr>
          </w:p>
        </w:tc>
        <w:tc>
          <w:tcPr>
            <w:tcW w:w="17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 sheet locaton</w:t>
            </w:r>
          </w:p>
        </w:tc>
        <w:tc>
          <w:tcPr>
            <w:tcW w:w="220" w:type="dxa"/>
            <w:vAlign w:val="bottom"/>
            <w:shd w:val="clear" w:color="auto" w:fill="004054"/>
          </w:tcPr>
          <w:p>
            <w:pPr>
              <w:spacing w:after="0"/>
              <w:rPr>
                <w:sz w:val="15"/>
                <w:szCs w:val="15"/>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60" w:type="dxa"/>
            <w:vAlign w:val="bottom"/>
            <w:shd w:val="clear" w:color="auto" w:fill="004054"/>
          </w:tcPr>
          <w:p>
            <w:pPr>
              <w:spacing w:after="0"/>
              <w:rPr>
                <w:sz w:val="15"/>
                <w:szCs w:val="15"/>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780" w:type="dxa"/>
            <w:vAlign w:val="bottom"/>
            <w:tcBorders>
              <w:bottom w:val="single" w:sz="8" w:color="004054"/>
            </w:tcBorders>
            <w:gridSpan w:val="2"/>
            <w:shd w:val="clear" w:color="auto" w:fill="004054"/>
          </w:tcPr>
          <w:p>
            <w:pPr>
              <w:spacing w:after="0"/>
              <w:rPr>
                <w:sz w:val="5"/>
                <w:szCs w:val="5"/>
                <w:color w:val="auto"/>
              </w:rPr>
            </w:pPr>
          </w:p>
        </w:tc>
        <w:tc>
          <w:tcPr>
            <w:tcW w:w="1700" w:type="dxa"/>
            <w:vAlign w:val="bottom"/>
            <w:tcBorders>
              <w:bottom w:val="single" w:sz="8" w:color="004054"/>
            </w:tcBorders>
            <w:shd w:val="clear" w:color="auto" w:fill="004054"/>
          </w:tcPr>
          <w:p>
            <w:pPr>
              <w:spacing w:after="0"/>
              <w:rPr>
                <w:sz w:val="5"/>
                <w:szCs w:val="5"/>
                <w:color w:val="auto"/>
              </w:rPr>
            </w:pPr>
          </w:p>
        </w:tc>
        <w:tc>
          <w:tcPr>
            <w:tcW w:w="220" w:type="dxa"/>
            <w:vAlign w:val="bottom"/>
            <w:tcBorders>
              <w:bottom w:val="single" w:sz="8" w:color="004054"/>
            </w:tcBorders>
            <w:shd w:val="clear" w:color="auto" w:fill="004054"/>
          </w:tcPr>
          <w:p>
            <w:pPr>
              <w:spacing w:after="0"/>
              <w:rPr>
                <w:sz w:val="5"/>
                <w:szCs w:val="5"/>
                <w:color w:val="auto"/>
              </w:rPr>
            </w:pPr>
          </w:p>
        </w:tc>
        <w:tc>
          <w:tcPr>
            <w:tcW w:w="1020" w:type="dxa"/>
            <w:vAlign w:val="bottom"/>
            <w:tcBorders>
              <w:bottom w:val="single" w:sz="8" w:color="004054"/>
            </w:tcBorders>
            <w:shd w:val="clear" w:color="auto" w:fill="004054"/>
          </w:tcPr>
          <w:p>
            <w:pPr>
              <w:spacing w:after="0"/>
              <w:rPr>
                <w:sz w:val="5"/>
                <w:szCs w:val="5"/>
                <w:color w:val="auto"/>
              </w:rPr>
            </w:pPr>
          </w:p>
        </w:tc>
        <w:tc>
          <w:tcPr>
            <w:tcW w:w="160" w:type="dxa"/>
            <w:vAlign w:val="bottom"/>
            <w:tcBorders>
              <w:bottom w:val="single" w:sz="8" w:color="004054"/>
            </w:tcBorders>
            <w:shd w:val="clear" w:color="auto" w:fill="004054"/>
          </w:tcPr>
          <w:p>
            <w:pPr>
              <w:spacing w:after="0"/>
              <w:rPr>
                <w:sz w:val="5"/>
                <w:szCs w:val="5"/>
                <w:color w:val="auto"/>
              </w:rPr>
            </w:pPr>
          </w:p>
        </w:tc>
        <w:tc>
          <w:tcPr>
            <w:tcW w:w="1100" w:type="dxa"/>
            <w:vAlign w:val="bottom"/>
            <w:tcBorders>
              <w:bottom w:val="single" w:sz="8" w:color="004054"/>
              <w:right w:val="single" w:sz="8" w:color="004054"/>
            </w:tcBorders>
            <w:shd w:val="clear" w:color="auto" w:fill="004054"/>
          </w:tcPr>
          <w:p>
            <w:pPr>
              <w:spacing w:after="0"/>
              <w:rPr>
                <w:sz w:val="5"/>
                <w:szCs w:val="5"/>
                <w:color w:val="auto"/>
              </w:rPr>
            </w:pPr>
          </w:p>
        </w:tc>
        <w:tc>
          <w:tcPr>
            <w:tcW w:w="80" w:type="dxa"/>
            <w:vAlign w:val="bottom"/>
            <w:tcBorders>
              <w:bottom w:val="single" w:sz="8" w:color="EBFBFF"/>
            </w:tcBorders>
          </w:tcPr>
          <w:p>
            <w:pPr>
              <w:spacing w:after="0"/>
              <w:rPr>
                <w:sz w:val="5"/>
                <w:szCs w:val="5"/>
                <w:color w:val="auto"/>
              </w:rPr>
            </w:pPr>
          </w:p>
        </w:tc>
        <w:tc>
          <w:tcPr>
            <w:tcW w:w="1700" w:type="dxa"/>
            <w:vAlign w:val="bottom"/>
            <w:tcBorders>
              <w:bottom w:val="single" w:sz="8" w:color="004054"/>
            </w:tcBorders>
            <w:shd w:val="clear" w:color="auto" w:fill="004054"/>
          </w:tcPr>
          <w:p>
            <w:pPr>
              <w:spacing w:after="0"/>
              <w:rPr>
                <w:sz w:val="5"/>
                <w:szCs w:val="5"/>
                <w:color w:val="auto"/>
              </w:rPr>
            </w:pPr>
          </w:p>
        </w:tc>
        <w:tc>
          <w:tcPr>
            <w:tcW w:w="220" w:type="dxa"/>
            <w:vAlign w:val="bottom"/>
            <w:tcBorders>
              <w:bottom w:val="single" w:sz="8" w:color="004054"/>
            </w:tcBorders>
            <w:shd w:val="clear" w:color="auto" w:fill="004054"/>
          </w:tcPr>
          <w:p>
            <w:pPr>
              <w:spacing w:after="0"/>
              <w:rPr>
                <w:sz w:val="5"/>
                <w:szCs w:val="5"/>
                <w:color w:val="auto"/>
              </w:rPr>
            </w:pPr>
          </w:p>
        </w:tc>
        <w:tc>
          <w:tcPr>
            <w:tcW w:w="1020" w:type="dxa"/>
            <w:vAlign w:val="bottom"/>
            <w:tcBorders>
              <w:bottom w:val="single" w:sz="8" w:color="004054"/>
            </w:tcBorders>
            <w:shd w:val="clear" w:color="auto" w:fill="004054"/>
          </w:tcPr>
          <w:p>
            <w:pPr>
              <w:spacing w:after="0"/>
              <w:rPr>
                <w:sz w:val="5"/>
                <w:szCs w:val="5"/>
                <w:color w:val="auto"/>
              </w:rPr>
            </w:pPr>
          </w:p>
        </w:tc>
        <w:tc>
          <w:tcPr>
            <w:tcW w:w="260" w:type="dxa"/>
            <w:vAlign w:val="bottom"/>
            <w:tcBorders>
              <w:bottom w:val="single" w:sz="8" w:color="004054"/>
            </w:tcBorders>
            <w:shd w:val="clear" w:color="auto" w:fill="004054"/>
          </w:tcPr>
          <w:p>
            <w:pPr>
              <w:spacing w:after="0"/>
              <w:rPr>
                <w:sz w:val="5"/>
                <w:szCs w:val="5"/>
                <w:color w:val="auto"/>
              </w:rPr>
            </w:pPr>
          </w:p>
        </w:tc>
        <w:tc>
          <w:tcPr>
            <w:tcW w:w="98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780" w:type="dxa"/>
            <w:vAlign w:val="bottom"/>
            <w:gridSpan w:val="2"/>
            <w:shd w:val="clear" w:color="auto" w:fill="EBFBFF"/>
          </w:tcPr>
          <w:p>
            <w:pPr>
              <w:ind w:left="20"/>
              <w:spacing w:after="0" w:line="213" w:lineRule="exact"/>
              <w:rPr>
                <w:sz w:val="20"/>
                <w:szCs w:val="20"/>
                <w:color w:val="auto"/>
              </w:rPr>
            </w:pPr>
            <w:r>
              <w:rPr>
                <w:rFonts w:ascii="Calibri" w:cs="Calibri" w:eastAsia="Calibri" w:hAnsi="Calibri"/>
                <w:sz w:val="18"/>
                <w:szCs w:val="18"/>
                <w:b w:val="1"/>
                <w:bCs w:val="1"/>
                <w:color w:val="51555C"/>
              </w:rPr>
              <w:t>Derivatve instruments designated as</w:t>
            </w:r>
          </w:p>
        </w:tc>
        <w:tc>
          <w:tcPr>
            <w:tcW w:w="1700" w:type="dxa"/>
            <w:vAlign w:val="bottom"/>
            <w:shd w:val="clear" w:color="auto" w:fill="EBFBFF"/>
          </w:tcPr>
          <w:p>
            <w:pPr>
              <w:spacing w:after="0"/>
              <w:rPr>
                <w:sz w:val="18"/>
                <w:szCs w:val="18"/>
                <w:color w:val="auto"/>
              </w:rPr>
            </w:pPr>
          </w:p>
        </w:tc>
        <w:tc>
          <w:tcPr>
            <w:tcW w:w="220" w:type="dxa"/>
            <w:vAlign w:val="bottom"/>
            <w:shd w:val="clear" w:color="auto" w:fill="EBFBFF"/>
          </w:tcPr>
          <w:p>
            <w:pPr>
              <w:spacing w:after="0"/>
              <w:rPr>
                <w:sz w:val="18"/>
                <w:szCs w:val="18"/>
                <w:color w:val="auto"/>
              </w:rPr>
            </w:pPr>
          </w:p>
        </w:tc>
        <w:tc>
          <w:tcPr>
            <w:tcW w:w="1020" w:type="dxa"/>
            <w:vAlign w:val="bottom"/>
            <w:shd w:val="clear" w:color="auto" w:fill="EBFBFF"/>
          </w:tcPr>
          <w:p>
            <w:pPr>
              <w:spacing w:after="0"/>
              <w:rPr>
                <w:sz w:val="18"/>
                <w:szCs w:val="18"/>
                <w:color w:val="auto"/>
              </w:rPr>
            </w:pPr>
          </w:p>
        </w:tc>
        <w:tc>
          <w:tcPr>
            <w:tcW w:w="160" w:type="dxa"/>
            <w:vAlign w:val="bottom"/>
            <w:shd w:val="clear" w:color="auto" w:fill="EBFBFF"/>
          </w:tcPr>
          <w:p>
            <w:pPr>
              <w:spacing w:after="0"/>
              <w:rPr>
                <w:sz w:val="18"/>
                <w:szCs w:val="18"/>
                <w:color w:val="auto"/>
              </w:rPr>
            </w:pPr>
          </w:p>
        </w:tc>
        <w:tc>
          <w:tcPr>
            <w:tcW w:w="1100" w:type="dxa"/>
            <w:vAlign w:val="bottom"/>
            <w:tcBorders>
              <w:right w:val="single" w:sz="8" w:color="EBFBFF"/>
            </w:tcBorders>
            <w:shd w:val="clear" w:color="auto" w:fill="EBFBFF"/>
          </w:tcPr>
          <w:p>
            <w:pPr>
              <w:spacing w:after="0"/>
              <w:rPr>
                <w:sz w:val="18"/>
                <w:szCs w:val="18"/>
                <w:color w:val="auto"/>
              </w:rPr>
            </w:pPr>
          </w:p>
        </w:tc>
        <w:tc>
          <w:tcPr>
            <w:tcW w:w="80" w:type="dxa"/>
            <w:vAlign w:val="bottom"/>
            <w:shd w:val="clear" w:color="auto" w:fill="EBFBFF"/>
          </w:tcPr>
          <w:p>
            <w:pPr>
              <w:spacing w:after="0"/>
              <w:rPr>
                <w:sz w:val="18"/>
                <w:szCs w:val="18"/>
                <w:color w:val="auto"/>
              </w:rPr>
            </w:pPr>
          </w:p>
        </w:tc>
        <w:tc>
          <w:tcPr>
            <w:tcW w:w="1700" w:type="dxa"/>
            <w:vAlign w:val="bottom"/>
            <w:shd w:val="clear" w:color="auto" w:fill="EBFBFF"/>
          </w:tcPr>
          <w:p>
            <w:pPr>
              <w:spacing w:after="0"/>
              <w:rPr>
                <w:sz w:val="18"/>
                <w:szCs w:val="18"/>
                <w:color w:val="auto"/>
              </w:rPr>
            </w:pPr>
          </w:p>
        </w:tc>
        <w:tc>
          <w:tcPr>
            <w:tcW w:w="220" w:type="dxa"/>
            <w:vAlign w:val="bottom"/>
            <w:shd w:val="clear" w:color="auto" w:fill="EBFBFF"/>
          </w:tcPr>
          <w:p>
            <w:pPr>
              <w:spacing w:after="0"/>
              <w:rPr>
                <w:sz w:val="18"/>
                <w:szCs w:val="18"/>
                <w:color w:val="auto"/>
              </w:rPr>
            </w:pPr>
          </w:p>
        </w:tc>
        <w:tc>
          <w:tcPr>
            <w:tcW w:w="102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98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600" w:type="dxa"/>
            <w:vAlign w:val="bottom"/>
            <w:tcBorders>
              <w:bottom w:val="single" w:sz="8" w:color="EBFBFF"/>
            </w:tcBorders>
            <w:shd w:val="clear" w:color="auto" w:fill="EBFBFF"/>
          </w:tcPr>
          <w:p>
            <w:pPr>
              <w:ind w:left="20"/>
              <w:spacing w:after="0" w:line="216" w:lineRule="exact"/>
              <w:rPr>
                <w:sz w:val="20"/>
                <w:szCs w:val="20"/>
                <w:color w:val="auto"/>
              </w:rPr>
            </w:pPr>
            <w:r>
              <w:rPr>
                <w:rFonts w:ascii="Calibri" w:cs="Calibri" w:eastAsia="Calibri" w:hAnsi="Calibri"/>
                <w:sz w:val="18"/>
                <w:szCs w:val="18"/>
                <w:b w:val="1"/>
                <w:bCs w:val="1"/>
                <w:color w:val="51555C"/>
                <w:w w:val="98"/>
              </w:rPr>
              <w:t>hedging instruments:</w:t>
            </w:r>
          </w:p>
        </w:tc>
        <w:tc>
          <w:tcPr>
            <w:tcW w:w="1180" w:type="dxa"/>
            <w:vAlign w:val="bottom"/>
            <w:tcBorders>
              <w:bottom w:val="single" w:sz="8" w:color="EBFBFF"/>
            </w:tcBorders>
            <w:shd w:val="clear" w:color="auto" w:fill="EBFBFF"/>
          </w:tcPr>
          <w:p>
            <w:pPr>
              <w:spacing w:after="0"/>
              <w:rPr>
                <w:sz w:val="21"/>
                <w:szCs w:val="21"/>
                <w:color w:val="auto"/>
              </w:rPr>
            </w:pPr>
          </w:p>
        </w:tc>
        <w:tc>
          <w:tcPr>
            <w:tcW w:w="170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right w:val="single" w:sz="8" w:color="EBFBFF"/>
            </w:tcBorders>
            <w:shd w:val="clear" w:color="auto" w:fill="EBFBFF"/>
          </w:tcPr>
          <w:p>
            <w:pPr>
              <w:spacing w:after="0"/>
              <w:rPr>
                <w:sz w:val="21"/>
                <w:szCs w:val="21"/>
                <w:color w:val="auto"/>
              </w:rPr>
            </w:pPr>
          </w:p>
        </w:tc>
        <w:tc>
          <w:tcPr>
            <w:tcW w:w="80" w:type="dxa"/>
            <w:vAlign w:val="bottom"/>
            <w:tcBorders>
              <w:bottom w:val="single" w:sz="8" w:color="EBFBFF"/>
            </w:tcBorders>
            <w:shd w:val="clear" w:color="auto" w:fill="EBFBFF"/>
          </w:tcPr>
          <w:p>
            <w:pPr>
              <w:spacing w:after="0"/>
              <w:rPr>
                <w:sz w:val="21"/>
                <w:szCs w:val="21"/>
                <w:color w:val="auto"/>
              </w:rPr>
            </w:pPr>
          </w:p>
        </w:tc>
        <w:tc>
          <w:tcPr>
            <w:tcW w:w="170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80" w:type="dxa"/>
            <w:vAlign w:val="bottom"/>
            <w:gridSpan w:val="2"/>
          </w:tcPr>
          <w:p>
            <w:pPr>
              <w:ind w:left="140"/>
              <w:spacing w:after="0"/>
              <w:rPr>
                <w:sz w:val="20"/>
                <w:szCs w:val="20"/>
                <w:color w:val="auto"/>
              </w:rPr>
            </w:pPr>
            <w:r>
              <w:rPr>
                <w:rFonts w:ascii="Calibri" w:cs="Calibri" w:eastAsia="Calibri" w:hAnsi="Calibri"/>
                <w:sz w:val="18"/>
                <w:szCs w:val="18"/>
                <w:color w:val="51555C"/>
              </w:rPr>
              <w:t>Interest rate swaps, current porton</w:t>
            </w:r>
          </w:p>
        </w:tc>
        <w:tc>
          <w:tcPr>
            <w:tcW w:w="1920" w:type="dxa"/>
            <w:vAlign w:val="bottom"/>
            <w:gridSpan w:val="2"/>
          </w:tcPr>
          <w:p>
            <w:pPr>
              <w:jc w:val="right"/>
              <w:ind w:right="240"/>
              <w:spacing w:after="0"/>
              <w:rPr>
                <w:sz w:val="20"/>
                <w:szCs w:val="20"/>
                <w:color w:val="auto"/>
              </w:rPr>
            </w:pPr>
            <w:r>
              <w:rPr>
                <w:rFonts w:ascii="Calibri" w:cs="Calibri" w:eastAsia="Calibri" w:hAnsi="Calibri"/>
                <w:sz w:val="18"/>
                <w:szCs w:val="18"/>
                <w:color w:val="51555C"/>
              </w:rPr>
              <w:t>Prepaid expenses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2"/>
          </w:tcPr>
          <w:p>
            <w:pPr>
              <w:jc w:val="right"/>
              <w:ind w:right="240"/>
              <w:spacing w:after="0"/>
              <w:rPr>
                <w:sz w:val="20"/>
                <w:szCs w:val="20"/>
                <w:color w:val="auto"/>
              </w:rPr>
            </w:pPr>
            <w:r>
              <w:rPr>
                <w:rFonts w:ascii="Calibri" w:cs="Calibri" w:eastAsia="Calibri" w:hAnsi="Calibri"/>
                <w:sz w:val="18"/>
                <w:szCs w:val="18"/>
                <w:color w:val="51555C"/>
              </w:rPr>
              <w:t>Accrued expenses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20" w:type="dxa"/>
            <w:vAlign w:val="bottom"/>
            <w:gridSpan w:val="2"/>
          </w:tcPr>
          <w:p>
            <w:pPr>
              <w:jc w:val="right"/>
              <w:ind w:right="240"/>
              <w:spacing w:after="0" w:line="216" w:lineRule="exact"/>
              <w:rPr>
                <w:sz w:val="20"/>
                <w:szCs w:val="20"/>
                <w:color w:val="auto"/>
              </w:rPr>
            </w:pPr>
            <w:r>
              <w:rPr>
                <w:rFonts w:ascii="Calibri" w:cs="Calibri" w:eastAsia="Calibri" w:hAnsi="Calibri"/>
                <w:sz w:val="18"/>
                <w:szCs w:val="18"/>
                <w:color w:val="51555C"/>
              </w:rPr>
              <w:t>and other current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right"/>
              <w:ind w:right="240"/>
              <w:spacing w:after="0" w:line="216" w:lineRule="exact"/>
              <w:rPr>
                <w:sz w:val="20"/>
                <w:szCs w:val="20"/>
                <w:color w:val="auto"/>
              </w:rPr>
            </w:pPr>
            <w:r>
              <w:rPr>
                <w:rFonts w:ascii="Calibri" w:cs="Calibri" w:eastAsia="Calibri" w:hAnsi="Calibri"/>
                <w:sz w:val="18"/>
                <w:szCs w:val="18"/>
                <w:color w:val="51555C"/>
              </w:rPr>
              <w:t>and other current</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20" w:type="dxa"/>
            <w:vAlign w:val="bottom"/>
            <w:gridSpan w:val="2"/>
          </w:tcPr>
          <w:p>
            <w:pPr>
              <w:jc w:val="right"/>
              <w:ind w:right="120"/>
              <w:spacing w:after="0" w:line="216" w:lineRule="exact"/>
              <w:rPr>
                <w:sz w:val="20"/>
                <w:szCs w:val="20"/>
                <w:color w:val="auto"/>
              </w:rPr>
            </w:pPr>
            <w:r>
              <w:rPr>
                <w:rFonts w:ascii="Calibri" w:cs="Calibri" w:eastAsia="Calibri" w:hAnsi="Calibri"/>
                <w:sz w:val="18"/>
                <w:szCs w:val="18"/>
                <w:color w:val="51555C"/>
              </w:rPr>
              <w:t>assets $</w:t>
            </w:r>
          </w:p>
        </w:tc>
        <w:tc>
          <w:tcPr>
            <w:tcW w:w="1020" w:type="dxa"/>
            <w:vAlign w:val="bottom"/>
          </w:tcPr>
          <w:p>
            <w:pPr>
              <w:jc w:val="right"/>
              <w:spacing w:after="0" w:line="216" w:lineRule="exact"/>
              <w:rPr>
                <w:sz w:val="20"/>
                <w:szCs w:val="20"/>
                <w:color w:val="auto"/>
              </w:rPr>
            </w:pPr>
            <w:r>
              <w:rPr>
                <w:rFonts w:ascii="Calibri" w:cs="Calibri" w:eastAsia="Calibri" w:hAnsi="Calibri"/>
                <w:sz w:val="18"/>
                <w:szCs w:val="18"/>
                <w:color w:val="51555C"/>
              </w:rPr>
              <w:t>1,672</w:t>
            </w:r>
          </w:p>
        </w:tc>
        <w:tc>
          <w:tcPr>
            <w:tcW w:w="160" w:type="dxa"/>
            <w:vAlign w:val="bottom"/>
          </w:tcPr>
          <w:p>
            <w:pPr>
              <w:jc w:val="right"/>
              <w:spacing w:after="0" w:line="216" w:lineRule="exact"/>
              <w:rPr>
                <w:sz w:val="20"/>
                <w:szCs w:val="20"/>
                <w:color w:val="auto"/>
              </w:rPr>
            </w:pPr>
            <w:r>
              <w:rPr>
                <w:rFonts w:ascii="Calibri" w:cs="Calibri" w:eastAsia="Calibri" w:hAnsi="Calibri"/>
                <w:sz w:val="18"/>
                <w:szCs w:val="18"/>
                <w:color w:val="51555C"/>
                <w:w w:val="87"/>
              </w:rPr>
              <w:t>$</w:t>
            </w:r>
          </w:p>
        </w:tc>
        <w:tc>
          <w:tcPr>
            <w:tcW w:w="1100" w:type="dxa"/>
            <w:vAlign w:val="bottom"/>
          </w:tcPr>
          <w:p>
            <w:pPr>
              <w:jc w:val="right"/>
              <w:spacing w:after="0" w:line="216" w:lineRule="exact"/>
              <w:rPr>
                <w:sz w:val="20"/>
                <w:szCs w:val="20"/>
                <w:color w:val="auto"/>
              </w:rPr>
            </w:pPr>
            <w:r>
              <w:rPr>
                <w:rFonts w:ascii="Calibri" w:cs="Calibri" w:eastAsia="Calibri" w:hAnsi="Calibri"/>
                <w:sz w:val="18"/>
                <w:szCs w:val="18"/>
                <w:color w:val="51555C"/>
              </w:rPr>
              <w:t>16,198</w:t>
            </w:r>
          </w:p>
        </w:tc>
        <w:tc>
          <w:tcPr>
            <w:tcW w:w="80" w:type="dxa"/>
            <w:vAlign w:val="bottom"/>
          </w:tcPr>
          <w:p>
            <w:pPr>
              <w:spacing w:after="0"/>
              <w:rPr>
                <w:sz w:val="18"/>
                <w:szCs w:val="18"/>
                <w:color w:val="auto"/>
              </w:rPr>
            </w:pPr>
          </w:p>
        </w:tc>
        <w:tc>
          <w:tcPr>
            <w:tcW w:w="1920" w:type="dxa"/>
            <w:vAlign w:val="bottom"/>
            <w:gridSpan w:val="2"/>
          </w:tcPr>
          <w:p>
            <w:pPr>
              <w:jc w:val="right"/>
              <w:ind w:right="120"/>
              <w:spacing w:after="0" w:line="216" w:lineRule="exact"/>
              <w:rPr>
                <w:sz w:val="20"/>
                <w:szCs w:val="20"/>
                <w:color w:val="auto"/>
              </w:rPr>
            </w:pPr>
            <w:r>
              <w:rPr>
                <w:rFonts w:ascii="Calibri" w:cs="Calibri" w:eastAsia="Calibri" w:hAnsi="Calibri"/>
                <w:sz w:val="18"/>
                <w:szCs w:val="18"/>
                <w:color w:val="51555C"/>
              </w:rPr>
              <w:t>liabilites $</w:t>
            </w:r>
          </w:p>
        </w:tc>
        <w:tc>
          <w:tcPr>
            <w:tcW w:w="1280" w:type="dxa"/>
            <w:vAlign w:val="bottom"/>
            <w:gridSpan w:val="2"/>
          </w:tcPr>
          <w:p>
            <w:pPr>
              <w:jc w:val="right"/>
              <w:ind w:right="79"/>
              <w:spacing w:after="0" w:line="216" w:lineRule="exact"/>
              <w:rPr>
                <w:sz w:val="20"/>
                <w:szCs w:val="20"/>
                <w:color w:val="auto"/>
              </w:rPr>
            </w:pPr>
            <w:r>
              <w:rPr>
                <w:rFonts w:ascii="Calibri" w:cs="Calibri" w:eastAsia="Calibri" w:hAnsi="Calibri"/>
                <w:sz w:val="18"/>
                <w:szCs w:val="18"/>
                <w:color w:val="51555C"/>
              </w:rPr>
              <w:t>— $</w:t>
            </w:r>
          </w:p>
        </w:tc>
        <w:tc>
          <w:tcPr>
            <w:tcW w:w="980" w:type="dxa"/>
            <w:vAlign w:val="bottom"/>
          </w:tcPr>
          <w:p>
            <w:pPr>
              <w:jc w:val="right"/>
              <w:spacing w:after="0" w:line="216" w:lineRule="exact"/>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780" w:type="dxa"/>
            <w:vAlign w:val="bottom"/>
            <w:gridSpan w:val="2"/>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2780" w:type="dxa"/>
            <w:vAlign w:val="bottom"/>
            <w:gridSpan w:val="2"/>
            <w:shd w:val="clear" w:color="auto" w:fill="EBFBFF"/>
          </w:tcPr>
          <w:p>
            <w:pPr>
              <w:ind w:left="140"/>
              <w:spacing w:after="0"/>
              <w:rPr>
                <w:sz w:val="20"/>
                <w:szCs w:val="20"/>
                <w:color w:val="auto"/>
              </w:rPr>
            </w:pPr>
            <w:r>
              <w:rPr>
                <w:rFonts w:ascii="Calibri" w:cs="Calibri" w:eastAsia="Calibri" w:hAnsi="Calibri"/>
                <w:sz w:val="18"/>
                <w:szCs w:val="18"/>
                <w:color w:val="51555C"/>
                <w:w w:val="99"/>
              </w:rPr>
              <w:t>Foreign currency forward contracts,</w:t>
            </w:r>
          </w:p>
        </w:tc>
        <w:tc>
          <w:tcPr>
            <w:tcW w:w="1920" w:type="dxa"/>
            <w:vAlign w:val="bottom"/>
            <w:gridSpan w:val="2"/>
            <w:shd w:val="clear" w:color="auto" w:fill="EBFBFF"/>
          </w:tcPr>
          <w:p>
            <w:pPr>
              <w:jc w:val="right"/>
              <w:ind w:right="240"/>
              <w:spacing w:after="0"/>
              <w:rPr>
                <w:sz w:val="20"/>
                <w:szCs w:val="20"/>
                <w:color w:val="auto"/>
              </w:rPr>
            </w:pPr>
            <w:r>
              <w:rPr>
                <w:rFonts w:ascii="Calibri" w:cs="Calibri" w:eastAsia="Calibri" w:hAnsi="Calibri"/>
                <w:sz w:val="18"/>
                <w:szCs w:val="18"/>
                <w:color w:val="51555C"/>
              </w:rPr>
              <w:t>Prepaid expenses</w:t>
            </w:r>
          </w:p>
        </w:tc>
        <w:tc>
          <w:tcPr>
            <w:tcW w:w="1020" w:type="dxa"/>
            <w:vAlign w:val="bottom"/>
            <w:shd w:val="clear" w:color="auto" w:fill="EBFBFF"/>
          </w:tcPr>
          <w:p>
            <w:pPr>
              <w:spacing w:after="0"/>
              <w:rPr>
                <w:sz w:val="23"/>
                <w:szCs w:val="23"/>
                <w:color w:val="auto"/>
              </w:rPr>
            </w:pPr>
          </w:p>
        </w:tc>
        <w:tc>
          <w:tcPr>
            <w:tcW w:w="160" w:type="dxa"/>
            <w:vAlign w:val="bottom"/>
            <w:shd w:val="clear" w:color="auto" w:fill="EBFBFF"/>
          </w:tcPr>
          <w:p>
            <w:pPr>
              <w:spacing w:after="0"/>
              <w:rPr>
                <w:sz w:val="23"/>
                <w:szCs w:val="23"/>
                <w:color w:val="auto"/>
              </w:rPr>
            </w:pPr>
          </w:p>
        </w:tc>
        <w:tc>
          <w:tcPr>
            <w:tcW w:w="1100" w:type="dxa"/>
            <w:vAlign w:val="bottom"/>
            <w:tcBorders>
              <w:right w:val="single" w:sz="8" w:color="EBFBFF"/>
            </w:tcBorders>
            <w:shd w:val="clear" w:color="auto" w:fill="EBFBFF"/>
          </w:tcPr>
          <w:p>
            <w:pPr>
              <w:spacing w:after="0"/>
              <w:rPr>
                <w:sz w:val="23"/>
                <w:szCs w:val="23"/>
                <w:color w:val="auto"/>
              </w:rPr>
            </w:pPr>
          </w:p>
        </w:tc>
        <w:tc>
          <w:tcPr>
            <w:tcW w:w="80" w:type="dxa"/>
            <w:vAlign w:val="bottom"/>
            <w:shd w:val="clear" w:color="auto" w:fill="EBFBFF"/>
          </w:tcPr>
          <w:p>
            <w:pPr>
              <w:spacing w:after="0"/>
              <w:rPr>
                <w:sz w:val="23"/>
                <w:szCs w:val="23"/>
                <w:color w:val="auto"/>
              </w:rPr>
            </w:pPr>
          </w:p>
        </w:tc>
        <w:tc>
          <w:tcPr>
            <w:tcW w:w="1920" w:type="dxa"/>
            <w:vAlign w:val="bottom"/>
            <w:gridSpan w:val="2"/>
            <w:vMerge w:val="restart"/>
            <w:shd w:val="clear" w:color="auto" w:fill="EBFBFF"/>
          </w:tcPr>
          <w:p>
            <w:pPr>
              <w:jc w:val="right"/>
              <w:ind w:right="240"/>
              <w:spacing w:after="0"/>
              <w:rPr>
                <w:sz w:val="20"/>
                <w:szCs w:val="20"/>
                <w:color w:val="auto"/>
              </w:rPr>
            </w:pPr>
            <w:r>
              <w:rPr>
                <w:rFonts w:ascii="Calibri" w:cs="Calibri" w:eastAsia="Calibri" w:hAnsi="Calibri"/>
                <w:sz w:val="18"/>
                <w:szCs w:val="18"/>
                <w:color w:val="51555C"/>
              </w:rPr>
              <w:t>Accrued expenses</w:t>
            </w:r>
          </w:p>
        </w:tc>
        <w:tc>
          <w:tcPr>
            <w:tcW w:w="1020" w:type="dxa"/>
            <w:vAlign w:val="bottom"/>
            <w:shd w:val="clear" w:color="auto" w:fill="EBFBFF"/>
          </w:tcPr>
          <w:p>
            <w:pPr>
              <w:spacing w:after="0"/>
              <w:rPr>
                <w:sz w:val="23"/>
                <w:szCs w:val="23"/>
                <w:color w:val="auto"/>
              </w:rPr>
            </w:pPr>
          </w:p>
        </w:tc>
        <w:tc>
          <w:tcPr>
            <w:tcW w:w="260" w:type="dxa"/>
            <w:vAlign w:val="bottom"/>
            <w:shd w:val="clear" w:color="auto" w:fill="EBFBFF"/>
          </w:tcPr>
          <w:p>
            <w:pPr>
              <w:spacing w:after="0"/>
              <w:rPr>
                <w:sz w:val="23"/>
                <w:szCs w:val="23"/>
                <w:color w:val="auto"/>
              </w:rPr>
            </w:pPr>
          </w:p>
        </w:tc>
        <w:tc>
          <w:tcPr>
            <w:tcW w:w="98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600" w:type="dxa"/>
            <w:vAlign w:val="bottom"/>
            <w:vMerge w:val="restart"/>
            <w:shd w:val="clear" w:color="auto" w:fill="EBFBFF"/>
          </w:tcPr>
          <w:p>
            <w:pPr>
              <w:ind w:left="140"/>
              <w:spacing w:after="0" w:line="216" w:lineRule="exact"/>
              <w:rPr>
                <w:sz w:val="20"/>
                <w:szCs w:val="20"/>
                <w:color w:val="auto"/>
              </w:rPr>
            </w:pPr>
            <w:r>
              <w:rPr>
                <w:rFonts w:ascii="Calibri" w:cs="Calibri" w:eastAsia="Calibri" w:hAnsi="Calibri"/>
                <w:sz w:val="18"/>
                <w:szCs w:val="18"/>
                <w:color w:val="51555C"/>
              </w:rPr>
              <w:t>current porton</w:t>
            </w:r>
          </w:p>
        </w:tc>
        <w:tc>
          <w:tcPr>
            <w:tcW w:w="1180" w:type="dxa"/>
            <w:vAlign w:val="bottom"/>
            <w:shd w:val="clear" w:color="auto" w:fill="EBFBFF"/>
          </w:tcPr>
          <w:p>
            <w:pPr>
              <w:spacing w:after="0"/>
              <w:rPr>
                <w:sz w:val="4"/>
                <w:szCs w:val="4"/>
                <w:color w:val="auto"/>
              </w:rPr>
            </w:pPr>
          </w:p>
        </w:tc>
        <w:tc>
          <w:tcPr>
            <w:tcW w:w="1700" w:type="dxa"/>
            <w:vAlign w:val="bottom"/>
            <w:shd w:val="clear" w:color="auto" w:fill="EBFBFF"/>
          </w:tcPr>
          <w:p>
            <w:pPr>
              <w:spacing w:after="0"/>
              <w:rPr>
                <w:sz w:val="4"/>
                <w:szCs w:val="4"/>
                <w:color w:val="auto"/>
              </w:rPr>
            </w:pPr>
          </w:p>
        </w:tc>
        <w:tc>
          <w:tcPr>
            <w:tcW w:w="220" w:type="dxa"/>
            <w:vAlign w:val="bottom"/>
            <w:shd w:val="clear" w:color="auto" w:fill="EBFBFF"/>
          </w:tcPr>
          <w:p>
            <w:pPr>
              <w:spacing w:after="0"/>
              <w:rPr>
                <w:sz w:val="4"/>
                <w:szCs w:val="4"/>
                <w:color w:val="auto"/>
              </w:rPr>
            </w:pPr>
          </w:p>
        </w:tc>
        <w:tc>
          <w:tcPr>
            <w:tcW w:w="1020" w:type="dxa"/>
            <w:vAlign w:val="bottom"/>
            <w:shd w:val="clear" w:color="auto" w:fill="EBFBFF"/>
          </w:tcPr>
          <w:p>
            <w:pPr>
              <w:spacing w:after="0"/>
              <w:rPr>
                <w:sz w:val="4"/>
                <w:szCs w:val="4"/>
                <w:color w:val="auto"/>
              </w:rPr>
            </w:pPr>
          </w:p>
        </w:tc>
        <w:tc>
          <w:tcPr>
            <w:tcW w:w="160" w:type="dxa"/>
            <w:vAlign w:val="bottom"/>
            <w:shd w:val="clear" w:color="auto" w:fill="EBFBFF"/>
          </w:tcPr>
          <w:p>
            <w:pPr>
              <w:spacing w:after="0"/>
              <w:rPr>
                <w:sz w:val="4"/>
                <w:szCs w:val="4"/>
                <w:color w:val="auto"/>
              </w:rPr>
            </w:pPr>
          </w:p>
        </w:tc>
        <w:tc>
          <w:tcPr>
            <w:tcW w:w="1100" w:type="dxa"/>
            <w:vAlign w:val="bottom"/>
            <w:tcBorders>
              <w:right w:val="single" w:sz="8" w:color="EBFBFF"/>
            </w:tcBorders>
            <w:shd w:val="clear" w:color="auto" w:fill="EBFBFF"/>
          </w:tcPr>
          <w:p>
            <w:pPr>
              <w:spacing w:after="0"/>
              <w:rPr>
                <w:sz w:val="4"/>
                <w:szCs w:val="4"/>
                <w:color w:val="auto"/>
              </w:rPr>
            </w:pPr>
          </w:p>
        </w:tc>
        <w:tc>
          <w:tcPr>
            <w:tcW w:w="80" w:type="dxa"/>
            <w:vAlign w:val="bottom"/>
            <w:shd w:val="clear" w:color="auto" w:fill="EBFBFF"/>
          </w:tcPr>
          <w:p>
            <w:pPr>
              <w:spacing w:after="0"/>
              <w:rPr>
                <w:sz w:val="4"/>
                <w:szCs w:val="4"/>
                <w:color w:val="auto"/>
              </w:rPr>
            </w:pPr>
          </w:p>
        </w:tc>
        <w:tc>
          <w:tcPr>
            <w:tcW w:w="1920" w:type="dxa"/>
            <w:vAlign w:val="bottom"/>
            <w:gridSpan w:val="2"/>
            <w:vMerge w:val="continue"/>
            <w:shd w:val="clear" w:color="auto" w:fill="EBFBFF"/>
          </w:tcPr>
          <w:p>
            <w:pPr>
              <w:spacing w:after="0"/>
              <w:rPr>
                <w:sz w:val="4"/>
                <w:szCs w:val="4"/>
                <w:color w:val="auto"/>
              </w:rPr>
            </w:pPr>
          </w:p>
        </w:tc>
        <w:tc>
          <w:tcPr>
            <w:tcW w:w="1020" w:type="dxa"/>
            <w:vAlign w:val="bottom"/>
            <w:shd w:val="clear" w:color="auto" w:fill="EBFBFF"/>
          </w:tcPr>
          <w:p>
            <w:pPr>
              <w:spacing w:after="0"/>
              <w:rPr>
                <w:sz w:val="4"/>
                <w:szCs w:val="4"/>
                <w:color w:val="auto"/>
              </w:rPr>
            </w:pPr>
          </w:p>
        </w:tc>
        <w:tc>
          <w:tcPr>
            <w:tcW w:w="260" w:type="dxa"/>
            <w:vAlign w:val="bottom"/>
            <w:shd w:val="clear" w:color="auto" w:fill="EBFBFF"/>
          </w:tcPr>
          <w:p>
            <w:pPr>
              <w:spacing w:after="0"/>
              <w:rPr>
                <w:sz w:val="4"/>
                <w:szCs w:val="4"/>
                <w:color w:val="auto"/>
              </w:rPr>
            </w:pPr>
          </w:p>
        </w:tc>
        <w:tc>
          <w:tcPr>
            <w:tcW w:w="980" w:type="dxa"/>
            <w:vAlign w:val="bottom"/>
            <w:shd w:val="clear" w:color="auto" w:fill="EBFB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600" w:type="dxa"/>
            <w:vAlign w:val="bottom"/>
            <w:vMerge w:val="continue"/>
            <w:shd w:val="clear" w:color="auto" w:fill="EBFBFF"/>
          </w:tcPr>
          <w:p>
            <w:pPr>
              <w:spacing w:after="0"/>
              <w:rPr>
                <w:sz w:val="14"/>
                <w:szCs w:val="14"/>
                <w:color w:val="auto"/>
              </w:rPr>
            </w:pPr>
          </w:p>
        </w:tc>
        <w:tc>
          <w:tcPr>
            <w:tcW w:w="1180" w:type="dxa"/>
            <w:vAlign w:val="bottom"/>
            <w:shd w:val="clear" w:color="auto" w:fill="EBFBFF"/>
          </w:tcPr>
          <w:p>
            <w:pPr>
              <w:spacing w:after="0"/>
              <w:rPr>
                <w:sz w:val="14"/>
                <w:szCs w:val="14"/>
                <w:color w:val="auto"/>
              </w:rPr>
            </w:pPr>
          </w:p>
        </w:tc>
        <w:tc>
          <w:tcPr>
            <w:tcW w:w="1920" w:type="dxa"/>
            <w:vAlign w:val="bottom"/>
            <w:gridSpan w:val="2"/>
            <w:vMerge w:val="restart"/>
            <w:shd w:val="clear" w:color="auto" w:fill="EBFBFF"/>
          </w:tcPr>
          <w:p>
            <w:pPr>
              <w:jc w:val="right"/>
              <w:ind w:right="240"/>
              <w:spacing w:after="0" w:line="216" w:lineRule="exact"/>
              <w:rPr>
                <w:sz w:val="20"/>
                <w:szCs w:val="20"/>
                <w:color w:val="auto"/>
              </w:rPr>
            </w:pPr>
            <w:r>
              <w:rPr>
                <w:rFonts w:ascii="Calibri" w:cs="Calibri" w:eastAsia="Calibri" w:hAnsi="Calibri"/>
                <w:sz w:val="18"/>
                <w:szCs w:val="18"/>
                <w:color w:val="51555C"/>
              </w:rPr>
              <w:t>and other current</w:t>
            </w:r>
          </w:p>
        </w:tc>
        <w:tc>
          <w:tcPr>
            <w:tcW w:w="1020" w:type="dxa"/>
            <w:vAlign w:val="bottom"/>
            <w:shd w:val="clear" w:color="auto" w:fill="EBFBFF"/>
          </w:tcPr>
          <w:p>
            <w:pPr>
              <w:spacing w:after="0"/>
              <w:rPr>
                <w:sz w:val="14"/>
                <w:szCs w:val="14"/>
                <w:color w:val="auto"/>
              </w:rPr>
            </w:pPr>
          </w:p>
        </w:tc>
        <w:tc>
          <w:tcPr>
            <w:tcW w:w="160" w:type="dxa"/>
            <w:vAlign w:val="bottom"/>
            <w:shd w:val="clear" w:color="auto" w:fill="EBFBFF"/>
          </w:tcPr>
          <w:p>
            <w:pPr>
              <w:spacing w:after="0"/>
              <w:rPr>
                <w:sz w:val="14"/>
                <w:szCs w:val="14"/>
                <w:color w:val="auto"/>
              </w:rPr>
            </w:pPr>
          </w:p>
        </w:tc>
        <w:tc>
          <w:tcPr>
            <w:tcW w:w="1100" w:type="dxa"/>
            <w:vAlign w:val="bottom"/>
            <w:tcBorders>
              <w:right w:val="single" w:sz="8" w:color="EBFBFF"/>
            </w:tcBorders>
            <w:shd w:val="clear" w:color="auto" w:fill="EBFBFF"/>
          </w:tcPr>
          <w:p>
            <w:pPr>
              <w:spacing w:after="0"/>
              <w:rPr>
                <w:sz w:val="14"/>
                <w:szCs w:val="14"/>
                <w:color w:val="auto"/>
              </w:rPr>
            </w:pPr>
          </w:p>
        </w:tc>
        <w:tc>
          <w:tcPr>
            <w:tcW w:w="80" w:type="dxa"/>
            <w:vAlign w:val="bottom"/>
            <w:shd w:val="clear" w:color="auto" w:fill="EBFBFF"/>
          </w:tcPr>
          <w:p>
            <w:pPr>
              <w:spacing w:after="0"/>
              <w:rPr>
                <w:sz w:val="14"/>
                <w:szCs w:val="14"/>
                <w:color w:val="auto"/>
              </w:rPr>
            </w:pPr>
          </w:p>
        </w:tc>
        <w:tc>
          <w:tcPr>
            <w:tcW w:w="1920" w:type="dxa"/>
            <w:vAlign w:val="bottom"/>
            <w:gridSpan w:val="2"/>
            <w:vMerge w:val="restart"/>
            <w:shd w:val="clear" w:color="auto" w:fill="EBFBFF"/>
          </w:tcPr>
          <w:p>
            <w:pPr>
              <w:jc w:val="right"/>
              <w:ind w:right="240"/>
              <w:spacing w:after="0" w:line="216" w:lineRule="exact"/>
              <w:rPr>
                <w:sz w:val="20"/>
                <w:szCs w:val="20"/>
                <w:color w:val="auto"/>
              </w:rPr>
            </w:pPr>
            <w:r>
              <w:rPr>
                <w:rFonts w:ascii="Calibri" w:cs="Calibri" w:eastAsia="Calibri" w:hAnsi="Calibri"/>
                <w:sz w:val="18"/>
                <w:szCs w:val="18"/>
                <w:color w:val="51555C"/>
              </w:rPr>
              <w:t>and other</w:t>
            </w:r>
          </w:p>
        </w:tc>
        <w:tc>
          <w:tcPr>
            <w:tcW w:w="1020" w:type="dxa"/>
            <w:vAlign w:val="bottom"/>
            <w:shd w:val="clear" w:color="auto" w:fill="EBFBFF"/>
          </w:tcPr>
          <w:p>
            <w:pPr>
              <w:spacing w:after="0"/>
              <w:rPr>
                <w:sz w:val="14"/>
                <w:szCs w:val="14"/>
                <w:color w:val="auto"/>
              </w:rPr>
            </w:pPr>
          </w:p>
        </w:tc>
        <w:tc>
          <w:tcPr>
            <w:tcW w:w="260" w:type="dxa"/>
            <w:vAlign w:val="bottom"/>
            <w:shd w:val="clear" w:color="auto" w:fill="EBFBFF"/>
          </w:tcPr>
          <w:p>
            <w:pPr>
              <w:spacing w:after="0"/>
              <w:rPr>
                <w:sz w:val="14"/>
                <w:szCs w:val="14"/>
                <w:color w:val="auto"/>
              </w:rPr>
            </w:pPr>
          </w:p>
        </w:tc>
        <w:tc>
          <w:tcPr>
            <w:tcW w:w="980" w:type="dxa"/>
            <w:vAlign w:val="bottom"/>
            <w:shd w:val="clear" w:color="auto" w:fill="EBFB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600" w:type="dxa"/>
            <w:vAlign w:val="bottom"/>
            <w:shd w:val="clear" w:color="auto" w:fill="EBFBFF"/>
          </w:tcPr>
          <w:p>
            <w:pPr>
              <w:spacing w:after="0"/>
              <w:rPr>
                <w:sz w:val="4"/>
                <w:szCs w:val="4"/>
                <w:color w:val="auto"/>
              </w:rPr>
            </w:pPr>
          </w:p>
        </w:tc>
        <w:tc>
          <w:tcPr>
            <w:tcW w:w="1180" w:type="dxa"/>
            <w:vAlign w:val="bottom"/>
            <w:shd w:val="clear" w:color="auto" w:fill="EBFBFF"/>
          </w:tcPr>
          <w:p>
            <w:pPr>
              <w:spacing w:after="0"/>
              <w:rPr>
                <w:sz w:val="4"/>
                <w:szCs w:val="4"/>
                <w:color w:val="auto"/>
              </w:rPr>
            </w:pPr>
          </w:p>
        </w:tc>
        <w:tc>
          <w:tcPr>
            <w:tcW w:w="1920" w:type="dxa"/>
            <w:vAlign w:val="bottom"/>
            <w:gridSpan w:val="2"/>
            <w:vMerge w:val="continue"/>
            <w:shd w:val="clear" w:color="auto" w:fill="EBFBFF"/>
          </w:tcPr>
          <w:p>
            <w:pPr>
              <w:spacing w:after="0"/>
              <w:rPr>
                <w:sz w:val="4"/>
                <w:szCs w:val="4"/>
                <w:color w:val="auto"/>
              </w:rPr>
            </w:pPr>
          </w:p>
        </w:tc>
        <w:tc>
          <w:tcPr>
            <w:tcW w:w="1020" w:type="dxa"/>
            <w:vAlign w:val="bottom"/>
            <w:shd w:val="clear" w:color="auto" w:fill="EBFBFF"/>
          </w:tcPr>
          <w:p>
            <w:pPr>
              <w:spacing w:after="0"/>
              <w:rPr>
                <w:sz w:val="4"/>
                <w:szCs w:val="4"/>
                <w:color w:val="auto"/>
              </w:rPr>
            </w:pPr>
          </w:p>
        </w:tc>
        <w:tc>
          <w:tcPr>
            <w:tcW w:w="160" w:type="dxa"/>
            <w:vAlign w:val="bottom"/>
            <w:shd w:val="clear" w:color="auto" w:fill="EBFBFF"/>
          </w:tcPr>
          <w:p>
            <w:pPr>
              <w:spacing w:after="0"/>
              <w:rPr>
                <w:sz w:val="4"/>
                <w:szCs w:val="4"/>
                <w:color w:val="auto"/>
              </w:rPr>
            </w:pPr>
          </w:p>
        </w:tc>
        <w:tc>
          <w:tcPr>
            <w:tcW w:w="1100" w:type="dxa"/>
            <w:vAlign w:val="bottom"/>
            <w:tcBorders>
              <w:right w:val="single" w:sz="8" w:color="EBFBFF"/>
            </w:tcBorders>
            <w:shd w:val="clear" w:color="auto" w:fill="EBFBFF"/>
          </w:tcPr>
          <w:p>
            <w:pPr>
              <w:spacing w:after="0"/>
              <w:rPr>
                <w:sz w:val="4"/>
                <w:szCs w:val="4"/>
                <w:color w:val="auto"/>
              </w:rPr>
            </w:pPr>
          </w:p>
        </w:tc>
        <w:tc>
          <w:tcPr>
            <w:tcW w:w="80" w:type="dxa"/>
            <w:vAlign w:val="bottom"/>
            <w:shd w:val="clear" w:color="auto" w:fill="EBFBFF"/>
          </w:tcPr>
          <w:p>
            <w:pPr>
              <w:spacing w:after="0"/>
              <w:rPr>
                <w:sz w:val="4"/>
                <w:szCs w:val="4"/>
                <w:color w:val="auto"/>
              </w:rPr>
            </w:pPr>
          </w:p>
        </w:tc>
        <w:tc>
          <w:tcPr>
            <w:tcW w:w="1920" w:type="dxa"/>
            <w:vAlign w:val="bottom"/>
            <w:gridSpan w:val="2"/>
            <w:vMerge w:val="continue"/>
            <w:shd w:val="clear" w:color="auto" w:fill="EBFBFF"/>
          </w:tcPr>
          <w:p>
            <w:pPr>
              <w:spacing w:after="0"/>
              <w:rPr>
                <w:sz w:val="4"/>
                <w:szCs w:val="4"/>
                <w:color w:val="auto"/>
              </w:rPr>
            </w:pPr>
          </w:p>
        </w:tc>
        <w:tc>
          <w:tcPr>
            <w:tcW w:w="1020" w:type="dxa"/>
            <w:vAlign w:val="bottom"/>
            <w:shd w:val="clear" w:color="auto" w:fill="EBFBFF"/>
          </w:tcPr>
          <w:p>
            <w:pPr>
              <w:spacing w:after="0"/>
              <w:rPr>
                <w:sz w:val="4"/>
                <w:szCs w:val="4"/>
                <w:color w:val="auto"/>
              </w:rPr>
            </w:pPr>
          </w:p>
        </w:tc>
        <w:tc>
          <w:tcPr>
            <w:tcW w:w="260" w:type="dxa"/>
            <w:vAlign w:val="bottom"/>
            <w:shd w:val="clear" w:color="auto" w:fill="EBFBFF"/>
          </w:tcPr>
          <w:p>
            <w:pPr>
              <w:spacing w:after="0"/>
              <w:rPr>
                <w:sz w:val="4"/>
                <w:szCs w:val="4"/>
                <w:color w:val="auto"/>
              </w:rPr>
            </w:pPr>
          </w:p>
        </w:tc>
        <w:tc>
          <w:tcPr>
            <w:tcW w:w="980" w:type="dxa"/>
            <w:vAlign w:val="bottom"/>
            <w:shd w:val="clear" w:color="auto" w:fill="EBFB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160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spacing w:after="0"/>
              <w:rPr>
                <w:sz w:val="21"/>
                <w:szCs w:val="21"/>
                <w:color w:val="auto"/>
              </w:rPr>
            </w:pPr>
          </w:p>
        </w:tc>
        <w:tc>
          <w:tcPr>
            <w:tcW w:w="1920" w:type="dxa"/>
            <w:vAlign w:val="bottom"/>
            <w:tcBorders>
              <w:bottom w:val="single" w:sz="8" w:color="EBFBFF"/>
            </w:tcBorders>
            <w:gridSpan w:val="2"/>
            <w:shd w:val="clear" w:color="auto" w:fill="EBFBFF"/>
          </w:tcPr>
          <w:p>
            <w:pPr>
              <w:jc w:val="right"/>
              <w:ind w:right="240"/>
              <w:spacing w:after="0" w:line="216" w:lineRule="exact"/>
              <w:rPr>
                <w:sz w:val="20"/>
                <w:szCs w:val="20"/>
                <w:color w:val="auto"/>
              </w:rPr>
            </w:pPr>
            <w:r>
              <w:rPr>
                <w:rFonts w:ascii="Calibri" w:cs="Calibri" w:eastAsia="Calibri" w:hAnsi="Calibri"/>
                <w:sz w:val="18"/>
                <w:szCs w:val="18"/>
                <w:color w:val="51555C"/>
              </w:rPr>
              <w:t>assets</w:t>
            </w:r>
          </w:p>
        </w:tc>
        <w:tc>
          <w:tcPr>
            <w:tcW w:w="102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81</w:t>
            </w:r>
          </w:p>
        </w:tc>
        <w:tc>
          <w:tcPr>
            <w:tcW w:w="16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right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w:t>
            </w:r>
          </w:p>
        </w:tc>
        <w:tc>
          <w:tcPr>
            <w:tcW w:w="80" w:type="dxa"/>
            <w:vAlign w:val="bottom"/>
            <w:tcBorders>
              <w:bottom w:val="single" w:sz="8" w:color="EBFBFF"/>
            </w:tcBorders>
            <w:shd w:val="clear" w:color="auto" w:fill="EBFBFF"/>
          </w:tcPr>
          <w:p>
            <w:pPr>
              <w:spacing w:after="0"/>
              <w:rPr>
                <w:sz w:val="21"/>
                <w:szCs w:val="21"/>
                <w:color w:val="auto"/>
              </w:rPr>
            </w:pPr>
          </w:p>
        </w:tc>
        <w:tc>
          <w:tcPr>
            <w:tcW w:w="1920" w:type="dxa"/>
            <w:vAlign w:val="bottom"/>
            <w:tcBorders>
              <w:bottom w:val="single" w:sz="8" w:color="EBFBFF"/>
            </w:tcBorders>
            <w:gridSpan w:val="2"/>
            <w:shd w:val="clear" w:color="auto" w:fill="EBFBFF"/>
          </w:tcPr>
          <w:p>
            <w:pPr>
              <w:jc w:val="right"/>
              <w:ind w:right="240"/>
              <w:spacing w:after="0" w:line="216" w:lineRule="exact"/>
              <w:rPr>
                <w:sz w:val="20"/>
                <w:szCs w:val="20"/>
                <w:color w:val="auto"/>
              </w:rPr>
            </w:pPr>
            <w:r>
              <w:rPr>
                <w:rFonts w:ascii="Calibri" w:cs="Calibri" w:eastAsia="Calibri" w:hAnsi="Calibri"/>
                <w:sz w:val="18"/>
                <w:szCs w:val="18"/>
                <w:color w:val="51555C"/>
              </w:rPr>
              <w:t>current liabilites</w:t>
            </w:r>
          </w:p>
        </w:tc>
        <w:tc>
          <w:tcPr>
            <w:tcW w:w="102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504</w:t>
            </w:r>
          </w:p>
        </w:tc>
        <w:tc>
          <w:tcPr>
            <w:tcW w:w="26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536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780" w:type="dxa"/>
            <w:vAlign w:val="bottom"/>
            <w:gridSpan w:val="2"/>
          </w:tcPr>
          <w:p>
            <w:pPr>
              <w:ind w:left="140"/>
              <w:spacing w:after="0"/>
              <w:rPr>
                <w:sz w:val="20"/>
                <w:szCs w:val="20"/>
                <w:color w:val="auto"/>
              </w:rPr>
            </w:pPr>
            <w:r>
              <w:rPr>
                <w:rFonts w:ascii="Calibri" w:cs="Calibri" w:eastAsia="Calibri" w:hAnsi="Calibri"/>
                <w:sz w:val="18"/>
                <w:szCs w:val="18"/>
                <w:color w:val="51555C"/>
              </w:rPr>
              <w:t>Interest rate swaps, long-term</w:t>
            </w:r>
          </w:p>
        </w:tc>
        <w:tc>
          <w:tcPr>
            <w:tcW w:w="1920" w:type="dxa"/>
            <w:vAlign w:val="bottom"/>
            <w:gridSpan w:val="2"/>
          </w:tcPr>
          <w:p>
            <w:pPr>
              <w:jc w:val="right"/>
              <w:ind w:right="240"/>
              <w:spacing w:after="0"/>
              <w:rPr>
                <w:sz w:val="20"/>
                <w:szCs w:val="20"/>
                <w:color w:val="auto"/>
              </w:rPr>
            </w:pPr>
            <w:r>
              <w:rPr>
                <w:rFonts w:ascii="Calibri" w:cs="Calibri" w:eastAsia="Calibri" w:hAnsi="Calibri"/>
                <w:sz w:val="18"/>
                <w:szCs w:val="18"/>
                <w:color w:val="51555C"/>
              </w:rPr>
              <w:t>Other assets</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80" w:type="dxa"/>
            <w:vAlign w:val="bottom"/>
          </w:tcPr>
          <w:p>
            <w:pPr>
              <w:spacing w:after="0"/>
              <w:rPr>
                <w:sz w:val="23"/>
                <w:szCs w:val="23"/>
                <w:color w:val="auto"/>
              </w:rPr>
            </w:pPr>
          </w:p>
        </w:tc>
        <w:tc>
          <w:tcPr>
            <w:tcW w:w="1920" w:type="dxa"/>
            <w:vAlign w:val="bottom"/>
            <w:gridSpan w:val="2"/>
          </w:tcPr>
          <w:p>
            <w:pPr>
              <w:jc w:val="right"/>
              <w:ind w:right="240"/>
              <w:spacing w:after="0"/>
              <w:rPr>
                <w:sz w:val="20"/>
                <w:szCs w:val="20"/>
                <w:color w:val="auto"/>
              </w:rPr>
            </w:pPr>
            <w:r>
              <w:rPr>
                <w:rFonts w:ascii="Calibri" w:cs="Calibri" w:eastAsia="Calibri" w:hAnsi="Calibri"/>
                <w:sz w:val="18"/>
                <w:szCs w:val="18"/>
                <w:color w:val="51555C"/>
              </w:rPr>
              <w:t>Other liabilites</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5,490</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5,004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2780" w:type="dxa"/>
            <w:vAlign w:val="bottom"/>
            <w:tcBorders>
              <w:bottom w:val="single" w:sz="8" w:color="EBFBFF"/>
            </w:tcBorders>
            <w:gridSpan w:val="2"/>
          </w:tcPr>
          <w:p>
            <w:pPr>
              <w:spacing w:after="0"/>
              <w:rPr>
                <w:sz w:val="4"/>
                <w:szCs w:val="4"/>
                <w:color w:val="auto"/>
              </w:rPr>
            </w:pPr>
          </w:p>
        </w:tc>
        <w:tc>
          <w:tcPr>
            <w:tcW w:w="1700" w:type="dxa"/>
            <w:vAlign w:val="bottom"/>
            <w:tcBorders>
              <w:bottom w:val="single" w:sz="8" w:color="EBFBFF"/>
            </w:tcBorders>
          </w:tcPr>
          <w:p>
            <w:pPr>
              <w:spacing w:after="0"/>
              <w:rPr>
                <w:sz w:val="4"/>
                <w:szCs w:val="4"/>
                <w:color w:val="auto"/>
              </w:rPr>
            </w:pPr>
          </w:p>
        </w:tc>
        <w:tc>
          <w:tcPr>
            <w:tcW w:w="22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100" w:type="dxa"/>
            <w:vAlign w:val="bottom"/>
            <w:tcBorders>
              <w:bottom w:val="single" w:sz="8" w:color="51555C"/>
            </w:tcBorders>
          </w:tcPr>
          <w:p>
            <w:pPr>
              <w:spacing w:after="0"/>
              <w:rPr>
                <w:sz w:val="4"/>
                <w:szCs w:val="4"/>
                <w:color w:val="auto"/>
              </w:rPr>
            </w:pPr>
          </w:p>
        </w:tc>
        <w:tc>
          <w:tcPr>
            <w:tcW w:w="80" w:type="dxa"/>
            <w:vAlign w:val="bottom"/>
            <w:tcBorders>
              <w:bottom w:val="single" w:sz="8" w:color="EBFBFF"/>
            </w:tcBorders>
          </w:tcPr>
          <w:p>
            <w:pPr>
              <w:spacing w:after="0"/>
              <w:rPr>
                <w:sz w:val="4"/>
                <w:szCs w:val="4"/>
                <w:color w:val="auto"/>
              </w:rPr>
            </w:pPr>
          </w:p>
        </w:tc>
        <w:tc>
          <w:tcPr>
            <w:tcW w:w="1700" w:type="dxa"/>
            <w:vAlign w:val="bottom"/>
            <w:tcBorders>
              <w:bottom w:val="single" w:sz="8" w:color="EBFBFF"/>
            </w:tcBorders>
          </w:tcPr>
          <w:p>
            <w:pPr>
              <w:spacing w:after="0"/>
              <w:rPr>
                <w:sz w:val="4"/>
                <w:szCs w:val="4"/>
                <w:color w:val="auto"/>
              </w:rPr>
            </w:pPr>
          </w:p>
        </w:tc>
        <w:tc>
          <w:tcPr>
            <w:tcW w:w="22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780" w:type="dxa"/>
            <w:vAlign w:val="bottom"/>
            <w:gridSpan w:val="2"/>
            <w:shd w:val="clear" w:color="auto" w:fill="EBFBFF"/>
          </w:tcPr>
          <w:p>
            <w:pPr>
              <w:ind w:left="20"/>
              <w:spacing w:after="0" w:line="199" w:lineRule="exact"/>
              <w:rPr>
                <w:sz w:val="20"/>
                <w:szCs w:val="20"/>
                <w:color w:val="auto"/>
              </w:rPr>
            </w:pPr>
            <w:r>
              <w:rPr>
                <w:rFonts w:ascii="Calibri" w:cs="Calibri" w:eastAsia="Calibri" w:hAnsi="Calibri"/>
                <w:sz w:val="18"/>
                <w:szCs w:val="18"/>
                <w:b w:val="1"/>
                <w:bCs w:val="1"/>
                <w:color w:val="51555C"/>
              </w:rPr>
              <w:t>Total derivatve instruments</w:t>
            </w:r>
          </w:p>
        </w:tc>
        <w:tc>
          <w:tcPr>
            <w:tcW w:w="1700" w:type="dxa"/>
            <w:vAlign w:val="bottom"/>
            <w:shd w:val="clear" w:color="auto" w:fill="EBFBFF"/>
          </w:tcPr>
          <w:p>
            <w:pPr>
              <w:spacing w:after="0"/>
              <w:rPr>
                <w:sz w:val="17"/>
                <w:szCs w:val="17"/>
                <w:color w:val="auto"/>
              </w:rPr>
            </w:pPr>
          </w:p>
        </w:tc>
        <w:tc>
          <w:tcPr>
            <w:tcW w:w="220" w:type="dxa"/>
            <w:vAlign w:val="bottom"/>
            <w:shd w:val="clear" w:color="auto" w:fill="EBFBFF"/>
          </w:tcPr>
          <w:p>
            <w:pPr>
              <w:spacing w:after="0"/>
              <w:rPr>
                <w:sz w:val="17"/>
                <w:szCs w:val="17"/>
                <w:color w:val="auto"/>
              </w:rPr>
            </w:pPr>
          </w:p>
        </w:tc>
        <w:tc>
          <w:tcPr>
            <w:tcW w:w="1020" w:type="dxa"/>
            <w:vAlign w:val="bottom"/>
            <w:shd w:val="clear" w:color="auto" w:fill="EBFBFF"/>
          </w:tcPr>
          <w:p>
            <w:pPr>
              <w:spacing w:after="0"/>
              <w:rPr>
                <w:sz w:val="17"/>
                <w:szCs w:val="17"/>
                <w:color w:val="auto"/>
              </w:rPr>
            </w:pPr>
          </w:p>
        </w:tc>
        <w:tc>
          <w:tcPr>
            <w:tcW w:w="160" w:type="dxa"/>
            <w:vAlign w:val="bottom"/>
            <w:shd w:val="clear" w:color="auto" w:fill="EBFBFF"/>
          </w:tcPr>
          <w:p>
            <w:pPr>
              <w:spacing w:after="0"/>
              <w:rPr>
                <w:sz w:val="17"/>
                <w:szCs w:val="17"/>
                <w:color w:val="auto"/>
              </w:rPr>
            </w:pPr>
          </w:p>
        </w:tc>
        <w:tc>
          <w:tcPr>
            <w:tcW w:w="1100" w:type="dxa"/>
            <w:vAlign w:val="bottom"/>
            <w:tcBorders>
              <w:right w:val="single" w:sz="8" w:color="EBFBFF"/>
            </w:tcBorders>
            <w:shd w:val="clear" w:color="auto" w:fill="EBFBFF"/>
          </w:tcPr>
          <w:p>
            <w:pPr>
              <w:spacing w:after="0"/>
              <w:rPr>
                <w:sz w:val="17"/>
                <w:szCs w:val="17"/>
                <w:color w:val="auto"/>
              </w:rPr>
            </w:pPr>
          </w:p>
        </w:tc>
        <w:tc>
          <w:tcPr>
            <w:tcW w:w="80" w:type="dxa"/>
            <w:vAlign w:val="bottom"/>
            <w:shd w:val="clear" w:color="auto" w:fill="EBFBFF"/>
          </w:tcPr>
          <w:p>
            <w:pPr>
              <w:spacing w:after="0"/>
              <w:rPr>
                <w:sz w:val="17"/>
                <w:szCs w:val="17"/>
                <w:color w:val="auto"/>
              </w:rPr>
            </w:pPr>
          </w:p>
        </w:tc>
        <w:tc>
          <w:tcPr>
            <w:tcW w:w="1700" w:type="dxa"/>
            <w:vAlign w:val="bottom"/>
            <w:shd w:val="clear" w:color="auto" w:fill="EBFBFF"/>
          </w:tcPr>
          <w:p>
            <w:pPr>
              <w:spacing w:after="0"/>
              <w:rPr>
                <w:sz w:val="17"/>
                <w:szCs w:val="17"/>
                <w:color w:val="auto"/>
              </w:rPr>
            </w:pPr>
          </w:p>
        </w:tc>
        <w:tc>
          <w:tcPr>
            <w:tcW w:w="220" w:type="dxa"/>
            <w:vAlign w:val="bottom"/>
            <w:shd w:val="clear" w:color="auto" w:fill="EBFBFF"/>
          </w:tcPr>
          <w:p>
            <w:pPr>
              <w:spacing w:after="0"/>
              <w:rPr>
                <w:sz w:val="17"/>
                <w:szCs w:val="17"/>
                <w:color w:val="auto"/>
              </w:rPr>
            </w:pPr>
          </w:p>
        </w:tc>
        <w:tc>
          <w:tcPr>
            <w:tcW w:w="1020" w:type="dxa"/>
            <w:vAlign w:val="bottom"/>
            <w:shd w:val="clear" w:color="auto" w:fill="EBFBFF"/>
          </w:tcPr>
          <w:p>
            <w:pPr>
              <w:spacing w:after="0"/>
              <w:rPr>
                <w:sz w:val="17"/>
                <w:szCs w:val="17"/>
                <w:color w:val="auto"/>
              </w:rPr>
            </w:pPr>
          </w:p>
        </w:tc>
        <w:tc>
          <w:tcPr>
            <w:tcW w:w="260" w:type="dxa"/>
            <w:vAlign w:val="bottom"/>
            <w:shd w:val="clear" w:color="auto" w:fill="EBFBFF"/>
          </w:tcPr>
          <w:p>
            <w:pPr>
              <w:spacing w:after="0"/>
              <w:rPr>
                <w:sz w:val="17"/>
                <w:szCs w:val="17"/>
                <w:color w:val="auto"/>
              </w:rPr>
            </w:pPr>
          </w:p>
        </w:tc>
        <w:tc>
          <w:tcPr>
            <w:tcW w:w="98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780" w:type="dxa"/>
            <w:vAlign w:val="bottom"/>
            <w:tcBorders>
              <w:bottom w:val="single" w:sz="8" w:color="EBFBFF"/>
            </w:tcBorders>
            <w:gridSpan w:val="2"/>
            <w:shd w:val="clear" w:color="auto" w:fill="EBFBFF"/>
          </w:tcPr>
          <w:p>
            <w:pPr>
              <w:ind w:left="20"/>
              <w:spacing w:after="0" w:line="216" w:lineRule="exact"/>
              <w:rPr>
                <w:sz w:val="20"/>
                <w:szCs w:val="20"/>
                <w:color w:val="auto"/>
              </w:rPr>
            </w:pPr>
            <w:r>
              <w:rPr>
                <w:rFonts w:ascii="Calibri" w:cs="Calibri" w:eastAsia="Calibri" w:hAnsi="Calibri"/>
                <w:sz w:val="18"/>
                <w:szCs w:val="18"/>
                <w:b w:val="1"/>
                <w:bCs w:val="1"/>
                <w:color w:val="51555C"/>
              </w:rPr>
              <w:t>designated as hedging instruments</w:t>
            </w:r>
          </w:p>
        </w:tc>
        <w:tc>
          <w:tcPr>
            <w:tcW w:w="1920" w:type="dxa"/>
            <w:vAlign w:val="bottom"/>
            <w:tcBorders>
              <w:bottom w:val="single" w:sz="8" w:color="EBFBFF"/>
            </w:tcBorders>
            <w:gridSpan w:val="2"/>
            <w:shd w:val="clear" w:color="auto" w:fill="EBFBFF"/>
          </w:tcPr>
          <w:p>
            <w:pPr>
              <w:jc w:val="right"/>
              <w:ind w:right="120"/>
              <w:spacing w:after="0" w:line="216" w:lineRule="exact"/>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1,753</w:t>
            </w:r>
          </w:p>
        </w:tc>
        <w:tc>
          <w:tcPr>
            <w:tcW w:w="16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w w:val="87"/>
              </w:rPr>
              <w:t>$</w:t>
            </w:r>
          </w:p>
        </w:tc>
        <w:tc>
          <w:tcPr>
            <w:tcW w:w="1100" w:type="dxa"/>
            <w:vAlign w:val="bottom"/>
            <w:tcBorders>
              <w:bottom w:val="single" w:sz="8" w:color="EBFBFF"/>
              <w:right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16,198</w:t>
            </w:r>
          </w:p>
        </w:tc>
        <w:tc>
          <w:tcPr>
            <w:tcW w:w="2000" w:type="dxa"/>
            <w:vAlign w:val="bottom"/>
            <w:tcBorders>
              <w:bottom w:val="single" w:sz="8" w:color="EBFBFF"/>
            </w:tcBorders>
            <w:gridSpan w:val="3"/>
            <w:shd w:val="clear" w:color="auto" w:fill="EBFBFF"/>
          </w:tcPr>
          <w:p>
            <w:pPr>
              <w:jc w:val="right"/>
              <w:ind w:right="120"/>
              <w:spacing w:after="0" w:line="216" w:lineRule="exact"/>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5,994</w:t>
            </w:r>
          </w:p>
        </w:tc>
        <w:tc>
          <w:tcPr>
            <w:tcW w:w="260" w:type="dxa"/>
            <w:vAlign w:val="bottom"/>
            <w:tcBorders>
              <w:bottom w:val="single" w:sz="8" w:color="EBFBFF"/>
            </w:tcBorders>
            <w:shd w:val="clear" w:color="auto" w:fill="EBFBFF"/>
          </w:tcPr>
          <w:p>
            <w:pPr>
              <w:jc w:val="right"/>
              <w:ind w:right="79"/>
              <w:spacing w:after="0" w:line="216" w:lineRule="exact"/>
              <w:rPr>
                <w:sz w:val="20"/>
                <w:szCs w:val="20"/>
                <w:color w:val="auto"/>
              </w:rPr>
            </w:pPr>
            <w:r>
              <w:rPr>
                <w:rFonts w:ascii="Calibri" w:cs="Calibri" w:eastAsia="Calibri" w:hAnsi="Calibri"/>
                <w:sz w:val="18"/>
                <w:szCs w:val="18"/>
                <w:color w:val="51555C"/>
                <w:w w:val="87"/>
              </w:rPr>
              <w:t>$</w:t>
            </w:r>
          </w:p>
        </w:tc>
        <w:tc>
          <w:tcPr>
            <w:tcW w:w="98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5,540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8"/>
        </w:trPr>
        <w:tc>
          <w:tcPr>
            <w:tcW w:w="1600" w:type="dxa"/>
            <w:vAlign w:val="bottom"/>
            <w:tcBorders>
              <w:top w:val="single" w:sz="8" w:color="0CD973"/>
            </w:tcBorders>
          </w:tcPr>
          <w:p>
            <w:pPr>
              <w:ind w:left="20"/>
              <w:spacing w:after="0"/>
              <w:rPr>
                <w:sz w:val="20"/>
                <w:szCs w:val="20"/>
                <w:color w:val="auto"/>
              </w:rPr>
            </w:pPr>
            <w:r>
              <w:rPr>
                <w:rFonts w:ascii="Calibri" w:cs="Calibri" w:eastAsia="Calibri" w:hAnsi="Calibri"/>
                <w:sz w:val="14"/>
                <w:szCs w:val="14"/>
                <w:color w:val="51555C"/>
              </w:rPr>
              <w:t>16</w:t>
            </w:r>
          </w:p>
        </w:tc>
        <w:tc>
          <w:tcPr>
            <w:tcW w:w="3100" w:type="dxa"/>
            <w:vAlign w:val="bottom"/>
            <w:tcBorders>
              <w:top w:val="single" w:sz="8" w:color="0CD973"/>
            </w:tcBorders>
            <w:gridSpan w:val="3"/>
          </w:tcPr>
          <w:p>
            <w:pPr>
              <w:jc w:val="right"/>
              <w:ind w:right="1280"/>
              <w:spacing w:after="0"/>
              <w:rPr>
                <w:sz w:val="20"/>
                <w:szCs w:val="20"/>
                <w:color w:val="auto"/>
              </w:rPr>
            </w:pPr>
            <w:r>
              <w:rPr>
                <w:rFonts w:ascii="Calibri" w:cs="Calibri" w:eastAsia="Calibri" w:hAnsi="Calibri"/>
                <w:sz w:val="14"/>
                <w:szCs w:val="14"/>
                <w:color w:val="51555C"/>
              </w:rPr>
              <w:t>Third Quarter 2024 Form 10-Q</w:t>
            </w:r>
          </w:p>
        </w:tc>
        <w:tc>
          <w:tcPr>
            <w:tcW w:w="1020" w:type="dxa"/>
            <w:vAlign w:val="bottom"/>
            <w:tcBorders>
              <w:top w:val="single" w:sz="8" w:color="0CD973"/>
            </w:tcBorders>
          </w:tcPr>
          <w:p>
            <w:pPr>
              <w:spacing w:after="0"/>
              <w:rPr>
                <w:sz w:val="24"/>
                <w:szCs w:val="24"/>
                <w:color w:val="auto"/>
              </w:rPr>
            </w:pPr>
          </w:p>
        </w:tc>
        <w:tc>
          <w:tcPr>
            <w:tcW w:w="160" w:type="dxa"/>
            <w:vAlign w:val="bottom"/>
            <w:tcBorders>
              <w:top w:val="single" w:sz="8" w:color="0CD973"/>
            </w:tcBorders>
          </w:tcPr>
          <w:p>
            <w:pPr>
              <w:spacing w:after="0"/>
              <w:rPr>
                <w:sz w:val="24"/>
                <w:szCs w:val="24"/>
                <w:color w:val="auto"/>
              </w:rPr>
            </w:pPr>
          </w:p>
        </w:tc>
        <w:tc>
          <w:tcPr>
            <w:tcW w:w="1100" w:type="dxa"/>
            <w:vAlign w:val="bottom"/>
            <w:tcBorders>
              <w:top w:val="single" w:sz="8" w:color="0CD973"/>
            </w:tcBorders>
          </w:tcPr>
          <w:p>
            <w:pPr>
              <w:spacing w:after="0"/>
              <w:rPr>
                <w:sz w:val="24"/>
                <w:szCs w:val="24"/>
                <w:color w:val="auto"/>
              </w:rPr>
            </w:pPr>
          </w:p>
        </w:tc>
        <w:tc>
          <w:tcPr>
            <w:tcW w:w="80" w:type="dxa"/>
            <w:vAlign w:val="bottom"/>
            <w:tcBorders>
              <w:top w:val="single" w:sz="8" w:color="0CD973"/>
            </w:tcBorders>
          </w:tcPr>
          <w:p>
            <w:pPr>
              <w:spacing w:after="0"/>
              <w:rPr>
                <w:sz w:val="24"/>
                <w:szCs w:val="24"/>
                <w:color w:val="auto"/>
              </w:rPr>
            </w:pPr>
          </w:p>
        </w:tc>
        <w:tc>
          <w:tcPr>
            <w:tcW w:w="1700" w:type="dxa"/>
            <w:vAlign w:val="bottom"/>
            <w:tcBorders>
              <w:top w:val="single" w:sz="8" w:color="0CD973"/>
            </w:tcBorders>
          </w:tcPr>
          <w:p>
            <w:pPr>
              <w:spacing w:after="0"/>
              <w:rPr>
                <w:sz w:val="24"/>
                <w:szCs w:val="24"/>
                <w:color w:val="auto"/>
              </w:rPr>
            </w:pPr>
          </w:p>
        </w:tc>
        <w:tc>
          <w:tcPr>
            <w:tcW w:w="220" w:type="dxa"/>
            <w:vAlign w:val="bottom"/>
            <w:tcBorders>
              <w:top w:val="single" w:sz="8" w:color="0CD973"/>
            </w:tcBorders>
          </w:tcPr>
          <w:p>
            <w:pPr>
              <w:spacing w:after="0"/>
              <w:rPr>
                <w:sz w:val="24"/>
                <w:szCs w:val="24"/>
                <w:color w:val="auto"/>
              </w:rPr>
            </w:pPr>
          </w:p>
        </w:tc>
        <w:tc>
          <w:tcPr>
            <w:tcW w:w="1020" w:type="dxa"/>
            <w:vAlign w:val="bottom"/>
            <w:tcBorders>
              <w:top w:val="single" w:sz="8" w:color="0CD973"/>
            </w:tcBorders>
          </w:tcPr>
          <w:p>
            <w:pPr>
              <w:spacing w:after="0"/>
              <w:rPr>
                <w:sz w:val="24"/>
                <w:szCs w:val="24"/>
                <w:color w:val="auto"/>
              </w:rPr>
            </w:pPr>
          </w:p>
        </w:tc>
        <w:tc>
          <w:tcPr>
            <w:tcW w:w="260" w:type="dxa"/>
            <w:vAlign w:val="bottom"/>
            <w:tcBorders>
              <w:top w:val="single" w:sz="8" w:color="0CD973"/>
            </w:tcBorders>
          </w:tcPr>
          <w:p>
            <w:pPr>
              <w:spacing w:after="0"/>
              <w:rPr>
                <w:sz w:val="24"/>
                <w:szCs w:val="24"/>
                <w:color w:val="auto"/>
              </w:rPr>
            </w:pPr>
          </w:p>
        </w:tc>
        <w:tc>
          <w:tcPr>
            <w:tcW w:w="98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6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-2716530</wp:posOffset>
            </wp:positionV>
            <wp:extent cx="15855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85595"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-2716530</wp:posOffset>
            </wp:positionV>
            <wp:extent cx="15855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855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-367665</wp:posOffset>
            </wp:positionV>
            <wp:extent cx="65151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alibri" w:cs="Calibri" w:eastAsia="Calibri" w:hAnsi="Calibri"/>
          <w:sz w:val="18"/>
          <w:szCs w:val="18"/>
          <w:color w:val="51555C"/>
        </w:rPr>
        <w:t>The efects of derivatve instruments in cash fow and net investment hedging relatonships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40" w:type="dxa"/>
            <w:vAlign w:val="bottom"/>
            <w:shd w:val="clear" w:color="auto" w:fill="004054"/>
          </w:tcPr>
          <w:p>
            <w:pPr>
              <w:spacing w:after="0"/>
              <w:rPr>
                <w:sz w:val="20"/>
                <w:szCs w:val="20"/>
                <w:color w:val="auto"/>
              </w:rPr>
            </w:pPr>
          </w:p>
        </w:tc>
        <w:tc>
          <w:tcPr>
            <w:tcW w:w="280" w:type="dxa"/>
            <w:vAlign w:val="bottom"/>
            <w:shd w:val="clear" w:color="auto" w:fill="004054"/>
          </w:tcPr>
          <w:p>
            <w:pPr>
              <w:spacing w:after="0"/>
              <w:rPr>
                <w:sz w:val="20"/>
                <w:szCs w:val="20"/>
                <w:color w:val="auto"/>
              </w:rPr>
            </w:pPr>
          </w:p>
        </w:tc>
        <w:tc>
          <w:tcPr>
            <w:tcW w:w="148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(Loss) gain recognized</w:t>
            </w:r>
          </w:p>
        </w:tc>
        <w:tc>
          <w:tcPr>
            <w:tcW w:w="17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Locaton</w:t>
            </w:r>
          </w:p>
        </w:tc>
        <w:tc>
          <w:tcPr>
            <w:tcW w:w="420" w:type="dxa"/>
            <w:vAlign w:val="bottom"/>
            <w:shd w:val="clear" w:color="auto" w:fill="004054"/>
          </w:tcPr>
          <w:p>
            <w:pPr>
              <w:spacing w:after="0"/>
              <w:rPr>
                <w:sz w:val="20"/>
                <w:szCs w:val="20"/>
                <w:color w:val="auto"/>
              </w:rPr>
            </w:pPr>
          </w:p>
        </w:tc>
        <w:tc>
          <w:tcPr>
            <w:tcW w:w="1580" w:type="dxa"/>
            <w:vAlign w:val="bottom"/>
            <w:shd w:val="clear" w:color="auto" w:fill="004054"/>
          </w:tcPr>
          <w:p>
            <w:pPr>
              <w:spacing w:after="0"/>
              <w:rPr>
                <w:sz w:val="20"/>
                <w:szCs w:val="20"/>
                <w:color w:val="auto"/>
              </w:rPr>
            </w:pPr>
          </w:p>
        </w:tc>
        <w:tc>
          <w:tcPr>
            <w:tcW w:w="80" w:type="dxa"/>
            <w:vAlign w:val="bottom"/>
            <w:shd w:val="clear" w:color="auto" w:fill="004054"/>
          </w:tcPr>
          <w:p>
            <w:pPr>
              <w:spacing w:after="0"/>
              <w:rPr>
                <w:sz w:val="20"/>
                <w:szCs w:val="20"/>
                <w:color w:val="auto"/>
              </w:rPr>
            </w:pPr>
          </w:p>
        </w:tc>
        <w:tc>
          <w:tcPr>
            <w:tcW w:w="440" w:type="dxa"/>
            <w:vAlign w:val="bottom"/>
            <w:shd w:val="clear" w:color="auto" w:fill="004054"/>
          </w:tcPr>
          <w:p>
            <w:pPr>
              <w:spacing w:after="0"/>
              <w:rPr>
                <w:sz w:val="20"/>
                <w:szCs w:val="20"/>
                <w:color w:val="auto"/>
              </w:rPr>
            </w:pPr>
          </w:p>
        </w:tc>
        <w:tc>
          <w:tcPr>
            <w:tcW w:w="154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640" w:type="dxa"/>
            <w:vAlign w:val="bottom"/>
            <w:shd w:val="clear" w:color="auto" w:fill="004054"/>
          </w:tcPr>
          <w:p>
            <w:pPr>
              <w:spacing w:after="0"/>
              <w:rPr>
                <w:sz w:val="9"/>
                <w:szCs w:val="9"/>
                <w:color w:val="auto"/>
              </w:rPr>
            </w:pPr>
          </w:p>
        </w:tc>
        <w:tc>
          <w:tcPr>
            <w:tcW w:w="280" w:type="dxa"/>
            <w:vAlign w:val="bottom"/>
            <w:shd w:val="clear" w:color="auto" w:fill="004054"/>
          </w:tcPr>
          <w:p>
            <w:pPr>
              <w:spacing w:after="0"/>
              <w:rPr>
                <w:sz w:val="9"/>
                <w:szCs w:val="9"/>
                <w:color w:val="auto"/>
              </w:rPr>
            </w:pPr>
          </w:p>
        </w:tc>
        <w:tc>
          <w:tcPr>
            <w:tcW w:w="1480" w:type="dxa"/>
            <w:vAlign w:val="bottom"/>
            <w:vMerge w:val="continue"/>
            <w:shd w:val="clear" w:color="auto" w:fill="004054"/>
          </w:tcPr>
          <w:p>
            <w:pPr>
              <w:spacing w:after="0"/>
              <w:rPr>
                <w:sz w:val="9"/>
                <w:szCs w:val="9"/>
                <w:color w:val="auto"/>
              </w:rPr>
            </w:pPr>
          </w:p>
        </w:tc>
        <w:tc>
          <w:tcPr>
            <w:tcW w:w="1780" w:type="dxa"/>
            <w:vAlign w:val="bottom"/>
            <w:vMerge w:val="restart"/>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of (loss) gain</w:t>
            </w:r>
          </w:p>
        </w:tc>
        <w:tc>
          <w:tcPr>
            <w:tcW w:w="420" w:type="dxa"/>
            <w:vAlign w:val="bottom"/>
            <w:shd w:val="clear" w:color="auto" w:fill="004054"/>
          </w:tcPr>
          <w:p>
            <w:pPr>
              <w:spacing w:after="0"/>
              <w:rPr>
                <w:sz w:val="9"/>
                <w:szCs w:val="9"/>
                <w:color w:val="auto"/>
              </w:rPr>
            </w:pPr>
          </w:p>
        </w:tc>
        <w:tc>
          <w:tcPr>
            <w:tcW w:w="1580" w:type="dxa"/>
            <w:vAlign w:val="bottom"/>
            <w:shd w:val="clear" w:color="auto" w:fill="004054"/>
          </w:tcPr>
          <w:p>
            <w:pPr>
              <w:spacing w:after="0"/>
              <w:rPr>
                <w:sz w:val="9"/>
                <w:szCs w:val="9"/>
                <w:color w:val="auto"/>
              </w:rPr>
            </w:pPr>
          </w:p>
        </w:tc>
        <w:tc>
          <w:tcPr>
            <w:tcW w:w="80" w:type="dxa"/>
            <w:vAlign w:val="bottom"/>
            <w:shd w:val="clear" w:color="auto" w:fill="004054"/>
          </w:tcPr>
          <w:p>
            <w:pPr>
              <w:spacing w:after="0"/>
              <w:rPr>
                <w:sz w:val="9"/>
                <w:szCs w:val="9"/>
                <w:color w:val="auto"/>
              </w:rPr>
            </w:pPr>
          </w:p>
        </w:tc>
        <w:tc>
          <w:tcPr>
            <w:tcW w:w="440" w:type="dxa"/>
            <w:vAlign w:val="bottom"/>
            <w:shd w:val="clear" w:color="auto" w:fill="004054"/>
          </w:tcPr>
          <w:p>
            <w:pPr>
              <w:spacing w:after="0"/>
              <w:rPr>
                <w:sz w:val="9"/>
                <w:szCs w:val="9"/>
                <w:color w:val="auto"/>
              </w:rPr>
            </w:pPr>
          </w:p>
        </w:tc>
        <w:tc>
          <w:tcPr>
            <w:tcW w:w="1540" w:type="dxa"/>
            <w:vAlign w:val="bottom"/>
            <w:shd w:val="clear" w:color="auto" w:fill="004054"/>
          </w:tcPr>
          <w:p>
            <w:pPr>
              <w:spacing w:after="0"/>
              <w:rPr>
                <w:sz w:val="9"/>
                <w:szCs w:val="9"/>
                <w:color w:val="auto"/>
              </w:rPr>
            </w:pPr>
          </w:p>
        </w:tc>
        <w:tc>
          <w:tcPr>
            <w:tcW w:w="20" w:type="dxa"/>
            <w:vAlign w:val="bottom"/>
            <w:shd w:val="clear" w:color="auto" w:fill="004054"/>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640" w:type="dxa"/>
            <w:vAlign w:val="bottom"/>
            <w:shd w:val="clear" w:color="auto" w:fill="004054"/>
          </w:tcPr>
          <w:p>
            <w:pPr>
              <w:spacing w:after="0"/>
              <w:rPr>
                <w:sz w:val="5"/>
                <w:szCs w:val="5"/>
                <w:color w:val="auto"/>
              </w:rPr>
            </w:pPr>
          </w:p>
        </w:tc>
        <w:tc>
          <w:tcPr>
            <w:tcW w:w="280" w:type="dxa"/>
            <w:vAlign w:val="bottom"/>
            <w:shd w:val="clear" w:color="auto" w:fill="004054"/>
          </w:tcPr>
          <w:p>
            <w:pPr>
              <w:spacing w:after="0"/>
              <w:rPr>
                <w:sz w:val="5"/>
                <w:szCs w:val="5"/>
                <w:color w:val="auto"/>
              </w:rPr>
            </w:pPr>
          </w:p>
        </w:tc>
        <w:tc>
          <w:tcPr>
            <w:tcW w:w="148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 accumulated other</w:t>
            </w:r>
          </w:p>
        </w:tc>
        <w:tc>
          <w:tcPr>
            <w:tcW w:w="1780" w:type="dxa"/>
            <w:vAlign w:val="bottom"/>
            <w:vMerge w:val="continue"/>
            <w:shd w:val="clear" w:color="auto" w:fill="004054"/>
          </w:tcPr>
          <w:p>
            <w:pPr>
              <w:spacing w:after="0"/>
              <w:rPr>
                <w:sz w:val="5"/>
                <w:szCs w:val="5"/>
                <w:color w:val="auto"/>
              </w:rPr>
            </w:pPr>
          </w:p>
        </w:tc>
        <w:tc>
          <w:tcPr>
            <w:tcW w:w="420" w:type="dxa"/>
            <w:vAlign w:val="bottom"/>
            <w:shd w:val="clear" w:color="auto" w:fill="004054"/>
          </w:tcPr>
          <w:p>
            <w:pPr>
              <w:spacing w:after="0"/>
              <w:rPr>
                <w:sz w:val="5"/>
                <w:szCs w:val="5"/>
                <w:color w:val="auto"/>
              </w:rPr>
            </w:pPr>
          </w:p>
        </w:tc>
        <w:tc>
          <w:tcPr>
            <w:tcW w:w="1580" w:type="dxa"/>
            <w:vAlign w:val="bottom"/>
            <w:shd w:val="clear" w:color="auto" w:fill="004054"/>
          </w:tcPr>
          <w:p>
            <w:pPr>
              <w:spacing w:after="0"/>
              <w:rPr>
                <w:sz w:val="5"/>
                <w:szCs w:val="5"/>
                <w:color w:val="auto"/>
              </w:rPr>
            </w:pPr>
          </w:p>
        </w:tc>
        <w:tc>
          <w:tcPr>
            <w:tcW w:w="80" w:type="dxa"/>
            <w:vAlign w:val="bottom"/>
            <w:shd w:val="clear" w:color="auto" w:fill="004054"/>
          </w:tcPr>
          <w:p>
            <w:pPr>
              <w:spacing w:after="0"/>
              <w:rPr>
                <w:sz w:val="5"/>
                <w:szCs w:val="5"/>
                <w:color w:val="auto"/>
              </w:rPr>
            </w:pPr>
          </w:p>
        </w:tc>
        <w:tc>
          <w:tcPr>
            <w:tcW w:w="440" w:type="dxa"/>
            <w:vAlign w:val="bottom"/>
            <w:shd w:val="clear" w:color="auto" w:fill="004054"/>
          </w:tcPr>
          <w:p>
            <w:pPr>
              <w:spacing w:after="0"/>
              <w:rPr>
                <w:sz w:val="5"/>
                <w:szCs w:val="5"/>
                <w:color w:val="auto"/>
              </w:rPr>
            </w:pPr>
          </w:p>
        </w:tc>
        <w:tc>
          <w:tcPr>
            <w:tcW w:w="154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3640" w:type="dxa"/>
            <w:vAlign w:val="bottom"/>
            <w:shd w:val="clear" w:color="auto" w:fill="004054"/>
          </w:tcPr>
          <w:p>
            <w:pPr>
              <w:spacing w:after="0"/>
              <w:rPr>
                <w:sz w:val="10"/>
                <w:szCs w:val="10"/>
                <w:color w:val="auto"/>
              </w:rPr>
            </w:pPr>
          </w:p>
        </w:tc>
        <w:tc>
          <w:tcPr>
            <w:tcW w:w="280" w:type="dxa"/>
            <w:vAlign w:val="bottom"/>
            <w:shd w:val="clear" w:color="auto" w:fill="004054"/>
          </w:tcPr>
          <w:p>
            <w:pPr>
              <w:spacing w:after="0"/>
              <w:rPr>
                <w:sz w:val="10"/>
                <w:szCs w:val="10"/>
                <w:color w:val="auto"/>
              </w:rPr>
            </w:pPr>
          </w:p>
        </w:tc>
        <w:tc>
          <w:tcPr>
            <w:tcW w:w="1480" w:type="dxa"/>
            <w:vAlign w:val="bottom"/>
            <w:vMerge w:val="continue"/>
            <w:shd w:val="clear" w:color="auto" w:fill="004054"/>
          </w:tcPr>
          <w:p>
            <w:pPr>
              <w:spacing w:after="0"/>
              <w:rPr>
                <w:sz w:val="10"/>
                <w:szCs w:val="10"/>
                <w:color w:val="auto"/>
              </w:rPr>
            </w:pPr>
          </w:p>
        </w:tc>
        <w:tc>
          <w:tcPr>
            <w:tcW w:w="178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reclassifed from</w:t>
            </w:r>
          </w:p>
        </w:tc>
        <w:tc>
          <w:tcPr>
            <w:tcW w:w="420" w:type="dxa"/>
            <w:vAlign w:val="bottom"/>
            <w:shd w:val="clear" w:color="auto" w:fill="004054"/>
          </w:tcPr>
          <w:p>
            <w:pPr>
              <w:spacing w:after="0"/>
              <w:rPr>
                <w:sz w:val="10"/>
                <w:szCs w:val="10"/>
                <w:color w:val="auto"/>
              </w:rPr>
            </w:pPr>
          </w:p>
        </w:tc>
        <w:tc>
          <w:tcPr>
            <w:tcW w:w="1580" w:type="dxa"/>
            <w:vAlign w:val="bottom"/>
            <w:shd w:val="clear" w:color="auto" w:fill="004054"/>
          </w:tcPr>
          <w:p>
            <w:pPr>
              <w:spacing w:after="0"/>
              <w:rPr>
                <w:sz w:val="10"/>
                <w:szCs w:val="10"/>
                <w:color w:val="auto"/>
              </w:rPr>
            </w:pPr>
          </w:p>
        </w:tc>
        <w:tc>
          <w:tcPr>
            <w:tcW w:w="80" w:type="dxa"/>
            <w:vAlign w:val="bottom"/>
            <w:shd w:val="clear" w:color="auto" w:fill="004054"/>
          </w:tcPr>
          <w:p>
            <w:pPr>
              <w:spacing w:after="0"/>
              <w:rPr>
                <w:sz w:val="10"/>
                <w:szCs w:val="10"/>
                <w:color w:val="auto"/>
              </w:rPr>
            </w:pPr>
          </w:p>
        </w:tc>
        <w:tc>
          <w:tcPr>
            <w:tcW w:w="440" w:type="dxa"/>
            <w:vAlign w:val="bottom"/>
            <w:shd w:val="clear" w:color="auto" w:fill="004054"/>
          </w:tcPr>
          <w:p>
            <w:pPr>
              <w:spacing w:after="0"/>
              <w:rPr>
                <w:sz w:val="10"/>
                <w:szCs w:val="10"/>
                <w:color w:val="auto"/>
              </w:rPr>
            </w:pPr>
          </w:p>
        </w:tc>
        <w:tc>
          <w:tcPr>
            <w:tcW w:w="1540" w:type="dxa"/>
            <w:vAlign w:val="bottom"/>
            <w:shd w:val="clear" w:color="auto" w:fill="004054"/>
          </w:tcPr>
          <w:p>
            <w:pPr>
              <w:spacing w:after="0"/>
              <w:rPr>
                <w:sz w:val="10"/>
                <w:szCs w:val="10"/>
                <w:color w:val="auto"/>
              </w:rPr>
            </w:pPr>
          </w:p>
        </w:tc>
        <w:tc>
          <w:tcPr>
            <w:tcW w:w="20" w:type="dxa"/>
            <w:vAlign w:val="bottom"/>
            <w:shd w:val="clear" w:color="auto" w:fill="004054"/>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640" w:type="dxa"/>
            <w:vAlign w:val="bottom"/>
            <w:shd w:val="clear" w:color="auto" w:fill="004054"/>
          </w:tcPr>
          <w:p>
            <w:pPr>
              <w:spacing w:after="0"/>
              <w:rPr>
                <w:sz w:val="4"/>
                <w:szCs w:val="4"/>
                <w:color w:val="auto"/>
              </w:rPr>
            </w:pPr>
          </w:p>
        </w:tc>
        <w:tc>
          <w:tcPr>
            <w:tcW w:w="280" w:type="dxa"/>
            <w:vAlign w:val="bottom"/>
            <w:shd w:val="clear" w:color="auto" w:fill="004054"/>
          </w:tcPr>
          <w:p>
            <w:pPr>
              <w:spacing w:after="0"/>
              <w:rPr>
                <w:sz w:val="4"/>
                <w:szCs w:val="4"/>
                <w:color w:val="auto"/>
              </w:rPr>
            </w:pPr>
          </w:p>
        </w:tc>
        <w:tc>
          <w:tcPr>
            <w:tcW w:w="148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comprehensive</w:t>
            </w:r>
          </w:p>
        </w:tc>
        <w:tc>
          <w:tcPr>
            <w:tcW w:w="1780" w:type="dxa"/>
            <w:vAlign w:val="bottom"/>
            <w:vMerge w:val="continue"/>
            <w:shd w:val="clear" w:color="auto" w:fill="004054"/>
          </w:tcPr>
          <w:p>
            <w:pPr>
              <w:spacing w:after="0"/>
              <w:rPr>
                <w:sz w:val="4"/>
                <w:szCs w:val="4"/>
                <w:color w:val="auto"/>
              </w:rPr>
            </w:pPr>
          </w:p>
        </w:tc>
        <w:tc>
          <w:tcPr>
            <w:tcW w:w="420" w:type="dxa"/>
            <w:vAlign w:val="bottom"/>
            <w:shd w:val="clear" w:color="auto" w:fill="004054"/>
          </w:tcPr>
          <w:p>
            <w:pPr>
              <w:spacing w:after="0"/>
              <w:rPr>
                <w:sz w:val="4"/>
                <w:szCs w:val="4"/>
                <w:color w:val="auto"/>
              </w:rPr>
            </w:pPr>
          </w:p>
        </w:tc>
        <w:tc>
          <w:tcPr>
            <w:tcW w:w="3640" w:type="dxa"/>
            <w:vAlign w:val="bottom"/>
            <w:gridSpan w:val="4"/>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Gain reclassifed from accumulated</w:t>
            </w:r>
          </w:p>
        </w:tc>
        <w:tc>
          <w:tcPr>
            <w:tcW w:w="20" w:type="dxa"/>
            <w:vAlign w:val="bottom"/>
            <w:shd w:val="clear" w:color="auto" w:fill="004054"/>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3640" w:type="dxa"/>
            <w:vAlign w:val="bottom"/>
            <w:shd w:val="clear" w:color="auto" w:fill="004054"/>
          </w:tcPr>
          <w:p>
            <w:pPr>
              <w:spacing w:after="0"/>
              <w:rPr>
                <w:sz w:val="10"/>
                <w:szCs w:val="10"/>
                <w:color w:val="auto"/>
              </w:rPr>
            </w:pPr>
          </w:p>
        </w:tc>
        <w:tc>
          <w:tcPr>
            <w:tcW w:w="280" w:type="dxa"/>
            <w:vAlign w:val="bottom"/>
            <w:shd w:val="clear" w:color="auto" w:fill="004054"/>
          </w:tcPr>
          <w:p>
            <w:pPr>
              <w:spacing w:after="0"/>
              <w:rPr>
                <w:sz w:val="10"/>
                <w:szCs w:val="10"/>
                <w:color w:val="auto"/>
              </w:rPr>
            </w:pPr>
          </w:p>
        </w:tc>
        <w:tc>
          <w:tcPr>
            <w:tcW w:w="1480" w:type="dxa"/>
            <w:vAlign w:val="bottom"/>
            <w:vMerge w:val="continue"/>
            <w:shd w:val="clear" w:color="auto" w:fill="004054"/>
          </w:tcPr>
          <w:p>
            <w:pPr>
              <w:spacing w:after="0"/>
              <w:rPr>
                <w:sz w:val="10"/>
                <w:szCs w:val="10"/>
                <w:color w:val="auto"/>
              </w:rPr>
            </w:pPr>
          </w:p>
        </w:tc>
        <w:tc>
          <w:tcPr>
            <w:tcW w:w="178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accumulated other</w:t>
            </w:r>
          </w:p>
        </w:tc>
        <w:tc>
          <w:tcPr>
            <w:tcW w:w="420" w:type="dxa"/>
            <w:vAlign w:val="bottom"/>
            <w:shd w:val="clear" w:color="auto" w:fill="004054"/>
          </w:tcPr>
          <w:p>
            <w:pPr>
              <w:spacing w:after="0"/>
              <w:rPr>
                <w:sz w:val="10"/>
                <w:szCs w:val="10"/>
                <w:color w:val="auto"/>
              </w:rPr>
            </w:pPr>
          </w:p>
        </w:tc>
        <w:tc>
          <w:tcPr>
            <w:tcW w:w="3640" w:type="dxa"/>
            <w:vAlign w:val="bottom"/>
            <w:gridSpan w:val="4"/>
            <w:vMerge w:val="continue"/>
            <w:shd w:val="clear" w:color="auto" w:fill="004054"/>
          </w:tcPr>
          <w:p>
            <w:pPr>
              <w:spacing w:after="0"/>
              <w:rPr>
                <w:sz w:val="10"/>
                <w:szCs w:val="10"/>
                <w:color w:val="auto"/>
              </w:rPr>
            </w:pPr>
          </w:p>
        </w:tc>
        <w:tc>
          <w:tcPr>
            <w:tcW w:w="20" w:type="dxa"/>
            <w:vAlign w:val="bottom"/>
            <w:shd w:val="clear" w:color="auto" w:fill="004054"/>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3640" w:type="dxa"/>
            <w:vAlign w:val="bottom"/>
            <w:shd w:val="clear" w:color="auto" w:fill="004054"/>
          </w:tcPr>
          <w:p>
            <w:pPr>
              <w:spacing w:after="0"/>
              <w:rPr>
                <w:sz w:val="5"/>
                <w:szCs w:val="5"/>
                <w:color w:val="auto"/>
              </w:rPr>
            </w:pPr>
          </w:p>
        </w:tc>
        <w:tc>
          <w:tcPr>
            <w:tcW w:w="280" w:type="dxa"/>
            <w:vAlign w:val="bottom"/>
            <w:shd w:val="clear" w:color="auto" w:fill="004054"/>
          </w:tcPr>
          <w:p>
            <w:pPr>
              <w:spacing w:after="0"/>
              <w:rPr>
                <w:sz w:val="5"/>
                <w:szCs w:val="5"/>
                <w:color w:val="auto"/>
              </w:rPr>
            </w:pPr>
          </w:p>
        </w:tc>
        <w:tc>
          <w:tcPr>
            <w:tcW w:w="148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loss as of</w:t>
            </w:r>
          </w:p>
        </w:tc>
        <w:tc>
          <w:tcPr>
            <w:tcW w:w="1780" w:type="dxa"/>
            <w:vAlign w:val="bottom"/>
            <w:vMerge w:val="continue"/>
            <w:shd w:val="clear" w:color="auto" w:fill="004054"/>
          </w:tcPr>
          <w:p>
            <w:pPr>
              <w:spacing w:after="0"/>
              <w:rPr>
                <w:sz w:val="5"/>
                <w:szCs w:val="5"/>
                <w:color w:val="auto"/>
              </w:rPr>
            </w:pPr>
          </w:p>
        </w:tc>
        <w:tc>
          <w:tcPr>
            <w:tcW w:w="420" w:type="dxa"/>
            <w:vAlign w:val="bottom"/>
            <w:shd w:val="clear" w:color="auto" w:fill="004054"/>
          </w:tcPr>
          <w:p>
            <w:pPr>
              <w:spacing w:after="0"/>
              <w:rPr>
                <w:sz w:val="5"/>
                <w:szCs w:val="5"/>
                <w:color w:val="auto"/>
              </w:rPr>
            </w:pPr>
          </w:p>
        </w:tc>
        <w:tc>
          <w:tcPr>
            <w:tcW w:w="3640" w:type="dxa"/>
            <w:vAlign w:val="bottom"/>
            <w:gridSpan w:val="4"/>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other comprehensive loss into income (loss)</w:t>
            </w: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640" w:type="dxa"/>
            <w:vAlign w:val="bottom"/>
            <w:tcBorders>
              <w:bottom w:val="single" w:sz="8" w:color="004054"/>
            </w:tcBorders>
            <w:shd w:val="clear" w:color="auto" w:fill="004054"/>
          </w:tcPr>
          <w:p>
            <w:pPr>
              <w:spacing w:after="0"/>
              <w:rPr>
                <w:sz w:val="12"/>
                <w:szCs w:val="12"/>
                <w:color w:val="auto"/>
              </w:rPr>
            </w:pPr>
          </w:p>
        </w:tc>
        <w:tc>
          <w:tcPr>
            <w:tcW w:w="280" w:type="dxa"/>
            <w:vAlign w:val="bottom"/>
            <w:tcBorders>
              <w:bottom w:val="single" w:sz="8" w:color="004054"/>
            </w:tcBorders>
            <w:shd w:val="clear" w:color="auto" w:fill="004054"/>
          </w:tcPr>
          <w:p>
            <w:pPr>
              <w:spacing w:after="0"/>
              <w:rPr>
                <w:sz w:val="12"/>
                <w:szCs w:val="12"/>
                <w:color w:val="auto"/>
              </w:rPr>
            </w:pPr>
          </w:p>
        </w:tc>
        <w:tc>
          <w:tcPr>
            <w:tcW w:w="1480" w:type="dxa"/>
            <w:vAlign w:val="bottom"/>
            <w:tcBorders>
              <w:bottom w:val="single" w:sz="8" w:color="004054"/>
            </w:tcBorders>
            <w:vMerge w:val="continue"/>
            <w:shd w:val="clear" w:color="auto" w:fill="004054"/>
          </w:tcPr>
          <w:p>
            <w:pPr>
              <w:spacing w:after="0"/>
              <w:rPr>
                <w:sz w:val="12"/>
                <w:szCs w:val="12"/>
                <w:color w:val="auto"/>
              </w:rPr>
            </w:pPr>
          </w:p>
        </w:tc>
        <w:tc>
          <w:tcPr>
            <w:tcW w:w="1780" w:type="dxa"/>
            <w:vAlign w:val="bottom"/>
            <w:tcBorders>
              <w:bottom w:val="single" w:sz="8" w:color="004054"/>
            </w:tcBorders>
            <w:shd w:val="clear" w:color="auto" w:fill="004054"/>
          </w:tcPr>
          <w:p>
            <w:pPr>
              <w:jc w:val="right"/>
              <w:spacing w:after="0" w:line="149" w:lineRule="exact"/>
              <w:rPr>
                <w:sz w:val="20"/>
                <w:szCs w:val="20"/>
                <w:color w:val="auto"/>
              </w:rPr>
            </w:pPr>
            <w:r>
              <w:rPr>
                <w:rFonts w:ascii="Calibri" w:cs="Calibri" w:eastAsia="Calibri" w:hAnsi="Calibri"/>
                <w:sz w:val="14"/>
                <w:szCs w:val="14"/>
                <w:b w:val="1"/>
                <w:bCs w:val="1"/>
                <w:color w:val="FFFFFF"/>
              </w:rPr>
              <w:t>comprehensive</w:t>
            </w:r>
          </w:p>
        </w:tc>
        <w:tc>
          <w:tcPr>
            <w:tcW w:w="420" w:type="dxa"/>
            <w:vAlign w:val="bottom"/>
            <w:tcBorders>
              <w:bottom w:val="single" w:sz="8" w:color="004054"/>
            </w:tcBorders>
            <w:shd w:val="clear" w:color="auto" w:fill="004054"/>
          </w:tcPr>
          <w:p>
            <w:pPr>
              <w:spacing w:after="0"/>
              <w:rPr>
                <w:sz w:val="12"/>
                <w:szCs w:val="12"/>
                <w:color w:val="auto"/>
              </w:rPr>
            </w:pPr>
          </w:p>
        </w:tc>
        <w:tc>
          <w:tcPr>
            <w:tcW w:w="3640" w:type="dxa"/>
            <w:vAlign w:val="bottom"/>
            <w:tcBorders>
              <w:bottom w:val="single" w:sz="8" w:color="004054"/>
            </w:tcBorders>
            <w:gridSpan w:val="4"/>
            <w:vMerge w:val="continue"/>
            <w:shd w:val="clear" w:color="auto" w:fill="004054"/>
          </w:tcPr>
          <w:p>
            <w:pPr>
              <w:spacing w:after="0"/>
              <w:rPr>
                <w:sz w:val="12"/>
                <w:szCs w:val="12"/>
                <w:color w:val="auto"/>
              </w:rPr>
            </w:pPr>
          </w:p>
        </w:tc>
        <w:tc>
          <w:tcPr>
            <w:tcW w:w="20" w:type="dxa"/>
            <w:vAlign w:val="bottom"/>
            <w:tcBorders>
              <w:bottom w:val="single" w:sz="8" w:color="004054"/>
            </w:tcBorders>
            <w:shd w:val="clear" w:color="auto" w:fill="004054"/>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40" w:type="dxa"/>
            <w:vAlign w:val="bottom"/>
            <w:shd w:val="clear" w:color="auto" w:fill="004054"/>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4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17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loss into</w:t>
            </w:r>
          </w:p>
        </w:tc>
        <w:tc>
          <w:tcPr>
            <w:tcW w:w="420" w:type="dxa"/>
            <w:vAlign w:val="bottom"/>
            <w:shd w:val="clear" w:color="auto" w:fill="004054"/>
          </w:tcPr>
          <w:p>
            <w:pPr>
              <w:spacing w:after="0"/>
              <w:rPr>
                <w:sz w:val="15"/>
                <w:szCs w:val="15"/>
                <w:color w:val="auto"/>
              </w:rPr>
            </w:pPr>
          </w:p>
        </w:tc>
        <w:tc>
          <w:tcPr>
            <w:tcW w:w="15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Three months ended</w:t>
            </w:r>
          </w:p>
        </w:tc>
        <w:tc>
          <w:tcPr>
            <w:tcW w:w="80" w:type="dxa"/>
            <w:vAlign w:val="bottom"/>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5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280" w:type="dxa"/>
            <w:vAlign w:val="bottom"/>
            <w:shd w:val="clear" w:color="auto" w:fill="004054"/>
          </w:tcPr>
          <w:p>
            <w:pPr>
              <w:spacing w:after="0"/>
              <w:rPr>
                <w:sz w:val="15"/>
                <w:szCs w:val="15"/>
                <w:color w:val="auto"/>
              </w:rPr>
            </w:pPr>
          </w:p>
        </w:tc>
        <w:tc>
          <w:tcPr>
            <w:tcW w:w="14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7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income (loss)</w:t>
            </w:r>
          </w:p>
        </w:tc>
        <w:tc>
          <w:tcPr>
            <w:tcW w:w="420" w:type="dxa"/>
            <w:vAlign w:val="bottom"/>
            <w:shd w:val="clear" w:color="auto" w:fill="004054"/>
          </w:tcPr>
          <w:p>
            <w:pPr>
              <w:spacing w:after="0"/>
              <w:rPr>
                <w:sz w:val="15"/>
                <w:szCs w:val="15"/>
                <w:color w:val="auto"/>
              </w:rPr>
            </w:pPr>
          </w:p>
        </w:tc>
        <w:tc>
          <w:tcPr>
            <w:tcW w:w="15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 2024</w:t>
            </w:r>
          </w:p>
        </w:tc>
        <w:tc>
          <w:tcPr>
            <w:tcW w:w="80" w:type="dxa"/>
            <w:vAlign w:val="bottom"/>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5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 2024</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640" w:type="dxa"/>
            <w:vAlign w:val="bottom"/>
            <w:shd w:val="clear" w:color="auto" w:fill="004054"/>
          </w:tcPr>
          <w:p>
            <w:pPr>
              <w:spacing w:after="0"/>
              <w:rPr>
                <w:sz w:val="5"/>
                <w:szCs w:val="5"/>
                <w:color w:val="auto"/>
              </w:rPr>
            </w:pPr>
          </w:p>
        </w:tc>
        <w:tc>
          <w:tcPr>
            <w:tcW w:w="280" w:type="dxa"/>
            <w:vAlign w:val="bottom"/>
            <w:shd w:val="clear" w:color="auto" w:fill="004054"/>
          </w:tcPr>
          <w:p>
            <w:pPr>
              <w:spacing w:after="0"/>
              <w:rPr>
                <w:sz w:val="5"/>
                <w:szCs w:val="5"/>
                <w:color w:val="auto"/>
              </w:rPr>
            </w:pPr>
          </w:p>
        </w:tc>
        <w:tc>
          <w:tcPr>
            <w:tcW w:w="1480" w:type="dxa"/>
            <w:vAlign w:val="bottom"/>
            <w:shd w:val="clear" w:color="auto" w:fill="004054"/>
          </w:tcPr>
          <w:p>
            <w:pPr>
              <w:spacing w:after="0"/>
              <w:rPr>
                <w:sz w:val="5"/>
                <w:szCs w:val="5"/>
                <w:color w:val="auto"/>
              </w:rPr>
            </w:pPr>
          </w:p>
        </w:tc>
        <w:tc>
          <w:tcPr>
            <w:tcW w:w="1780" w:type="dxa"/>
            <w:vAlign w:val="bottom"/>
            <w:shd w:val="clear" w:color="auto" w:fill="004054"/>
          </w:tcPr>
          <w:p>
            <w:pPr>
              <w:spacing w:after="0"/>
              <w:rPr>
                <w:sz w:val="5"/>
                <w:szCs w:val="5"/>
                <w:color w:val="auto"/>
              </w:rPr>
            </w:pPr>
          </w:p>
        </w:tc>
        <w:tc>
          <w:tcPr>
            <w:tcW w:w="420" w:type="dxa"/>
            <w:vAlign w:val="bottom"/>
            <w:shd w:val="clear" w:color="auto" w:fill="004054"/>
          </w:tcPr>
          <w:p>
            <w:pPr>
              <w:spacing w:after="0"/>
              <w:rPr>
                <w:sz w:val="5"/>
                <w:szCs w:val="5"/>
                <w:color w:val="auto"/>
              </w:rPr>
            </w:pPr>
          </w:p>
        </w:tc>
        <w:tc>
          <w:tcPr>
            <w:tcW w:w="1580" w:type="dxa"/>
            <w:vAlign w:val="bottom"/>
            <w:shd w:val="clear" w:color="auto" w:fill="004054"/>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shd w:val="clear" w:color="auto" w:fill="004054"/>
          </w:tcPr>
          <w:p>
            <w:pPr>
              <w:spacing w:after="0"/>
              <w:rPr>
                <w:sz w:val="5"/>
                <w:szCs w:val="5"/>
                <w:color w:val="auto"/>
              </w:rPr>
            </w:pPr>
          </w:p>
        </w:tc>
        <w:tc>
          <w:tcPr>
            <w:tcW w:w="154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Cash Flow Hedges</w:t>
            </w:r>
          </w:p>
        </w:tc>
        <w:tc>
          <w:tcPr>
            <w:tcW w:w="280" w:type="dxa"/>
            <w:vAlign w:val="bottom"/>
            <w:tcBorders>
              <w:bottom w:val="single" w:sz="8" w:color="EBFBFF"/>
            </w:tcBorders>
            <w:shd w:val="clear" w:color="auto" w:fill="EBFBFF"/>
          </w:tcPr>
          <w:p>
            <w:pPr>
              <w:spacing w:after="0"/>
              <w:rPr>
                <w:sz w:val="21"/>
                <w:szCs w:val="21"/>
                <w:color w:val="auto"/>
              </w:rPr>
            </w:pPr>
          </w:p>
        </w:tc>
        <w:tc>
          <w:tcPr>
            <w:tcW w:w="1480" w:type="dxa"/>
            <w:vAlign w:val="bottom"/>
            <w:tcBorders>
              <w:bottom w:val="single" w:sz="8" w:color="EBFBFF"/>
            </w:tcBorders>
            <w:shd w:val="clear" w:color="auto" w:fill="EBFBFF"/>
          </w:tcPr>
          <w:p>
            <w:pPr>
              <w:spacing w:after="0"/>
              <w:rPr>
                <w:sz w:val="21"/>
                <w:szCs w:val="21"/>
                <w:color w:val="auto"/>
              </w:rPr>
            </w:pPr>
          </w:p>
        </w:tc>
        <w:tc>
          <w:tcPr>
            <w:tcW w:w="178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1580" w:type="dxa"/>
            <w:vAlign w:val="bottom"/>
            <w:tcBorders>
              <w:bottom w:val="single" w:sz="8" w:color="EBFBFF"/>
            </w:tcBorders>
            <w:shd w:val="clear" w:color="auto" w:fill="EBFBFF"/>
          </w:tcPr>
          <w:p>
            <w:pPr>
              <w:spacing w:after="0"/>
              <w:rPr>
                <w:sz w:val="21"/>
                <w:szCs w:val="21"/>
                <w:color w:val="auto"/>
              </w:rPr>
            </w:pPr>
          </w:p>
        </w:tc>
        <w:tc>
          <w:tcPr>
            <w:tcW w:w="8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154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640" w:type="dxa"/>
            <w:vAlign w:val="bottom"/>
          </w:tcPr>
          <w:p>
            <w:pPr>
              <w:ind w:left="140"/>
              <w:spacing w:after="0"/>
              <w:rPr>
                <w:sz w:val="20"/>
                <w:szCs w:val="20"/>
                <w:color w:val="auto"/>
              </w:rPr>
            </w:pPr>
            <w:r>
              <w:rPr>
                <w:rFonts w:ascii="Calibri" w:cs="Calibri" w:eastAsia="Calibri" w:hAnsi="Calibri"/>
                <w:sz w:val="18"/>
                <w:szCs w:val="18"/>
                <w:color w:val="51555C"/>
              </w:rPr>
              <w:t>Interest rate swaps</w:t>
            </w:r>
          </w:p>
        </w:tc>
        <w:tc>
          <w:tcPr>
            <w:tcW w:w="280" w:type="dxa"/>
            <w:vAlign w:val="bottom"/>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Pr>
          <w:p>
            <w:pPr>
              <w:jc w:val="right"/>
              <w:spacing w:after="0"/>
              <w:rPr>
                <w:sz w:val="20"/>
                <w:szCs w:val="20"/>
                <w:color w:val="auto"/>
              </w:rPr>
            </w:pPr>
            <w:r>
              <w:rPr>
                <w:rFonts w:ascii="Calibri" w:cs="Calibri" w:eastAsia="Calibri" w:hAnsi="Calibri"/>
                <w:sz w:val="18"/>
                <w:szCs w:val="18"/>
                <w:color w:val="51555C"/>
              </w:rPr>
              <w:t>(3,818)</w:t>
            </w:r>
          </w:p>
        </w:tc>
        <w:tc>
          <w:tcPr>
            <w:tcW w:w="2200" w:type="dxa"/>
            <w:vAlign w:val="bottom"/>
            <w:gridSpan w:val="2"/>
          </w:tcPr>
          <w:p>
            <w:pPr>
              <w:jc w:val="right"/>
              <w:ind w:right="300"/>
              <w:spacing w:after="0"/>
              <w:rPr>
                <w:sz w:val="20"/>
                <w:szCs w:val="20"/>
                <w:color w:val="auto"/>
              </w:rPr>
            </w:pPr>
            <w:r>
              <w:rPr>
                <w:rFonts w:ascii="Calibri" w:cs="Calibri" w:eastAsia="Calibri" w:hAnsi="Calibri"/>
                <w:sz w:val="18"/>
                <w:szCs w:val="18"/>
                <w:color w:val="51555C"/>
              </w:rPr>
              <w:t>Interest expense $</w:t>
            </w:r>
          </w:p>
        </w:tc>
        <w:tc>
          <w:tcPr>
            <w:tcW w:w="1580" w:type="dxa"/>
            <w:vAlign w:val="bottom"/>
          </w:tcPr>
          <w:p>
            <w:pPr>
              <w:jc w:val="right"/>
              <w:spacing w:after="0"/>
              <w:rPr>
                <w:sz w:val="20"/>
                <w:szCs w:val="20"/>
                <w:color w:val="auto"/>
              </w:rPr>
            </w:pPr>
            <w:r>
              <w:rPr>
                <w:rFonts w:ascii="Calibri" w:cs="Calibri" w:eastAsia="Calibri" w:hAnsi="Calibri"/>
                <w:sz w:val="18"/>
                <w:szCs w:val="18"/>
                <w:color w:val="51555C"/>
              </w:rPr>
              <w:t>5,653</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Calibri" w:cs="Calibri" w:eastAsia="Calibri" w:hAnsi="Calibri"/>
                <w:sz w:val="18"/>
                <w:szCs w:val="18"/>
                <w:color w:val="51555C"/>
              </w:rPr>
              <w:t>$</w:t>
            </w:r>
          </w:p>
        </w:tc>
        <w:tc>
          <w:tcPr>
            <w:tcW w:w="1540" w:type="dxa"/>
            <w:vAlign w:val="bottom"/>
          </w:tcPr>
          <w:p>
            <w:pPr>
              <w:jc w:val="right"/>
              <w:spacing w:after="0"/>
              <w:rPr>
                <w:sz w:val="20"/>
                <w:szCs w:val="20"/>
                <w:color w:val="auto"/>
              </w:rPr>
            </w:pPr>
            <w:r>
              <w:rPr>
                <w:rFonts w:ascii="Calibri" w:cs="Calibri" w:eastAsia="Calibri" w:hAnsi="Calibri"/>
                <w:sz w:val="18"/>
                <w:szCs w:val="18"/>
                <w:color w:val="51555C"/>
              </w:rPr>
              <w:t>16,582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currency forward contracts</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21</w:t>
            </w:r>
          </w:p>
        </w:tc>
        <w:tc>
          <w:tcPr>
            <w:tcW w:w="2200" w:type="dxa"/>
            <w:vAlign w:val="bottom"/>
            <w:tcBorders>
              <w:bottom w:val="single" w:sz="8" w:color="EBFBFF"/>
            </w:tcBorders>
            <w:gridSpan w:val="2"/>
            <w:shd w:val="clear" w:color="auto" w:fill="EBFBFF"/>
          </w:tcPr>
          <w:p>
            <w:pPr>
              <w:jc w:val="right"/>
              <w:ind w:right="300"/>
              <w:spacing w:after="0"/>
              <w:rPr>
                <w:sz w:val="20"/>
                <w:szCs w:val="20"/>
                <w:color w:val="auto"/>
              </w:rPr>
            </w:pPr>
            <w:r>
              <w:rPr>
                <w:rFonts w:ascii="Calibri" w:cs="Calibri" w:eastAsia="Calibri" w:hAnsi="Calibri"/>
                <w:sz w:val="18"/>
                <w:szCs w:val="18"/>
                <w:color w:val="51555C"/>
              </w:rPr>
              <w:t>Revenue $</w:t>
            </w:r>
          </w:p>
        </w:tc>
        <w:tc>
          <w:tcPr>
            <w:tcW w:w="15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87</w:t>
            </w:r>
          </w:p>
        </w:tc>
        <w:tc>
          <w:tcPr>
            <w:tcW w:w="8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jc w:val="right"/>
              <w:ind w:right="230"/>
              <w:spacing w:after="0"/>
              <w:rPr>
                <w:sz w:val="20"/>
                <w:szCs w:val="20"/>
                <w:color w:val="auto"/>
              </w:rPr>
            </w:pPr>
            <w:r>
              <w:rPr>
                <w:rFonts w:ascii="Calibri" w:cs="Calibri" w:eastAsia="Calibri" w:hAnsi="Calibri"/>
                <w:sz w:val="18"/>
                <w:szCs w:val="18"/>
                <w:color w:val="51555C"/>
              </w:rPr>
              <w:t>$</w:t>
            </w:r>
          </w:p>
        </w:tc>
        <w:tc>
          <w:tcPr>
            <w:tcW w:w="1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640" w:type="dxa"/>
            <w:vAlign w:val="bottom"/>
          </w:tcPr>
          <w:p>
            <w:pPr>
              <w:ind w:left="20"/>
              <w:spacing w:after="0"/>
              <w:rPr>
                <w:sz w:val="20"/>
                <w:szCs w:val="20"/>
                <w:color w:val="auto"/>
              </w:rPr>
            </w:pPr>
            <w:r>
              <w:rPr>
                <w:rFonts w:ascii="Calibri" w:cs="Calibri" w:eastAsia="Calibri" w:hAnsi="Calibri"/>
                <w:sz w:val="18"/>
                <w:szCs w:val="18"/>
                <w:b w:val="1"/>
                <w:bCs w:val="1"/>
                <w:color w:val="51555C"/>
              </w:rPr>
              <w:t>Net Investment Hedges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currency forward contracts</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(444)</w:t>
            </w:r>
          </w:p>
        </w:tc>
        <w:tc>
          <w:tcPr>
            <w:tcW w:w="2200" w:type="dxa"/>
            <w:vAlign w:val="bottom"/>
            <w:tcBorders>
              <w:bottom w:val="single" w:sz="8" w:color="EBFBFF"/>
            </w:tcBorders>
            <w:gridSpan w:val="2"/>
            <w:shd w:val="clear" w:color="auto" w:fill="EBFBFF"/>
          </w:tcPr>
          <w:p>
            <w:pPr>
              <w:jc w:val="right"/>
              <w:ind w:right="300"/>
              <w:spacing w:after="0"/>
              <w:rPr>
                <w:sz w:val="20"/>
                <w:szCs w:val="20"/>
                <w:color w:val="auto"/>
              </w:rPr>
            </w:pPr>
            <w:r>
              <w:rPr>
                <w:rFonts w:ascii="Calibri" w:cs="Calibri" w:eastAsia="Calibri" w:hAnsi="Calibri"/>
                <w:sz w:val="18"/>
                <w:szCs w:val="18"/>
                <w:color w:val="51555C"/>
              </w:rPr>
              <w:t>$</w:t>
            </w:r>
          </w:p>
        </w:tc>
        <w:tc>
          <w:tcPr>
            <w:tcW w:w="1660" w:type="dxa"/>
            <w:vAlign w:val="bottom"/>
            <w:tcBorders>
              <w:bottom w:val="single" w:sz="8" w:color="EBFBFF"/>
            </w:tcBorders>
            <w:gridSpan w:val="2"/>
            <w:shd w:val="clear" w:color="auto" w:fill="EBFBFF"/>
          </w:tcPr>
          <w:p>
            <w:pPr>
              <w:jc w:val="right"/>
              <w:ind w:right="160"/>
              <w:spacing w:after="0"/>
              <w:rPr>
                <w:sz w:val="20"/>
                <w:szCs w:val="20"/>
                <w:color w:val="auto"/>
              </w:rPr>
            </w:pPr>
            <w:r>
              <w:rPr>
                <w:rFonts w:ascii="Calibri" w:cs="Calibri" w:eastAsia="Calibri" w:hAnsi="Calibri"/>
                <w:sz w:val="18"/>
                <w:szCs w:val="18"/>
                <w:color w:val="51555C"/>
              </w:rPr>
              <w:t>—</w:t>
            </w:r>
          </w:p>
        </w:tc>
        <w:tc>
          <w:tcPr>
            <w:tcW w:w="440" w:type="dxa"/>
            <w:vAlign w:val="bottom"/>
            <w:tcBorders>
              <w:bottom w:val="single" w:sz="8" w:color="EBFBFF"/>
            </w:tcBorders>
            <w:shd w:val="clear" w:color="auto" w:fill="EBFBFF"/>
          </w:tcPr>
          <w:p>
            <w:pPr>
              <w:jc w:val="right"/>
              <w:ind w:right="230"/>
              <w:spacing w:after="0"/>
              <w:rPr>
                <w:sz w:val="20"/>
                <w:szCs w:val="20"/>
                <w:color w:val="auto"/>
              </w:rPr>
            </w:pPr>
            <w:r>
              <w:rPr>
                <w:rFonts w:ascii="Calibri" w:cs="Calibri" w:eastAsia="Calibri" w:hAnsi="Calibri"/>
                <w:sz w:val="18"/>
                <w:szCs w:val="18"/>
                <w:color w:val="51555C"/>
              </w:rPr>
              <w:t>$</w:t>
            </w:r>
          </w:p>
        </w:tc>
        <w:tc>
          <w:tcPr>
            <w:tcW w:w="1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3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6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4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1780" w:type="dxa"/>
            <w:vAlign w:val="bottom"/>
          </w:tcPr>
          <w:p>
            <w:pPr>
              <w:spacing w:after="0"/>
              <w:rPr>
                <w:sz w:val="15"/>
                <w:szCs w:val="15"/>
                <w:color w:val="auto"/>
              </w:rPr>
            </w:pPr>
          </w:p>
        </w:tc>
        <w:tc>
          <w:tcPr>
            <w:tcW w:w="420" w:type="dxa"/>
            <w:vAlign w:val="bottom"/>
            <w:shd w:val="clear" w:color="auto" w:fill="004054"/>
          </w:tcPr>
          <w:p>
            <w:pPr>
              <w:spacing w:after="0"/>
              <w:rPr>
                <w:sz w:val="15"/>
                <w:szCs w:val="15"/>
                <w:color w:val="auto"/>
              </w:rPr>
            </w:pPr>
          </w:p>
        </w:tc>
        <w:tc>
          <w:tcPr>
            <w:tcW w:w="15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Three months ended</w:t>
            </w:r>
          </w:p>
        </w:tc>
        <w:tc>
          <w:tcPr>
            <w:tcW w:w="80" w:type="dxa"/>
            <w:vAlign w:val="bottom"/>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5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4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780" w:type="dxa"/>
            <w:vAlign w:val="bottom"/>
          </w:tcPr>
          <w:p>
            <w:pPr>
              <w:spacing w:after="0"/>
              <w:rPr>
                <w:sz w:val="15"/>
                <w:szCs w:val="15"/>
                <w:color w:val="auto"/>
              </w:rPr>
            </w:pPr>
          </w:p>
        </w:tc>
        <w:tc>
          <w:tcPr>
            <w:tcW w:w="420" w:type="dxa"/>
            <w:vAlign w:val="bottom"/>
            <w:shd w:val="clear" w:color="auto" w:fill="004054"/>
          </w:tcPr>
          <w:p>
            <w:pPr>
              <w:spacing w:after="0"/>
              <w:rPr>
                <w:sz w:val="15"/>
                <w:szCs w:val="15"/>
                <w:color w:val="auto"/>
              </w:rPr>
            </w:pPr>
          </w:p>
        </w:tc>
        <w:tc>
          <w:tcPr>
            <w:tcW w:w="15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 2023</w:t>
            </w:r>
          </w:p>
        </w:tc>
        <w:tc>
          <w:tcPr>
            <w:tcW w:w="80" w:type="dxa"/>
            <w:vAlign w:val="bottom"/>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5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 2023</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640" w:type="dxa"/>
            <w:vAlign w:val="bottom"/>
          </w:tcPr>
          <w:p>
            <w:pPr>
              <w:spacing w:after="0"/>
              <w:rPr>
                <w:sz w:val="5"/>
                <w:szCs w:val="5"/>
                <w:color w:val="auto"/>
              </w:rPr>
            </w:pPr>
          </w:p>
        </w:tc>
        <w:tc>
          <w:tcPr>
            <w:tcW w:w="280" w:type="dxa"/>
            <w:vAlign w:val="bottom"/>
            <w:shd w:val="clear" w:color="auto" w:fill="004054"/>
          </w:tcPr>
          <w:p>
            <w:pPr>
              <w:spacing w:after="0"/>
              <w:rPr>
                <w:sz w:val="5"/>
                <w:szCs w:val="5"/>
                <w:color w:val="auto"/>
              </w:rPr>
            </w:pPr>
          </w:p>
        </w:tc>
        <w:tc>
          <w:tcPr>
            <w:tcW w:w="1480" w:type="dxa"/>
            <w:vAlign w:val="bottom"/>
            <w:shd w:val="clear" w:color="auto" w:fill="004054"/>
          </w:tcPr>
          <w:p>
            <w:pPr>
              <w:spacing w:after="0"/>
              <w:rPr>
                <w:sz w:val="5"/>
                <w:szCs w:val="5"/>
                <w:color w:val="auto"/>
              </w:rPr>
            </w:pPr>
          </w:p>
        </w:tc>
        <w:tc>
          <w:tcPr>
            <w:tcW w:w="1780" w:type="dxa"/>
            <w:vAlign w:val="bottom"/>
          </w:tcPr>
          <w:p>
            <w:pPr>
              <w:spacing w:after="0"/>
              <w:rPr>
                <w:sz w:val="5"/>
                <w:szCs w:val="5"/>
                <w:color w:val="auto"/>
              </w:rPr>
            </w:pPr>
          </w:p>
        </w:tc>
        <w:tc>
          <w:tcPr>
            <w:tcW w:w="420" w:type="dxa"/>
            <w:vAlign w:val="bottom"/>
            <w:shd w:val="clear" w:color="auto" w:fill="004054"/>
          </w:tcPr>
          <w:p>
            <w:pPr>
              <w:spacing w:after="0"/>
              <w:rPr>
                <w:sz w:val="5"/>
                <w:szCs w:val="5"/>
                <w:color w:val="auto"/>
              </w:rPr>
            </w:pPr>
          </w:p>
        </w:tc>
        <w:tc>
          <w:tcPr>
            <w:tcW w:w="1580" w:type="dxa"/>
            <w:vAlign w:val="bottom"/>
            <w:shd w:val="clear" w:color="auto" w:fill="004054"/>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shd w:val="clear" w:color="auto" w:fill="004054"/>
          </w:tcPr>
          <w:p>
            <w:pPr>
              <w:spacing w:after="0"/>
              <w:rPr>
                <w:sz w:val="5"/>
                <w:szCs w:val="5"/>
                <w:color w:val="auto"/>
              </w:rPr>
            </w:pPr>
          </w:p>
        </w:tc>
        <w:tc>
          <w:tcPr>
            <w:tcW w:w="154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Cash Flow Hedges</w:t>
            </w:r>
          </w:p>
        </w:tc>
        <w:tc>
          <w:tcPr>
            <w:tcW w:w="280" w:type="dxa"/>
            <w:vAlign w:val="bottom"/>
            <w:tcBorders>
              <w:bottom w:val="single" w:sz="8" w:color="EBFBFF"/>
            </w:tcBorders>
            <w:shd w:val="clear" w:color="auto" w:fill="EBFBFF"/>
          </w:tcPr>
          <w:p>
            <w:pPr>
              <w:spacing w:after="0"/>
              <w:rPr>
                <w:sz w:val="21"/>
                <w:szCs w:val="21"/>
                <w:color w:val="auto"/>
              </w:rPr>
            </w:pPr>
          </w:p>
        </w:tc>
        <w:tc>
          <w:tcPr>
            <w:tcW w:w="1480" w:type="dxa"/>
            <w:vAlign w:val="bottom"/>
            <w:tcBorders>
              <w:bottom w:val="single" w:sz="8" w:color="EBFBFF"/>
            </w:tcBorders>
            <w:shd w:val="clear" w:color="auto" w:fill="EBFBFF"/>
          </w:tcPr>
          <w:p>
            <w:pPr>
              <w:spacing w:after="0"/>
              <w:rPr>
                <w:sz w:val="21"/>
                <w:szCs w:val="21"/>
                <w:color w:val="auto"/>
              </w:rPr>
            </w:pPr>
          </w:p>
        </w:tc>
        <w:tc>
          <w:tcPr>
            <w:tcW w:w="178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1580" w:type="dxa"/>
            <w:vAlign w:val="bottom"/>
            <w:tcBorders>
              <w:bottom w:val="single" w:sz="8" w:color="EBFBFF"/>
            </w:tcBorders>
            <w:shd w:val="clear" w:color="auto" w:fill="EBFBFF"/>
          </w:tcPr>
          <w:p>
            <w:pPr>
              <w:spacing w:after="0"/>
              <w:rPr>
                <w:sz w:val="21"/>
                <w:szCs w:val="21"/>
                <w:color w:val="auto"/>
              </w:rPr>
            </w:pPr>
          </w:p>
        </w:tc>
        <w:tc>
          <w:tcPr>
            <w:tcW w:w="8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154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640" w:type="dxa"/>
            <w:vAlign w:val="bottom"/>
          </w:tcPr>
          <w:p>
            <w:pPr>
              <w:ind w:left="140"/>
              <w:spacing w:after="0"/>
              <w:rPr>
                <w:sz w:val="20"/>
                <w:szCs w:val="20"/>
                <w:color w:val="auto"/>
              </w:rPr>
            </w:pPr>
            <w:r>
              <w:rPr>
                <w:rFonts w:ascii="Calibri" w:cs="Calibri" w:eastAsia="Calibri" w:hAnsi="Calibri"/>
                <w:sz w:val="18"/>
                <w:szCs w:val="18"/>
                <w:color w:val="51555C"/>
              </w:rPr>
              <w:t>Interest rate swaps</w:t>
            </w:r>
          </w:p>
        </w:tc>
        <w:tc>
          <w:tcPr>
            <w:tcW w:w="280" w:type="dxa"/>
            <w:vAlign w:val="bottom"/>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Pr>
          <w:p>
            <w:pPr>
              <w:jc w:val="right"/>
              <w:spacing w:after="0"/>
              <w:rPr>
                <w:sz w:val="20"/>
                <w:szCs w:val="20"/>
                <w:color w:val="auto"/>
              </w:rPr>
            </w:pPr>
            <w:r>
              <w:rPr>
                <w:rFonts w:ascii="Calibri" w:cs="Calibri" w:eastAsia="Calibri" w:hAnsi="Calibri"/>
                <w:sz w:val="18"/>
                <w:szCs w:val="18"/>
                <w:color w:val="51555C"/>
              </w:rPr>
              <w:t>30,359</w:t>
            </w:r>
          </w:p>
        </w:tc>
        <w:tc>
          <w:tcPr>
            <w:tcW w:w="2200" w:type="dxa"/>
            <w:vAlign w:val="bottom"/>
            <w:gridSpan w:val="2"/>
          </w:tcPr>
          <w:p>
            <w:pPr>
              <w:jc w:val="right"/>
              <w:ind w:right="300"/>
              <w:spacing w:after="0"/>
              <w:rPr>
                <w:sz w:val="20"/>
                <w:szCs w:val="20"/>
                <w:color w:val="auto"/>
              </w:rPr>
            </w:pPr>
            <w:r>
              <w:rPr>
                <w:rFonts w:ascii="Calibri" w:cs="Calibri" w:eastAsia="Calibri" w:hAnsi="Calibri"/>
                <w:sz w:val="18"/>
                <w:szCs w:val="18"/>
                <w:color w:val="51555C"/>
              </w:rPr>
              <w:t>Interest expense $</w:t>
            </w:r>
          </w:p>
        </w:tc>
        <w:tc>
          <w:tcPr>
            <w:tcW w:w="1580" w:type="dxa"/>
            <w:vAlign w:val="bottom"/>
          </w:tcPr>
          <w:p>
            <w:pPr>
              <w:jc w:val="right"/>
              <w:spacing w:after="0"/>
              <w:rPr>
                <w:sz w:val="20"/>
                <w:szCs w:val="20"/>
                <w:color w:val="auto"/>
              </w:rPr>
            </w:pPr>
            <w:r>
              <w:rPr>
                <w:rFonts w:ascii="Calibri" w:cs="Calibri" w:eastAsia="Calibri" w:hAnsi="Calibri"/>
                <w:sz w:val="18"/>
                <w:szCs w:val="18"/>
                <w:color w:val="51555C"/>
              </w:rPr>
              <w:t>5,374</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Calibri" w:cs="Calibri" w:eastAsia="Calibri" w:hAnsi="Calibri"/>
                <w:sz w:val="18"/>
                <w:szCs w:val="18"/>
                <w:color w:val="51555C"/>
              </w:rPr>
              <w:t>$</w:t>
            </w:r>
          </w:p>
        </w:tc>
        <w:tc>
          <w:tcPr>
            <w:tcW w:w="1540" w:type="dxa"/>
            <w:vAlign w:val="bottom"/>
          </w:tcPr>
          <w:p>
            <w:pPr>
              <w:jc w:val="right"/>
              <w:spacing w:after="0"/>
              <w:rPr>
                <w:sz w:val="20"/>
                <w:szCs w:val="20"/>
                <w:color w:val="auto"/>
              </w:rPr>
            </w:pPr>
            <w:r>
              <w:rPr>
                <w:rFonts w:ascii="Calibri" w:cs="Calibri" w:eastAsia="Calibri" w:hAnsi="Calibri"/>
                <w:sz w:val="18"/>
                <w:szCs w:val="18"/>
                <w:color w:val="51555C"/>
              </w:rPr>
              <w:t>14,956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3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currency forward contracts</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182</w:t>
            </w:r>
          </w:p>
        </w:tc>
        <w:tc>
          <w:tcPr>
            <w:tcW w:w="2200" w:type="dxa"/>
            <w:vAlign w:val="bottom"/>
            <w:tcBorders>
              <w:bottom w:val="single" w:sz="8" w:color="EBFBFF"/>
            </w:tcBorders>
            <w:gridSpan w:val="2"/>
            <w:shd w:val="clear" w:color="auto" w:fill="EBFBFF"/>
          </w:tcPr>
          <w:p>
            <w:pPr>
              <w:jc w:val="right"/>
              <w:ind w:right="300"/>
              <w:spacing w:after="0"/>
              <w:rPr>
                <w:sz w:val="20"/>
                <w:szCs w:val="20"/>
                <w:color w:val="auto"/>
              </w:rPr>
            </w:pPr>
            <w:r>
              <w:rPr>
                <w:rFonts w:ascii="Calibri" w:cs="Calibri" w:eastAsia="Calibri" w:hAnsi="Calibri"/>
                <w:sz w:val="18"/>
                <w:szCs w:val="18"/>
                <w:color w:val="51555C"/>
              </w:rPr>
              <w:t>Revenue $</w:t>
            </w:r>
          </w:p>
        </w:tc>
        <w:tc>
          <w:tcPr>
            <w:tcW w:w="15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82</w:t>
            </w:r>
          </w:p>
        </w:tc>
        <w:tc>
          <w:tcPr>
            <w:tcW w:w="8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jc w:val="right"/>
              <w:ind w:right="230"/>
              <w:spacing w:after="0"/>
              <w:rPr>
                <w:sz w:val="20"/>
                <w:szCs w:val="20"/>
                <w:color w:val="auto"/>
              </w:rPr>
            </w:pPr>
            <w:r>
              <w:rPr>
                <w:rFonts w:ascii="Calibri" w:cs="Calibri" w:eastAsia="Calibri" w:hAnsi="Calibri"/>
                <w:sz w:val="18"/>
                <w:szCs w:val="18"/>
                <w:color w:val="51555C"/>
              </w:rPr>
              <w:t>$</w:t>
            </w:r>
          </w:p>
        </w:tc>
        <w:tc>
          <w:tcPr>
            <w:tcW w:w="1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640" w:type="dxa"/>
            <w:vAlign w:val="bottom"/>
          </w:tcPr>
          <w:p>
            <w:pPr>
              <w:ind w:left="20"/>
              <w:spacing w:after="0"/>
              <w:rPr>
                <w:sz w:val="20"/>
                <w:szCs w:val="20"/>
                <w:color w:val="auto"/>
              </w:rPr>
            </w:pPr>
            <w:r>
              <w:rPr>
                <w:rFonts w:ascii="Calibri" w:cs="Calibri" w:eastAsia="Calibri" w:hAnsi="Calibri"/>
                <w:sz w:val="18"/>
                <w:szCs w:val="18"/>
                <w:b w:val="1"/>
                <w:bCs w:val="1"/>
                <w:color w:val="51555C"/>
              </w:rPr>
              <w:t>Net Investment Hedges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3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currency forward contracts</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251</w:t>
            </w:r>
          </w:p>
        </w:tc>
        <w:tc>
          <w:tcPr>
            <w:tcW w:w="2200" w:type="dxa"/>
            <w:vAlign w:val="bottom"/>
            <w:tcBorders>
              <w:bottom w:val="single" w:sz="8" w:color="EBFBFF"/>
            </w:tcBorders>
            <w:gridSpan w:val="2"/>
            <w:shd w:val="clear" w:color="auto" w:fill="EBFBFF"/>
          </w:tcPr>
          <w:p>
            <w:pPr>
              <w:jc w:val="right"/>
              <w:ind w:right="300"/>
              <w:spacing w:after="0"/>
              <w:rPr>
                <w:sz w:val="20"/>
                <w:szCs w:val="20"/>
                <w:color w:val="auto"/>
              </w:rPr>
            </w:pPr>
            <w:r>
              <w:rPr>
                <w:rFonts w:ascii="Calibri" w:cs="Calibri" w:eastAsia="Calibri" w:hAnsi="Calibri"/>
                <w:sz w:val="18"/>
                <w:szCs w:val="18"/>
                <w:color w:val="51555C"/>
              </w:rPr>
              <w:t>$</w:t>
            </w:r>
          </w:p>
        </w:tc>
        <w:tc>
          <w:tcPr>
            <w:tcW w:w="1660" w:type="dxa"/>
            <w:vAlign w:val="bottom"/>
            <w:tcBorders>
              <w:bottom w:val="single" w:sz="8" w:color="EBFBFF"/>
            </w:tcBorders>
            <w:gridSpan w:val="2"/>
            <w:shd w:val="clear" w:color="auto" w:fill="EBFBFF"/>
          </w:tcPr>
          <w:p>
            <w:pPr>
              <w:jc w:val="right"/>
              <w:ind w:right="160"/>
              <w:spacing w:after="0"/>
              <w:rPr>
                <w:sz w:val="20"/>
                <w:szCs w:val="20"/>
                <w:color w:val="auto"/>
              </w:rPr>
            </w:pPr>
            <w:r>
              <w:rPr>
                <w:rFonts w:ascii="Calibri" w:cs="Calibri" w:eastAsia="Calibri" w:hAnsi="Calibri"/>
                <w:sz w:val="18"/>
                <w:szCs w:val="18"/>
                <w:color w:val="51555C"/>
              </w:rPr>
              <w:t>—</w:t>
            </w:r>
          </w:p>
        </w:tc>
        <w:tc>
          <w:tcPr>
            <w:tcW w:w="440" w:type="dxa"/>
            <w:vAlign w:val="bottom"/>
            <w:tcBorders>
              <w:bottom w:val="single" w:sz="8" w:color="EBFBFF"/>
            </w:tcBorders>
            <w:shd w:val="clear" w:color="auto" w:fill="EBFBFF"/>
          </w:tcPr>
          <w:p>
            <w:pPr>
              <w:jc w:val="right"/>
              <w:ind w:right="230"/>
              <w:spacing w:after="0"/>
              <w:rPr>
                <w:sz w:val="20"/>
                <w:szCs w:val="20"/>
                <w:color w:val="auto"/>
              </w:rPr>
            </w:pPr>
            <w:r>
              <w:rPr>
                <w:rFonts w:ascii="Calibri" w:cs="Calibri" w:eastAsia="Calibri" w:hAnsi="Calibri"/>
                <w:sz w:val="18"/>
                <w:szCs w:val="18"/>
                <w:color w:val="51555C"/>
              </w:rPr>
              <w:t>$</w:t>
            </w:r>
          </w:p>
        </w:tc>
        <w:tc>
          <w:tcPr>
            <w:tcW w:w="1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1480" w:type="dxa"/>
            <w:vAlign w:val="bottom"/>
            <w:shd w:val="clear" w:color="auto" w:fill="0CD973"/>
          </w:tcPr>
          <w:p>
            <w:pPr>
              <w:spacing w:after="0" w:line="20" w:lineRule="exact"/>
              <w:rPr>
                <w:sz w:val="1"/>
                <w:szCs w:val="1"/>
                <w:color w:val="auto"/>
              </w:rPr>
            </w:pPr>
          </w:p>
        </w:tc>
        <w:tc>
          <w:tcPr>
            <w:tcW w:w="1780" w:type="dxa"/>
            <w:vAlign w:val="bottom"/>
            <w:shd w:val="clear" w:color="auto" w:fill="0CD973"/>
          </w:tcPr>
          <w:p>
            <w:pPr>
              <w:spacing w:after="0" w:line="20" w:lineRule="exact"/>
              <w:rPr>
                <w:sz w:val="1"/>
                <w:szCs w:val="1"/>
                <w:color w:val="auto"/>
              </w:rPr>
            </w:pPr>
          </w:p>
        </w:tc>
        <w:tc>
          <w:tcPr>
            <w:tcW w:w="420" w:type="dxa"/>
            <w:vAlign w:val="bottom"/>
            <w:shd w:val="clear" w:color="auto" w:fill="0CD973"/>
          </w:tcPr>
          <w:p>
            <w:pPr>
              <w:spacing w:after="0" w:line="20" w:lineRule="exact"/>
              <w:rPr>
                <w:sz w:val="1"/>
                <w:szCs w:val="1"/>
                <w:color w:val="auto"/>
              </w:rPr>
            </w:pPr>
          </w:p>
        </w:tc>
        <w:tc>
          <w:tcPr>
            <w:tcW w:w="1580" w:type="dxa"/>
            <w:vAlign w:val="bottom"/>
            <w:shd w:val="clear" w:color="auto" w:fill="0CD973"/>
          </w:tcPr>
          <w:p>
            <w:pPr>
              <w:spacing w:after="0" w:line="20" w:lineRule="exact"/>
              <w:rPr>
                <w:sz w:val="1"/>
                <w:szCs w:val="1"/>
                <w:color w:val="auto"/>
              </w:rPr>
            </w:pPr>
          </w:p>
        </w:tc>
        <w:tc>
          <w:tcPr>
            <w:tcW w:w="8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15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-1130935</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-2288540</wp:posOffset>
            </wp:positionV>
            <wp:extent cx="4834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834890" cy="8890"/>
                    </a:xfrm>
                    <a:prstGeom prst="rect">
                      <a:avLst/>
                    </a:prstGeom>
                    <a:noFill/>
                  </pic:spPr>
                </pic:pic>
              </a:graphicData>
            </a:graphic>
          </wp:anchor>
        </w:drawing>
      </w:r>
    </w:p>
    <w:p>
      <w:pPr>
        <w:spacing w:after="0" w:line="201" w:lineRule="exact"/>
        <w:rPr>
          <w:sz w:val="20"/>
          <w:szCs w:val="20"/>
          <w:color w:val="auto"/>
        </w:rPr>
      </w:pPr>
    </w:p>
    <w:p>
      <w:pPr>
        <w:jc w:val="both"/>
        <w:ind w:right="20"/>
        <w:spacing w:after="0" w:line="250" w:lineRule="auto"/>
        <w:rPr>
          <w:sz w:val="20"/>
          <w:szCs w:val="20"/>
          <w:color w:val="auto"/>
        </w:rPr>
      </w:pPr>
      <w:r>
        <w:rPr>
          <w:rFonts w:ascii="Calibri" w:cs="Calibri" w:eastAsia="Calibri" w:hAnsi="Calibri"/>
          <w:sz w:val="17"/>
          <w:szCs w:val="17"/>
          <w:color w:val="51555C"/>
        </w:rPr>
        <w:t>Our policy requires that derivatves used for hedging purposes be designated and efectve as a hedge of the identfed risk exposure at the incepton of the contract. Accumulated other comprehensive income (loss) includes unrealized gains or losses from the change in fair value measurement of our derivatve instruments each reportng period and the related income tax expense or beneft. Excluding net investment hedges, changes in the fair value measurements of the derivatve instruments and the related income tax expense or beneft are refected as adjustments to accumulated other comprehensive income (loss) untl the actual hedged expense is incurred or untl the hedge is terminated at which point the unrealized gain (loss) and related tax efects are reclassifed from accumulated other comprehensive income (loss) to current earnings. For net investment hedges, changes in the fair value measurements of the derivatve instruments and the related income tax expense or beneft are refected as adjustments to translaton adjustment, a component of accumulated other comprehensive income (loss), and recognized in earnings only when the hedged GBP investment is liquidated. The estmated accumulated other comprehensive income as of September 30, 2024 that is expected to be reclassifed into earnings within the next twelve months is $2.7 million. There were no inefectve portons of our interest rate swap or foreign currency forward derivatves during the nine months ended September 30, 2024 and 2023. See Note 11 to these unaudited, condensed consolidated fnancial statements for a summary of the changes in accumulated other comprehensive income (loss) by component. We classify cash fows related to derivatve instruments as operatng actvites in the condensed consolidated statements of cash fows.</w:t>
      </w:r>
    </w:p>
    <w:p>
      <w:pPr>
        <w:spacing w:after="0" w:line="249"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9. Commitments and Contngencies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Leases</w:t>
      </w:r>
    </w:p>
    <w:p>
      <w:pPr>
        <w:spacing w:after="0" w:line="163"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51555C"/>
        </w:rPr>
        <w:t>We have operatng leases for corporate ofces, subleased ofces and certain equipment and furniture. As of September 30, 2024, we did not have any operatng leases that had not yet commenced.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238125</wp:posOffset>
            </wp:positionV>
            <wp:extent cx="65976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17</w:t>
            </w:r>
          </w:p>
        </w:tc>
      </w:tr>
      <w:tr>
        <w:trPr>
          <w:trHeight w:val="364"/>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summarizes the components of our lease expense: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00" w:type="dxa"/>
            <w:vAlign w:val="bottom"/>
            <w:shd w:val="clear" w:color="auto" w:fill="004054"/>
          </w:tcPr>
          <w:p>
            <w:pPr>
              <w:spacing w:after="0"/>
              <w:rPr>
                <w:sz w:val="16"/>
                <w:szCs w:val="16"/>
                <w:color w:val="auto"/>
              </w:rPr>
            </w:pPr>
          </w:p>
        </w:tc>
        <w:tc>
          <w:tcPr>
            <w:tcW w:w="1850" w:type="dxa"/>
            <w:vAlign w:val="bottom"/>
            <w:shd w:val="clear" w:color="auto" w:fill="004054"/>
          </w:tcPr>
          <w:p>
            <w:pPr>
              <w:spacing w:after="0"/>
              <w:rPr>
                <w:sz w:val="16"/>
                <w:szCs w:val="16"/>
                <w:color w:val="auto"/>
              </w:rPr>
            </w:pPr>
          </w:p>
        </w:tc>
        <w:tc>
          <w:tcPr>
            <w:tcW w:w="17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Three months ended</w:t>
            </w:r>
          </w:p>
        </w:tc>
        <w:tc>
          <w:tcPr>
            <w:tcW w:w="80" w:type="dxa"/>
            <w:vAlign w:val="bottom"/>
          </w:tcPr>
          <w:p>
            <w:pPr>
              <w:spacing w:after="0"/>
              <w:rPr>
                <w:sz w:val="16"/>
                <w:szCs w:val="16"/>
                <w:color w:val="auto"/>
              </w:rPr>
            </w:pPr>
          </w:p>
        </w:tc>
        <w:tc>
          <w:tcPr>
            <w:tcW w:w="1880" w:type="dxa"/>
            <w:vAlign w:val="bottom"/>
            <w:shd w:val="clear" w:color="auto" w:fill="004054"/>
          </w:tcPr>
          <w:p>
            <w:pPr>
              <w:spacing w:after="0"/>
              <w:rPr>
                <w:sz w:val="16"/>
                <w:szCs w:val="16"/>
                <w:color w:val="auto"/>
              </w:rPr>
            </w:pPr>
          </w:p>
        </w:tc>
        <w:tc>
          <w:tcPr>
            <w:tcW w:w="17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r>
      <w:tr>
        <w:trPr>
          <w:trHeight w:val="170"/>
        </w:trPr>
        <w:tc>
          <w:tcPr>
            <w:tcW w:w="3900" w:type="dxa"/>
            <w:vAlign w:val="bottom"/>
            <w:shd w:val="clear" w:color="auto" w:fill="004054"/>
          </w:tcPr>
          <w:p>
            <w:pPr>
              <w:spacing w:after="0"/>
              <w:rPr>
                <w:sz w:val="14"/>
                <w:szCs w:val="14"/>
                <w:color w:val="auto"/>
              </w:rPr>
            </w:pPr>
          </w:p>
        </w:tc>
        <w:tc>
          <w:tcPr>
            <w:tcW w:w="1850" w:type="dxa"/>
            <w:vAlign w:val="bottom"/>
            <w:shd w:val="clear" w:color="auto" w:fill="004054"/>
          </w:tcPr>
          <w:p>
            <w:pPr>
              <w:spacing w:after="0"/>
              <w:rPr>
                <w:sz w:val="14"/>
                <w:szCs w:val="14"/>
                <w:color w:val="auto"/>
              </w:rPr>
            </w:pPr>
          </w:p>
        </w:tc>
        <w:tc>
          <w:tcPr>
            <w:tcW w:w="17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80" w:type="dxa"/>
            <w:vAlign w:val="bottom"/>
          </w:tcPr>
          <w:p>
            <w:pPr>
              <w:spacing w:after="0"/>
              <w:rPr>
                <w:sz w:val="14"/>
                <w:szCs w:val="14"/>
                <w:color w:val="auto"/>
              </w:rPr>
            </w:pPr>
          </w:p>
        </w:tc>
        <w:tc>
          <w:tcPr>
            <w:tcW w:w="1880" w:type="dxa"/>
            <w:vAlign w:val="bottom"/>
            <w:shd w:val="clear" w:color="auto" w:fill="004054"/>
          </w:tcPr>
          <w:p>
            <w:pPr>
              <w:spacing w:after="0"/>
              <w:rPr>
                <w:sz w:val="14"/>
                <w:szCs w:val="14"/>
                <w:color w:val="auto"/>
              </w:rPr>
            </w:pPr>
          </w:p>
        </w:tc>
        <w:tc>
          <w:tcPr>
            <w:tcW w:w="17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r>
      <w:tr>
        <w:trPr>
          <w:trHeight w:val="243"/>
        </w:trPr>
        <w:tc>
          <w:tcPr>
            <w:tcW w:w="39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8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7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80" w:type="dxa"/>
            <w:vAlign w:val="bottom"/>
          </w:tcPr>
          <w:p>
            <w:pPr>
              <w:spacing w:after="0"/>
              <w:rPr>
                <w:sz w:val="21"/>
                <w:szCs w:val="21"/>
                <w:color w:val="auto"/>
              </w:rPr>
            </w:pPr>
          </w:p>
        </w:tc>
        <w:tc>
          <w:tcPr>
            <w:tcW w:w="18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7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r>
      <w:tr>
        <w:trPr>
          <w:trHeight w:val="74"/>
        </w:trPr>
        <w:tc>
          <w:tcPr>
            <w:tcW w:w="3900" w:type="dxa"/>
            <w:vAlign w:val="bottom"/>
            <w:shd w:val="clear" w:color="auto" w:fill="004054"/>
          </w:tcPr>
          <w:p>
            <w:pPr>
              <w:spacing w:after="0"/>
              <w:rPr>
                <w:sz w:val="6"/>
                <w:szCs w:val="6"/>
                <w:color w:val="auto"/>
              </w:rPr>
            </w:pPr>
          </w:p>
        </w:tc>
        <w:tc>
          <w:tcPr>
            <w:tcW w:w="1850" w:type="dxa"/>
            <w:vAlign w:val="bottom"/>
            <w:shd w:val="clear" w:color="auto" w:fill="004054"/>
          </w:tcPr>
          <w:p>
            <w:pPr>
              <w:spacing w:after="0"/>
              <w:rPr>
                <w:sz w:val="6"/>
                <w:szCs w:val="6"/>
                <w:color w:val="auto"/>
              </w:rPr>
            </w:pPr>
          </w:p>
        </w:tc>
        <w:tc>
          <w:tcPr>
            <w:tcW w:w="1770" w:type="dxa"/>
            <w:vAlign w:val="bottom"/>
            <w:shd w:val="clear" w:color="auto" w:fill="004054"/>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shd w:val="clear" w:color="auto" w:fill="004054"/>
          </w:tcPr>
          <w:p>
            <w:pPr>
              <w:spacing w:after="0"/>
              <w:rPr>
                <w:sz w:val="6"/>
                <w:szCs w:val="6"/>
                <w:color w:val="auto"/>
              </w:rPr>
            </w:pPr>
          </w:p>
        </w:tc>
        <w:tc>
          <w:tcPr>
            <w:tcW w:w="178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146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-162560</wp:posOffset>
            </wp:positionV>
            <wp:extent cx="46716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67169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900" w:type="dxa"/>
            <w:vAlign w:val="bottom"/>
          </w:tcPr>
          <w:p>
            <w:pPr>
              <w:ind w:left="20"/>
              <w:spacing w:after="0"/>
              <w:rPr>
                <w:sz w:val="20"/>
                <w:szCs w:val="20"/>
                <w:color w:val="auto"/>
              </w:rPr>
            </w:pPr>
            <w:r>
              <w:rPr>
                <w:rFonts w:ascii="Calibri" w:cs="Calibri" w:eastAsia="Calibri" w:hAnsi="Calibri"/>
                <w:sz w:val="18"/>
                <w:szCs w:val="18"/>
                <w:color w:val="51555C"/>
              </w:rPr>
              <w:t>Operatng lease cost</w:t>
            </w:r>
            <w:r>
              <w:rPr>
                <w:rFonts w:ascii="Calibri" w:cs="Calibri" w:eastAsia="Calibri" w:hAnsi="Calibri"/>
                <w:sz w:val="23"/>
                <w:szCs w:val="23"/>
                <w:color w:val="51555C"/>
                <w:vertAlign w:val="superscript"/>
              </w:rPr>
              <w:t>(1)</w:t>
            </w:r>
          </w:p>
        </w:tc>
        <w:tc>
          <w:tcPr>
            <w:tcW w:w="740" w:type="dxa"/>
            <w:vAlign w:val="bottom"/>
          </w:tcPr>
          <w:p>
            <w:pPr>
              <w:jc w:val="right"/>
              <w:ind w:right="550"/>
              <w:spacing w:after="0"/>
              <w:rPr>
                <w:sz w:val="20"/>
                <w:szCs w:val="20"/>
                <w:color w:val="auto"/>
              </w:rPr>
            </w:pPr>
            <w:r>
              <w:rPr>
                <w:rFonts w:ascii="Calibri" w:cs="Calibri" w:eastAsia="Calibri" w:hAnsi="Calibri"/>
                <w:sz w:val="18"/>
                <w:szCs w:val="18"/>
                <w:color w:val="51555C"/>
                <w:w w:val="87"/>
              </w:rPr>
              <w:t>$</w:t>
            </w:r>
          </w:p>
        </w:tc>
        <w:tc>
          <w:tcPr>
            <w:tcW w:w="1100" w:type="dxa"/>
            <w:vAlign w:val="bottom"/>
          </w:tcPr>
          <w:p>
            <w:pPr>
              <w:jc w:val="right"/>
              <w:spacing w:after="0"/>
              <w:rPr>
                <w:sz w:val="20"/>
                <w:szCs w:val="20"/>
                <w:color w:val="auto"/>
              </w:rPr>
            </w:pPr>
            <w:r>
              <w:rPr>
                <w:rFonts w:ascii="Calibri" w:cs="Calibri" w:eastAsia="Calibri" w:hAnsi="Calibri"/>
                <w:sz w:val="18"/>
                <w:szCs w:val="18"/>
                <w:color w:val="51555C"/>
              </w:rPr>
              <w:t>1,417</w:t>
            </w:r>
          </w:p>
        </w:tc>
        <w:tc>
          <w:tcPr>
            <w:tcW w:w="800" w:type="dxa"/>
            <w:vAlign w:val="bottom"/>
          </w:tcPr>
          <w:p>
            <w:pPr>
              <w:jc w:val="right"/>
              <w:ind w:right="590"/>
              <w:spacing w:after="0"/>
              <w:rPr>
                <w:sz w:val="20"/>
                <w:szCs w:val="20"/>
                <w:color w:val="auto"/>
              </w:rPr>
            </w:pPr>
            <w:r>
              <w:rPr>
                <w:rFonts w:ascii="Calibri" w:cs="Calibri" w:eastAsia="Calibri" w:hAnsi="Calibri"/>
                <w:sz w:val="18"/>
                <w:szCs w:val="18"/>
                <w:color w:val="51555C"/>
              </w:rPr>
              <w:t>$</w:t>
            </w:r>
          </w:p>
        </w:tc>
        <w:tc>
          <w:tcPr>
            <w:tcW w:w="960" w:type="dxa"/>
            <w:vAlign w:val="bottom"/>
          </w:tcPr>
          <w:p>
            <w:pPr>
              <w:jc w:val="right"/>
              <w:spacing w:after="0"/>
              <w:rPr>
                <w:sz w:val="20"/>
                <w:szCs w:val="20"/>
                <w:color w:val="auto"/>
              </w:rPr>
            </w:pPr>
            <w:r>
              <w:rPr>
                <w:rFonts w:ascii="Calibri" w:cs="Calibri" w:eastAsia="Calibri" w:hAnsi="Calibri"/>
                <w:sz w:val="18"/>
                <w:szCs w:val="18"/>
                <w:color w:val="51555C"/>
              </w:rPr>
              <w:t>2,216</w:t>
            </w:r>
          </w:p>
        </w:tc>
        <w:tc>
          <w:tcPr>
            <w:tcW w:w="100" w:type="dxa"/>
            <w:vAlign w:val="bottom"/>
          </w:tcPr>
          <w:p>
            <w:pPr>
              <w:spacing w:after="0"/>
              <w:rPr>
                <w:sz w:val="24"/>
                <w:szCs w:val="24"/>
                <w:color w:val="auto"/>
              </w:rPr>
            </w:pPr>
          </w:p>
        </w:tc>
        <w:tc>
          <w:tcPr>
            <w:tcW w:w="720" w:type="dxa"/>
            <w:vAlign w:val="bottom"/>
          </w:tcPr>
          <w:p>
            <w:pPr>
              <w:jc w:val="right"/>
              <w:ind w:right="510"/>
              <w:spacing w:after="0"/>
              <w:rPr>
                <w:sz w:val="20"/>
                <w:szCs w:val="20"/>
                <w:color w:val="auto"/>
              </w:rPr>
            </w:pPr>
            <w:r>
              <w:rPr>
                <w:rFonts w:ascii="Calibri" w:cs="Calibri" w:eastAsia="Calibri" w:hAnsi="Calibri"/>
                <w:sz w:val="18"/>
                <w:szCs w:val="18"/>
                <w:color w:val="51555C"/>
              </w:rPr>
              <w:t>$</w:t>
            </w: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5,028</w:t>
            </w:r>
          </w:p>
        </w:tc>
        <w:tc>
          <w:tcPr>
            <w:tcW w:w="420" w:type="dxa"/>
            <w:vAlign w:val="bottom"/>
          </w:tcPr>
          <w:p>
            <w:pPr>
              <w:jc w:val="right"/>
              <w:ind w:right="230"/>
              <w:spacing w:after="0"/>
              <w:rPr>
                <w:sz w:val="20"/>
                <w:szCs w:val="20"/>
                <w:color w:val="auto"/>
              </w:rPr>
            </w:pPr>
            <w:r>
              <w:rPr>
                <w:rFonts w:ascii="Calibri" w:cs="Calibri" w:eastAsia="Calibri" w:hAnsi="Calibri"/>
                <w:sz w:val="18"/>
                <w:szCs w:val="18"/>
                <w:color w:val="51555C"/>
                <w:w w:val="87"/>
              </w:rPr>
              <w:t>$</w:t>
            </w:r>
          </w:p>
        </w:tc>
        <w:tc>
          <w:tcPr>
            <w:tcW w:w="1340" w:type="dxa"/>
            <w:vAlign w:val="bottom"/>
          </w:tcPr>
          <w:p>
            <w:pPr>
              <w:jc w:val="right"/>
              <w:spacing w:after="0"/>
              <w:rPr>
                <w:sz w:val="20"/>
                <w:szCs w:val="20"/>
                <w:color w:val="auto"/>
              </w:rPr>
            </w:pPr>
            <w:r>
              <w:rPr>
                <w:rFonts w:ascii="Calibri" w:cs="Calibri" w:eastAsia="Calibri" w:hAnsi="Calibri"/>
                <w:sz w:val="18"/>
                <w:szCs w:val="18"/>
                <w:color w:val="51555C"/>
              </w:rPr>
              <w:t>6,905</w:t>
            </w:r>
          </w:p>
        </w:tc>
        <w:tc>
          <w:tcPr>
            <w:tcW w:w="20" w:type="dxa"/>
            <w:vAlign w:val="bottom"/>
          </w:tcPr>
          <w:p>
            <w:pPr>
              <w:spacing w:after="0"/>
              <w:rPr>
                <w:sz w:val="24"/>
                <w:szCs w:val="24"/>
                <w:color w:val="auto"/>
              </w:rPr>
            </w:pPr>
          </w:p>
        </w:tc>
      </w:tr>
      <w:tr>
        <w:trPr>
          <w:trHeight w:val="222"/>
        </w:trPr>
        <w:tc>
          <w:tcPr>
            <w:tcW w:w="3900" w:type="dxa"/>
            <w:vAlign w:val="bottom"/>
          </w:tcPr>
          <w:p>
            <w:pPr>
              <w:ind w:left="20"/>
              <w:spacing w:after="0"/>
              <w:rPr>
                <w:sz w:val="20"/>
                <w:szCs w:val="20"/>
                <w:color w:val="auto"/>
              </w:rPr>
            </w:pPr>
            <w:r>
              <w:rPr>
                <w:rFonts w:ascii="Calibri" w:cs="Calibri" w:eastAsia="Calibri" w:hAnsi="Calibri"/>
                <w:sz w:val="18"/>
                <w:szCs w:val="18"/>
                <w:color w:val="51555C"/>
              </w:rPr>
              <w:t>Variable lease cost</w:t>
            </w: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51555C"/>
              </w:rPr>
              <w:t>271</w:t>
            </w:r>
          </w:p>
        </w:tc>
        <w:tc>
          <w:tcPr>
            <w:tcW w:w="8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357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883</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51555C"/>
              </w:rPr>
              <w:t>1,184</w:t>
            </w:r>
          </w:p>
        </w:tc>
        <w:tc>
          <w:tcPr>
            <w:tcW w:w="20" w:type="dxa"/>
            <w:vAlign w:val="bottom"/>
          </w:tcPr>
          <w:p>
            <w:pPr>
              <w:spacing w:after="0"/>
              <w:rPr>
                <w:sz w:val="19"/>
                <w:szCs w:val="19"/>
                <w:color w:val="auto"/>
              </w:rPr>
            </w:pPr>
          </w:p>
        </w:tc>
      </w:tr>
      <w:tr>
        <w:trPr>
          <w:trHeight w:val="51"/>
        </w:trPr>
        <w:tc>
          <w:tcPr>
            <w:tcW w:w="3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39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Sublease income</w:t>
            </w:r>
          </w:p>
        </w:tc>
        <w:tc>
          <w:tcPr>
            <w:tcW w:w="74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(914)</w:t>
            </w:r>
          </w:p>
        </w:tc>
        <w:tc>
          <w:tcPr>
            <w:tcW w:w="800" w:type="dxa"/>
            <w:vAlign w:val="bottom"/>
            <w:tcBorders>
              <w:bottom w:val="single" w:sz="8" w:color="EBFBFF"/>
            </w:tcBorders>
            <w:shd w:val="clear" w:color="auto" w:fill="EBFBFF"/>
          </w:tcPr>
          <w:p>
            <w:pPr>
              <w:spacing w:after="0"/>
              <w:rPr>
                <w:sz w:val="23"/>
                <w:szCs w:val="23"/>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(833)</w:t>
            </w:r>
          </w:p>
        </w:tc>
        <w:tc>
          <w:tcPr>
            <w:tcW w:w="100" w:type="dxa"/>
            <w:vAlign w:val="bottom"/>
            <w:tcBorders>
              <w:bottom w:val="single" w:sz="8" w:color="EBFBFF"/>
            </w:tcBorders>
            <w:shd w:val="clear" w:color="auto" w:fill="EBFBFF"/>
          </w:tcPr>
          <w:p>
            <w:pPr>
              <w:spacing w:after="0"/>
              <w:rPr>
                <w:sz w:val="23"/>
                <w:szCs w:val="23"/>
                <w:color w:val="auto"/>
              </w:rPr>
            </w:pPr>
          </w:p>
        </w:tc>
        <w:tc>
          <w:tcPr>
            <w:tcW w:w="720" w:type="dxa"/>
            <w:vAlign w:val="bottom"/>
            <w:tcBorders>
              <w:bottom w:val="single" w:sz="8" w:color="EBFBFF"/>
            </w:tcBorders>
            <w:shd w:val="clear" w:color="auto" w:fill="EBFBFF"/>
          </w:tcPr>
          <w:p>
            <w:pPr>
              <w:spacing w:after="0"/>
              <w:rPr>
                <w:sz w:val="23"/>
                <w:szCs w:val="23"/>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(2,518)</w:t>
            </w:r>
          </w:p>
        </w:tc>
        <w:tc>
          <w:tcPr>
            <w:tcW w:w="420" w:type="dxa"/>
            <w:vAlign w:val="bottom"/>
            <w:tcBorders>
              <w:bottom w:val="single" w:sz="8" w:color="EBFBFF"/>
            </w:tcBorders>
            <w:shd w:val="clear" w:color="auto" w:fill="EBFBFF"/>
          </w:tcPr>
          <w:p>
            <w:pPr>
              <w:spacing w:after="0"/>
              <w:rPr>
                <w:sz w:val="23"/>
                <w:szCs w:val="23"/>
                <w:color w:val="auto"/>
              </w:rPr>
            </w:pPr>
          </w:p>
        </w:tc>
        <w:tc>
          <w:tcPr>
            <w:tcW w:w="13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(2,498)</w:t>
            </w:r>
          </w:p>
        </w:tc>
        <w:tc>
          <w:tcPr>
            <w:tcW w:w="20" w:type="dxa"/>
            <w:vAlign w:val="bottom"/>
          </w:tcPr>
          <w:p>
            <w:pPr>
              <w:spacing w:after="0"/>
              <w:rPr>
                <w:sz w:val="23"/>
                <w:szCs w:val="23"/>
                <w:color w:val="auto"/>
              </w:rPr>
            </w:pPr>
          </w:p>
        </w:tc>
      </w:tr>
      <w:tr>
        <w:trPr>
          <w:trHeight w:val="213"/>
        </w:trPr>
        <w:tc>
          <w:tcPr>
            <w:tcW w:w="3900" w:type="dxa"/>
            <w:vAlign w:val="bottom"/>
          </w:tcPr>
          <w:p>
            <w:pPr>
              <w:ind w:left="140"/>
              <w:spacing w:after="0" w:line="199" w:lineRule="exact"/>
              <w:rPr>
                <w:sz w:val="20"/>
                <w:szCs w:val="20"/>
                <w:color w:val="auto"/>
              </w:rPr>
            </w:pPr>
            <w:r>
              <w:rPr>
                <w:rFonts w:ascii="Calibri" w:cs="Calibri" w:eastAsia="Calibri" w:hAnsi="Calibri"/>
                <w:sz w:val="18"/>
                <w:szCs w:val="18"/>
                <w:color w:val="51555C"/>
              </w:rPr>
              <w:t>Net lease cost</w:t>
            </w:r>
          </w:p>
        </w:tc>
        <w:tc>
          <w:tcPr>
            <w:tcW w:w="740" w:type="dxa"/>
            <w:vAlign w:val="bottom"/>
            <w:tcBorders>
              <w:top w:val="single" w:sz="8" w:color="51555C"/>
            </w:tcBorders>
          </w:tcPr>
          <w:p>
            <w:pPr>
              <w:jc w:val="right"/>
              <w:ind w:right="550"/>
              <w:spacing w:after="0" w:line="213" w:lineRule="exact"/>
              <w:rPr>
                <w:sz w:val="20"/>
                <w:szCs w:val="20"/>
                <w:color w:val="auto"/>
              </w:rPr>
            </w:pPr>
            <w:r>
              <w:rPr>
                <w:rFonts w:ascii="Calibri" w:cs="Calibri" w:eastAsia="Calibri" w:hAnsi="Calibri"/>
                <w:sz w:val="18"/>
                <w:szCs w:val="18"/>
                <w:color w:val="51555C"/>
                <w:w w:val="87"/>
              </w:rPr>
              <w:t>$</w:t>
            </w:r>
          </w:p>
        </w:tc>
        <w:tc>
          <w:tcPr>
            <w:tcW w:w="11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774</w:t>
            </w:r>
          </w:p>
        </w:tc>
        <w:tc>
          <w:tcPr>
            <w:tcW w:w="800" w:type="dxa"/>
            <w:vAlign w:val="bottom"/>
            <w:tcBorders>
              <w:top w:val="single" w:sz="8" w:color="51555C"/>
            </w:tcBorders>
          </w:tcPr>
          <w:p>
            <w:pPr>
              <w:jc w:val="right"/>
              <w:ind w:right="590"/>
              <w:spacing w:after="0" w:line="213" w:lineRule="exact"/>
              <w:rPr>
                <w:sz w:val="20"/>
                <w:szCs w:val="20"/>
                <w:color w:val="auto"/>
              </w:rPr>
            </w:pPr>
            <w:r>
              <w:rPr>
                <w:rFonts w:ascii="Calibri" w:cs="Calibri" w:eastAsia="Calibri" w:hAnsi="Calibri"/>
                <w:sz w:val="18"/>
                <w:szCs w:val="18"/>
                <w:color w:val="51555C"/>
              </w:rPr>
              <w:t>$</w:t>
            </w:r>
          </w:p>
        </w:tc>
        <w:tc>
          <w:tcPr>
            <w:tcW w:w="9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1,740</w:t>
            </w:r>
          </w:p>
        </w:tc>
        <w:tc>
          <w:tcPr>
            <w:tcW w:w="100" w:type="dxa"/>
            <w:vAlign w:val="bottom"/>
          </w:tcPr>
          <w:p>
            <w:pPr>
              <w:spacing w:after="0"/>
              <w:rPr>
                <w:sz w:val="18"/>
                <w:szCs w:val="18"/>
                <w:color w:val="auto"/>
              </w:rPr>
            </w:pPr>
          </w:p>
        </w:tc>
        <w:tc>
          <w:tcPr>
            <w:tcW w:w="720" w:type="dxa"/>
            <w:vAlign w:val="bottom"/>
            <w:tcBorders>
              <w:top w:val="single" w:sz="8" w:color="51555C"/>
            </w:tcBorders>
          </w:tcPr>
          <w:p>
            <w:pPr>
              <w:jc w:val="right"/>
              <w:ind w:right="510"/>
              <w:spacing w:after="0" w:line="213" w:lineRule="exact"/>
              <w:rPr>
                <w:sz w:val="20"/>
                <w:szCs w:val="20"/>
                <w:color w:val="auto"/>
              </w:rPr>
            </w:pPr>
            <w:r>
              <w:rPr>
                <w:rFonts w:ascii="Calibri" w:cs="Calibri" w:eastAsia="Calibri" w:hAnsi="Calibri"/>
                <w:sz w:val="18"/>
                <w:szCs w:val="18"/>
                <w:color w:val="51555C"/>
              </w:rPr>
              <w:t>$</w:t>
            </w:r>
          </w:p>
        </w:tc>
        <w:tc>
          <w:tcPr>
            <w:tcW w:w="11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3,393</w:t>
            </w:r>
          </w:p>
        </w:tc>
        <w:tc>
          <w:tcPr>
            <w:tcW w:w="420" w:type="dxa"/>
            <w:vAlign w:val="bottom"/>
            <w:tcBorders>
              <w:top w:val="single" w:sz="8" w:color="51555C"/>
            </w:tcBorders>
          </w:tcPr>
          <w:p>
            <w:pPr>
              <w:jc w:val="right"/>
              <w:ind w:right="230"/>
              <w:spacing w:after="0" w:line="213" w:lineRule="exact"/>
              <w:rPr>
                <w:sz w:val="20"/>
                <w:szCs w:val="20"/>
                <w:color w:val="auto"/>
              </w:rPr>
            </w:pPr>
            <w:r>
              <w:rPr>
                <w:rFonts w:ascii="Calibri" w:cs="Calibri" w:eastAsia="Calibri" w:hAnsi="Calibri"/>
                <w:sz w:val="18"/>
                <w:szCs w:val="18"/>
                <w:color w:val="51555C"/>
                <w:w w:val="87"/>
              </w:rPr>
              <w:t>$</w:t>
            </w:r>
          </w:p>
        </w:tc>
        <w:tc>
          <w:tcPr>
            <w:tcW w:w="13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5,591</w:t>
            </w:r>
          </w:p>
        </w:tc>
        <w:tc>
          <w:tcPr>
            <w:tcW w:w="20" w:type="dxa"/>
            <w:vAlign w:val="bottom"/>
          </w:tcPr>
          <w:p>
            <w:pPr>
              <w:spacing w:after="0"/>
              <w:rPr>
                <w:sz w:val="18"/>
                <w:szCs w:val="18"/>
                <w:color w:val="auto"/>
              </w:rPr>
            </w:pPr>
          </w:p>
        </w:tc>
      </w:tr>
      <w:tr>
        <w:trPr>
          <w:trHeight w:val="51"/>
        </w:trPr>
        <w:tc>
          <w:tcPr>
            <w:tcW w:w="3900" w:type="dxa"/>
            <w:vAlign w:val="bottom"/>
            <w:tcBorders>
              <w:bottom w:val="single" w:sz="8" w:color="0CD973"/>
            </w:tcBorders>
          </w:tcPr>
          <w:p>
            <w:pPr>
              <w:spacing w:after="0"/>
              <w:rPr>
                <w:sz w:val="4"/>
                <w:szCs w:val="4"/>
                <w:color w:val="auto"/>
              </w:rPr>
            </w:pPr>
          </w:p>
        </w:tc>
        <w:tc>
          <w:tcPr>
            <w:tcW w:w="740" w:type="dxa"/>
            <w:vAlign w:val="bottom"/>
            <w:tcBorders>
              <w:bottom w:val="single" w:sz="8" w:color="0CD973"/>
            </w:tcBorders>
          </w:tcPr>
          <w:p>
            <w:pPr>
              <w:spacing w:after="0"/>
              <w:rPr>
                <w:sz w:val="4"/>
                <w:szCs w:val="4"/>
                <w:color w:val="auto"/>
              </w:rPr>
            </w:pPr>
          </w:p>
        </w:tc>
        <w:tc>
          <w:tcPr>
            <w:tcW w:w="1100" w:type="dxa"/>
            <w:vAlign w:val="bottom"/>
            <w:tcBorders>
              <w:bottom w:val="single" w:sz="8" w:color="0CD973"/>
            </w:tcBorders>
          </w:tcPr>
          <w:p>
            <w:pPr>
              <w:spacing w:after="0"/>
              <w:rPr>
                <w:sz w:val="4"/>
                <w:szCs w:val="4"/>
                <w:color w:val="auto"/>
              </w:rPr>
            </w:pPr>
          </w:p>
        </w:tc>
        <w:tc>
          <w:tcPr>
            <w:tcW w:w="800" w:type="dxa"/>
            <w:vAlign w:val="bottom"/>
            <w:tcBorders>
              <w:bottom w:val="single" w:sz="8" w:color="0CD973"/>
            </w:tcBorders>
          </w:tcPr>
          <w:p>
            <w:pPr>
              <w:spacing w:after="0"/>
              <w:rPr>
                <w:sz w:val="4"/>
                <w:szCs w:val="4"/>
                <w:color w:val="auto"/>
              </w:rPr>
            </w:pPr>
          </w:p>
        </w:tc>
        <w:tc>
          <w:tcPr>
            <w:tcW w:w="960" w:type="dxa"/>
            <w:vAlign w:val="bottom"/>
            <w:tcBorders>
              <w:bottom w:val="single" w:sz="8" w:color="0CD973"/>
            </w:tcBorders>
          </w:tcPr>
          <w:p>
            <w:pPr>
              <w:spacing w:after="0"/>
              <w:rPr>
                <w:sz w:val="4"/>
                <w:szCs w:val="4"/>
                <w:color w:val="auto"/>
              </w:rPr>
            </w:pPr>
          </w:p>
        </w:tc>
        <w:tc>
          <w:tcPr>
            <w:tcW w:w="100" w:type="dxa"/>
            <w:vAlign w:val="bottom"/>
            <w:tcBorders>
              <w:bottom w:val="single" w:sz="8" w:color="0CD973"/>
            </w:tcBorders>
          </w:tcPr>
          <w:p>
            <w:pPr>
              <w:spacing w:after="0"/>
              <w:rPr>
                <w:sz w:val="4"/>
                <w:szCs w:val="4"/>
                <w:color w:val="auto"/>
              </w:rPr>
            </w:pPr>
          </w:p>
        </w:tc>
        <w:tc>
          <w:tcPr>
            <w:tcW w:w="720" w:type="dxa"/>
            <w:vAlign w:val="bottom"/>
            <w:tcBorders>
              <w:bottom w:val="single" w:sz="8" w:color="0CD973"/>
            </w:tcBorders>
          </w:tcPr>
          <w:p>
            <w:pPr>
              <w:spacing w:after="0"/>
              <w:rPr>
                <w:sz w:val="4"/>
                <w:szCs w:val="4"/>
                <w:color w:val="auto"/>
              </w:rPr>
            </w:pPr>
          </w:p>
        </w:tc>
        <w:tc>
          <w:tcPr>
            <w:tcW w:w="1160" w:type="dxa"/>
            <w:vAlign w:val="bottom"/>
            <w:tcBorders>
              <w:bottom w:val="single" w:sz="8" w:color="0CD973"/>
            </w:tcBorders>
          </w:tcPr>
          <w:p>
            <w:pPr>
              <w:spacing w:after="0"/>
              <w:rPr>
                <w:sz w:val="4"/>
                <w:szCs w:val="4"/>
                <w:color w:val="auto"/>
              </w:rPr>
            </w:pPr>
          </w:p>
        </w:tc>
        <w:tc>
          <w:tcPr>
            <w:tcW w:w="420" w:type="dxa"/>
            <w:vAlign w:val="bottom"/>
            <w:tcBorders>
              <w:bottom w:val="single" w:sz="8" w:color="0CD973"/>
            </w:tcBorders>
          </w:tcPr>
          <w:p>
            <w:pPr>
              <w:spacing w:after="0"/>
              <w:rPr>
                <w:sz w:val="4"/>
                <w:szCs w:val="4"/>
                <w:color w:val="auto"/>
              </w:rPr>
            </w:pPr>
          </w:p>
        </w:tc>
        <w:tc>
          <w:tcPr>
            <w:tcW w:w="134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r>
        <w:trPr>
          <w:trHeight w:val="217"/>
        </w:trPr>
        <w:tc>
          <w:tcPr>
            <w:tcW w:w="3900" w:type="dxa"/>
            <w:vAlign w:val="bottom"/>
          </w:tcPr>
          <w:p>
            <w:pPr>
              <w:spacing w:after="0"/>
              <w:rPr>
                <w:sz w:val="20"/>
                <w:szCs w:val="20"/>
                <w:color w:val="auto"/>
              </w:rPr>
            </w:pPr>
            <w:r>
              <w:rPr>
                <w:rFonts w:ascii="Calibri" w:cs="Calibri" w:eastAsia="Calibri" w:hAnsi="Calibri"/>
                <w:sz w:val="14"/>
                <w:szCs w:val="14"/>
                <w:color w:val="51555C"/>
              </w:rPr>
              <w:t>(1)  Includes short-term lease costs, which were immaterial.</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88"/>
        </w:trPr>
        <w:tc>
          <w:tcPr>
            <w:tcW w:w="6540" w:type="dxa"/>
            <w:vAlign w:val="bottom"/>
            <w:gridSpan w:val="4"/>
          </w:tcPr>
          <w:p>
            <w:pPr>
              <w:spacing w:after="0"/>
              <w:rPr>
                <w:sz w:val="20"/>
                <w:szCs w:val="20"/>
                <w:color w:val="auto"/>
              </w:rPr>
            </w:pPr>
            <w:r>
              <w:rPr>
                <w:rFonts w:ascii="Calibri" w:cs="Calibri" w:eastAsia="Calibri" w:hAnsi="Calibri"/>
                <w:sz w:val="18"/>
                <w:szCs w:val="18"/>
                <w:color w:val="51555C"/>
              </w:rPr>
              <w:t>Maturites of our operatng lease liabilites as of September 30, 2024 were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3"/>
        </w:trPr>
        <w:tc>
          <w:tcPr>
            <w:tcW w:w="39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Years ending December 31,</w:t>
            </w:r>
          </w:p>
        </w:tc>
        <w:tc>
          <w:tcPr>
            <w:tcW w:w="740" w:type="dxa"/>
            <w:vAlign w:val="bottom"/>
            <w:shd w:val="clear" w:color="auto" w:fill="004054"/>
          </w:tcPr>
          <w:p>
            <w:pPr>
              <w:spacing w:after="0"/>
              <w:rPr>
                <w:sz w:val="15"/>
                <w:szCs w:val="15"/>
                <w:color w:val="auto"/>
              </w:rPr>
            </w:pPr>
          </w:p>
        </w:tc>
        <w:tc>
          <w:tcPr>
            <w:tcW w:w="1100" w:type="dxa"/>
            <w:vAlign w:val="bottom"/>
            <w:shd w:val="clear" w:color="auto" w:fill="004054"/>
          </w:tcPr>
          <w:p>
            <w:pPr>
              <w:spacing w:after="0"/>
              <w:rPr>
                <w:sz w:val="15"/>
                <w:szCs w:val="15"/>
                <w:color w:val="auto"/>
              </w:rPr>
            </w:pPr>
          </w:p>
        </w:tc>
        <w:tc>
          <w:tcPr>
            <w:tcW w:w="800" w:type="dxa"/>
            <w:vAlign w:val="bottom"/>
            <w:shd w:val="clear" w:color="auto" w:fill="004054"/>
          </w:tcPr>
          <w:p>
            <w:pPr>
              <w:spacing w:after="0"/>
              <w:rPr>
                <w:sz w:val="15"/>
                <w:szCs w:val="15"/>
                <w:color w:val="auto"/>
              </w:rPr>
            </w:pPr>
          </w:p>
        </w:tc>
        <w:tc>
          <w:tcPr>
            <w:tcW w:w="9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720" w:type="dxa"/>
            <w:vAlign w:val="bottom"/>
            <w:shd w:val="clear" w:color="auto" w:fill="004054"/>
          </w:tcPr>
          <w:p>
            <w:pPr>
              <w:spacing w:after="0"/>
              <w:rPr>
                <w:sz w:val="15"/>
                <w:szCs w:val="15"/>
                <w:color w:val="auto"/>
              </w:rPr>
            </w:pPr>
          </w:p>
        </w:tc>
        <w:tc>
          <w:tcPr>
            <w:tcW w:w="1160" w:type="dxa"/>
            <w:vAlign w:val="bottom"/>
            <w:shd w:val="clear" w:color="auto" w:fill="004054"/>
          </w:tcPr>
          <w:p>
            <w:pPr>
              <w:spacing w:after="0"/>
              <w:rPr>
                <w:sz w:val="15"/>
                <w:szCs w:val="15"/>
                <w:color w:val="auto"/>
              </w:rPr>
            </w:pPr>
          </w:p>
        </w:tc>
        <w:tc>
          <w:tcPr>
            <w:tcW w:w="420" w:type="dxa"/>
            <w:vAlign w:val="bottom"/>
            <w:shd w:val="clear" w:color="auto" w:fill="004054"/>
          </w:tcPr>
          <w:p>
            <w:pPr>
              <w:spacing w:after="0"/>
              <w:rPr>
                <w:sz w:val="15"/>
                <w:szCs w:val="15"/>
                <w:color w:val="auto"/>
              </w:rPr>
            </w:pPr>
          </w:p>
        </w:tc>
        <w:tc>
          <w:tcPr>
            <w:tcW w:w="134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175"/>
        </w:trPr>
        <w:tc>
          <w:tcPr>
            <w:tcW w:w="39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740" w:type="dxa"/>
            <w:vAlign w:val="bottom"/>
            <w:shd w:val="clear" w:color="auto" w:fill="004054"/>
          </w:tcPr>
          <w:p>
            <w:pPr>
              <w:spacing w:after="0"/>
              <w:rPr>
                <w:sz w:val="15"/>
                <w:szCs w:val="15"/>
                <w:color w:val="auto"/>
              </w:rPr>
            </w:pPr>
          </w:p>
        </w:tc>
        <w:tc>
          <w:tcPr>
            <w:tcW w:w="1100" w:type="dxa"/>
            <w:vAlign w:val="bottom"/>
            <w:shd w:val="clear" w:color="auto" w:fill="004054"/>
          </w:tcPr>
          <w:p>
            <w:pPr>
              <w:spacing w:after="0"/>
              <w:rPr>
                <w:sz w:val="15"/>
                <w:szCs w:val="15"/>
                <w:color w:val="auto"/>
              </w:rPr>
            </w:pPr>
          </w:p>
        </w:tc>
        <w:tc>
          <w:tcPr>
            <w:tcW w:w="800" w:type="dxa"/>
            <w:vAlign w:val="bottom"/>
            <w:shd w:val="clear" w:color="auto" w:fill="004054"/>
          </w:tcPr>
          <w:p>
            <w:pPr>
              <w:spacing w:after="0"/>
              <w:rPr>
                <w:sz w:val="15"/>
                <w:szCs w:val="15"/>
                <w:color w:val="auto"/>
              </w:rPr>
            </w:pPr>
          </w:p>
        </w:tc>
        <w:tc>
          <w:tcPr>
            <w:tcW w:w="9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720" w:type="dxa"/>
            <w:vAlign w:val="bottom"/>
            <w:shd w:val="clear" w:color="auto" w:fill="004054"/>
          </w:tcPr>
          <w:p>
            <w:pPr>
              <w:spacing w:after="0"/>
              <w:rPr>
                <w:sz w:val="15"/>
                <w:szCs w:val="15"/>
                <w:color w:val="auto"/>
              </w:rPr>
            </w:pPr>
          </w:p>
        </w:tc>
        <w:tc>
          <w:tcPr>
            <w:tcW w:w="1160" w:type="dxa"/>
            <w:vAlign w:val="bottom"/>
            <w:shd w:val="clear" w:color="auto" w:fill="004054"/>
          </w:tcPr>
          <w:p>
            <w:pPr>
              <w:spacing w:after="0"/>
              <w:rPr>
                <w:sz w:val="15"/>
                <w:szCs w:val="15"/>
                <w:color w:val="auto"/>
              </w:rPr>
            </w:pPr>
          </w:p>
        </w:tc>
        <w:tc>
          <w:tcPr>
            <w:tcW w:w="42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Operatng leases</w:t>
            </w:r>
          </w:p>
        </w:tc>
        <w:tc>
          <w:tcPr>
            <w:tcW w:w="20" w:type="dxa"/>
            <w:vAlign w:val="bottom"/>
            <w:shd w:val="clear" w:color="auto" w:fill="004054"/>
          </w:tcPr>
          <w:p>
            <w:pPr>
              <w:spacing w:after="0"/>
              <w:rPr>
                <w:sz w:val="15"/>
                <w:szCs w:val="15"/>
                <w:color w:val="auto"/>
              </w:rPr>
            </w:pPr>
          </w:p>
        </w:tc>
      </w:tr>
      <w:tr>
        <w:trPr>
          <w:trHeight w:val="74"/>
        </w:trPr>
        <w:tc>
          <w:tcPr>
            <w:tcW w:w="3900" w:type="dxa"/>
            <w:vAlign w:val="bottom"/>
            <w:shd w:val="clear" w:color="auto" w:fill="004054"/>
          </w:tcPr>
          <w:p>
            <w:pPr>
              <w:spacing w:after="0"/>
              <w:rPr>
                <w:sz w:val="6"/>
                <w:szCs w:val="6"/>
                <w:color w:val="auto"/>
              </w:rPr>
            </w:pPr>
          </w:p>
        </w:tc>
        <w:tc>
          <w:tcPr>
            <w:tcW w:w="740" w:type="dxa"/>
            <w:vAlign w:val="bottom"/>
            <w:shd w:val="clear" w:color="auto" w:fill="004054"/>
          </w:tcPr>
          <w:p>
            <w:pPr>
              <w:spacing w:after="0"/>
              <w:rPr>
                <w:sz w:val="6"/>
                <w:szCs w:val="6"/>
                <w:color w:val="auto"/>
              </w:rPr>
            </w:pPr>
          </w:p>
        </w:tc>
        <w:tc>
          <w:tcPr>
            <w:tcW w:w="1100" w:type="dxa"/>
            <w:vAlign w:val="bottom"/>
            <w:shd w:val="clear" w:color="auto" w:fill="004054"/>
          </w:tcPr>
          <w:p>
            <w:pPr>
              <w:spacing w:after="0"/>
              <w:rPr>
                <w:sz w:val="6"/>
                <w:szCs w:val="6"/>
                <w:color w:val="auto"/>
              </w:rPr>
            </w:pPr>
          </w:p>
        </w:tc>
        <w:tc>
          <w:tcPr>
            <w:tcW w:w="800" w:type="dxa"/>
            <w:vAlign w:val="bottom"/>
            <w:shd w:val="clear" w:color="auto" w:fill="004054"/>
          </w:tcPr>
          <w:p>
            <w:pPr>
              <w:spacing w:after="0"/>
              <w:rPr>
                <w:sz w:val="6"/>
                <w:szCs w:val="6"/>
                <w:color w:val="auto"/>
              </w:rPr>
            </w:pPr>
          </w:p>
        </w:tc>
        <w:tc>
          <w:tcPr>
            <w:tcW w:w="96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720" w:type="dxa"/>
            <w:vAlign w:val="bottom"/>
            <w:shd w:val="clear" w:color="auto" w:fill="004054"/>
          </w:tcPr>
          <w:p>
            <w:pPr>
              <w:spacing w:after="0"/>
              <w:rPr>
                <w:sz w:val="6"/>
                <w:szCs w:val="6"/>
                <w:color w:val="auto"/>
              </w:rPr>
            </w:pPr>
          </w:p>
        </w:tc>
        <w:tc>
          <w:tcPr>
            <w:tcW w:w="1160" w:type="dxa"/>
            <w:vAlign w:val="bottom"/>
            <w:shd w:val="clear" w:color="auto" w:fill="004054"/>
          </w:tcPr>
          <w:p>
            <w:pPr>
              <w:spacing w:after="0"/>
              <w:rPr>
                <w:sz w:val="6"/>
                <w:szCs w:val="6"/>
                <w:color w:val="auto"/>
              </w:rPr>
            </w:pPr>
          </w:p>
        </w:tc>
        <w:tc>
          <w:tcPr>
            <w:tcW w:w="420" w:type="dxa"/>
            <w:vAlign w:val="bottom"/>
            <w:shd w:val="clear" w:color="auto" w:fill="004054"/>
          </w:tcPr>
          <w:p>
            <w:pPr>
              <w:spacing w:after="0"/>
              <w:rPr>
                <w:sz w:val="6"/>
                <w:szCs w:val="6"/>
                <w:color w:val="auto"/>
              </w:rPr>
            </w:pPr>
          </w:p>
        </w:tc>
        <w:tc>
          <w:tcPr>
            <w:tcW w:w="13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39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2024 - remaining</w:t>
            </w:r>
          </w:p>
        </w:tc>
        <w:tc>
          <w:tcPr>
            <w:tcW w:w="74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c>
          <w:tcPr>
            <w:tcW w:w="80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72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jc w:val="right"/>
              <w:ind w:right="230"/>
              <w:spacing w:after="0"/>
              <w:rPr>
                <w:sz w:val="20"/>
                <w:szCs w:val="20"/>
                <w:color w:val="auto"/>
              </w:rPr>
            </w:pPr>
            <w:r>
              <w:rPr>
                <w:rFonts w:ascii="Calibri" w:cs="Calibri" w:eastAsia="Calibri" w:hAnsi="Calibri"/>
                <w:sz w:val="18"/>
                <w:szCs w:val="18"/>
                <w:color w:val="51555C"/>
                <w:w w:val="87"/>
              </w:rPr>
              <w:t>$</w:t>
            </w:r>
          </w:p>
        </w:tc>
        <w:tc>
          <w:tcPr>
            <w:tcW w:w="13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1,657</w:t>
            </w:r>
          </w:p>
        </w:tc>
        <w:tc>
          <w:tcPr>
            <w:tcW w:w="20" w:type="dxa"/>
            <w:vAlign w:val="bottom"/>
          </w:tcPr>
          <w:p>
            <w:pPr>
              <w:spacing w:after="0"/>
              <w:rPr>
                <w:sz w:val="21"/>
                <w:szCs w:val="21"/>
                <w:color w:val="auto"/>
              </w:rPr>
            </w:pPr>
          </w:p>
        </w:tc>
      </w:tr>
      <w:tr>
        <w:trPr>
          <w:trHeight w:val="220"/>
        </w:trPr>
        <w:tc>
          <w:tcPr>
            <w:tcW w:w="3900" w:type="dxa"/>
            <w:vAlign w:val="bottom"/>
          </w:tcPr>
          <w:p>
            <w:pPr>
              <w:ind w:left="20"/>
              <w:spacing w:after="0"/>
              <w:rPr>
                <w:sz w:val="20"/>
                <w:szCs w:val="20"/>
                <w:color w:val="auto"/>
              </w:rPr>
            </w:pPr>
            <w:r>
              <w:rPr>
                <w:rFonts w:ascii="Calibri" w:cs="Calibri" w:eastAsia="Calibri" w:hAnsi="Calibri"/>
                <w:sz w:val="18"/>
                <w:szCs w:val="18"/>
                <w:color w:val="51555C"/>
              </w:rPr>
              <w:t>2025</w:t>
            </w: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51555C"/>
              </w:rPr>
              <w:t>6,277</w:t>
            </w:r>
          </w:p>
        </w:tc>
        <w:tc>
          <w:tcPr>
            <w:tcW w:w="20" w:type="dxa"/>
            <w:vAlign w:val="bottom"/>
          </w:tcPr>
          <w:p>
            <w:pPr>
              <w:spacing w:after="0"/>
              <w:rPr>
                <w:sz w:val="19"/>
                <w:szCs w:val="19"/>
                <w:color w:val="auto"/>
              </w:rPr>
            </w:pPr>
          </w:p>
        </w:tc>
      </w:tr>
      <w:tr>
        <w:trPr>
          <w:trHeight w:val="50"/>
        </w:trPr>
        <w:tc>
          <w:tcPr>
            <w:tcW w:w="3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39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2026</w:t>
            </w:r>
          </w:p>
        </w:tc>
        <w:tc>
          <w:tcPr>
            <w:tcW w:w="74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c>
          <w:tcPr>
            <w:tcW w:w="80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72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6,109</w:t>
            </w:r>
          </w:p>
        </w:tc>
        <w:tc>
          <w:tcPr>
            <w:tcW w:w="20" w:type="dxa"/>
            <w:vAlign w:val="bottom"/>
          </w:tcPr>
          <w:p>
            <w:pPr>
              <w:spacing w:after="0"/>
              <w:rPr>
                <w:sz w:val="21"/>
                <w:szCs w:val="21"/>
                <w:color w:val="auto"/>
              </w:rPr>
            </w:pPr>
          </w:p>
        </w:tc>
      </w:tr>
      <w:tr>
        <w:trPr>
          <w:trHeight w:val="219"/>
        </w:trPr>
        <w:tc>
          <w:tcPr>
            <w:tcW w:w="3900" w:type="dxa"/>
            <w:vAlign w:val="bottom"/>
          </w:tcPr>
          <w:p>
            <w:pPr>
              <w:ind w:left="20"/>
              <w:spacing w:after="0"/>
              <w:rPr>
                <w:sz w:val="20"/>
                <w:szCs w:val="20"/>
                <w:color w:val="auto"/>
              </w:rPr>
            </w:pPr>
            <w:r>
              <w:rPr>
                <w:rFonts w:ascii="Calibri" w:cs="Calibri" w:eastAsia="Calibri" w:hAnsi="Calibri"/>
                <w:sz w:val="18"/>
                <w:szCs w:val="18"/>
                <w:color w:val="51555C"/>
              </w:rPr>
              <w:t>2027</w:t>
            </w: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51555C"/>
              </w:rPr>
              <w:t>6,207</w:t>
            </w:r>
          </w:p>
        </w:tc>
        <w:tc>
          <w:tcPr>
            <w:tcW w:w="20" w:type="dxa"/>
            <w:vAlign w:val="bottom"/>
          </w:tcPr>
          <w:p>
            <w:pPr>
              <w:spacing w:after="0"/>
              <w:rPr>
                <w:sz w:val="19"/>
                <w:szCs w:val="19"/>
                <w:color w:val="auto"/>
              </w:rPr>
            </w:pPr>
          </w:p>
        </w:tc>
      </w:tr>
      <w:tr>
        <w:trPr>
          <w:trHeight w:val="51"/>
        </w:trPr>
        <w:tc>
          <w:tcPr>
            <w:tcW w:w="3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39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2028</w:t>
            </w:r>
          </w:p>
        </w:tc>
        <w:tc>
          <w:tcPr>
            <w:tcW w:w="74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c>
          <w:tcPr>
            <w:tcW w:w="80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72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6,101</w:t>
            </w:r>
          </w:p>
        </w:tc>
        <w:tc>
          <w:tcPr>
            <w:tcW w:w="20" w:type="dxa"/>
            <w:vAlign w:val="bottom"/>
          </w:tcPr>
          <w:p>
            <w:pPr>
              <w:spacing w:after="0"/>
              <w:rPr>
                <w:sz w:val="21"/>
                <w:szCs w:val="21"/>
                <w:color w:val="auto"/>
              </w:rPr>
            </w:pPr>
          </w:p>
        </w:tc>
      </w:tr>
      <w:tr>
        <w:trPr>
          <w:trHeight w:val="219"/>
        </w:trPr>
        <w:tc>
          <w:tcPr>
            <w:tcW w:w="3900" w:type="dxa"/>
            <w:vAlign w:val="bottom"/>
          </w:tcPr>
          <w:p>
            <w:pPr>
              <w:ind w:left="20"/>
              <w:spacing w:after="0"/>
              <w:rPr>
                <w:sz w:val="20"/>
                <w:szCs w:val="20"/>
                <w:color w:val="auto"/>
              </w:rPr>
            </w:pPr>
            <w:r>
              <w:rPr>
                <w:rFonts w:ascii="Calibri" w:cs="Calibri" w:eastAsia="Calibri" w:hAnsi="Calibri"/>
                <w:sz w:val="18"/>
                <w:szCs w:val="18"/>
                <w:color w:val="51555C"/>
              </w:rPr>
              <w:t>Thereafer</w:t>
            </w: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51555C"/>
              </w:rPr>
              <w:t>20,689</w:t>
            </w:r>
          </w:p>
        </w:tc>
        <w:tc>
          <w:tcPr>
            <w:tcW w:w="20" w:type="dxa"/>
            <w:vAlign w:val="bottom"/>
          </w:tcPr>
          <w:p>
            <w:pPr>
              <w:spacing w:after="0"/>
              <w:rPr>
                <w:sz w:val="19"/>
                <w:szCs w:val="19"/>
                <w:color w:val="auto"/>
              </w:rPr>
            </w:pPr>
          </w:p>
        </w:tc>
      </w:tr>
      <w:tr>
        <w:trPr>
          <w:trHeight w:val="51"/>
        </w:trPr>
        <w:tc>
          <w:tcPr>
            <w:tcW w:w="3900" w:type="dxa"/>
            <w:vAlign w:val="bottom"/>
            <w:tcBorders>
              <w:bottom w:val="single" w:sz="8" w:color="EBFBFF"/>
            </w:tcBorders>
          </w:tcPr>
          <w:p>
            <w:pPr>
              <w:spacing w:after="0"/>
              <w:rPr>
                <w:sz w:val="4"/>
                <w:szCs w:val="4"/>
                <w:color w:val="auto"/>
              </w:rPr>
            </w:pPr>
          </w:p>
        </w:tc>
        <w:tc>
          <w:tcPr>
            <w:tcW w:w="740" w:type="dxa"/>
            <w:vAlign w:val="bottom"/>
            <w:tcBorders>
              <w:bottom w:val="single" w:sz="8" w:color="EBFBFF"/>
            </w:tcBorders>
          </w:tcPr>
          <w:p>
            <w:pPr>
              <w:spacing w:after="0"/>
              <w:rPr>
                <w:sz w:val="4"/>
                <w:szCs w:val="4"/>
                <w:color w:val="auto"/>
              </w:rPr>
            </w:pPr>
          </w:p>
        </w:tc>
        <w:tc>
          <w:tcPr>
            <w:tcW w:w="1100" w:type="dxa"/>
            <w:vAlign w:val="bottom"/>
            <w:tcBorders>
              <w:bottom w:val="single" w:sz="8" w:color="EBFBFF"/>
            </w:tcBorders>
          </w:tcPr>
          <w:p>
            <w:pPr>
              <w:spacing w:after="0"/>
              <w:rPr>
                <w:sz w:val="4"/>
                <w:szCs w:val="4"/>
                <w:color w:val="auto"/>
              </w:rPr>
            </w:pPr>
          </w:p>
        </w:tc>
        <w:tc>
          <w:tcPr>
            <w:tcW w:w="800" w:type="dxa"/>
            <w:vAlign w:val="bottom"/>
            <w:tcBorders>
              <w:bottom w:val="single" w:sz="8" w:color="EBFBFF"/>
            </w:tcBorders>
          </w:tcPr>
          <w:p>
            <w:pPr>
              <w:spacing w:after="0"/>
              <w:rPr>
                <w:sz w:val="4"/>
                <w:szCs w:val="4"/>
                <w:color w:val="auto"/>
              </w:rPr>
            </w:pPr>
          </w:p>
        </w:tc>
        <w:tc>
          <w:tcPr>
            <w:tcW w:w="960" w:type="dxa"/>
            <w:vAlign w:val="bottom"/>
            <w:tcBorders>
              <w:bottom w:val="single" w:sz="8" w:color="EBFBFF"/>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720" w:type="dxa"/>
            <w:vAlign w:val="bottom"/>
            <w:tcBorders>
              <w:bottom w:val="single" w:sz="8" w:color="EBFBFF"/>
            </w:tcBorders>
          </w:tcPr>
          <w:p>
            <w:pPr>
              <w:spacing w:after="0"/>
              <w:rPr>
                <w:sz w:val="4"/>
                <w:szCs w:val="4"/>
                <w:color w:val="auto"/>
              </w:rPr>
            </w:pPr>
          </w:p>
        </w:tc>
        <w:tc>
          <w:tcPr>
            <w:tcW w:w="1160" w:type="dxa"/>
            <w:vAlign w:val="bottom"/>
            <w:tcBorders>
              <w:bottom w:val="single" w:sz="8" w:color="EBFBFF"/>
            </w:tcBorders>
          </w:tcPr>
          <w:p>
            <w:pPr>
              <w:spacing w:after="0"/>
              <w:rPr>
                <w:sz w:val="4"/>
                <w:szCs w:val="4"/>
                <w:color w:val="auto"/>
              </w:rPr>
            </w:pPr>
          </w:p>
        </w:tc>
        <w:tc>
          <w:tcPr>
            <w:tcW w:w="420" w:type="dxa"/>
            <w:vAlign w:val="bottom"/>
            <w:tcBorders>
              <w:bottom w:val="single" w:sz="8" w:color="51555C"/>
            </w:tcBorders>
          </w:tcPr>
          <w:p>
            <w:pPr>
              <w:spacing w:after="0"/>
              <w:rPr>
                <w:sz w:val="4"/>
                <w:szCs w:val="4"/>
                <w:color w:val="auto"/>
              </w:rPr>
            </w:pPr>
          </w:p>
        </w:tc>
        <w:tc>
          <w:tcPr>
            <w:tcW w:w="134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390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Total lease payments</w:t>
            </w:r>
          </w:p>
        </w:tc>
        <w:tc>
          <w:tcPr>
            <w:tcW w:w="74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c>
          <w:tcPr>
            <w:tcW w:w="80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72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47,040</w:t>
            </w:r>
          </w:p>
        </w:tc>
        <w:tc>
          <w:tcPr>
            <w:tcW w:w="20" w:type="dxa"/>
            <w:vAlign w:val="bottom"/>
          </w:tcPr>
          <w:p>
            <w:pPr>
              <w:spacing w:after="0"/>
              <w:rPr>
                <w:sz w:val="21"/>
                <w:szCs w:val="21"/>
                <w:color w:val="auto"/>
              </w:rPr>
            </w:pPr>
          </w:p>
        </w:tc>
      </w:tr>
      <w:tr>
        <w:trPr>
          <w:trHeight w:val="220"/>
        </w:trPr>
        <w:tc>
          <w:tcPr>
            <w:tcW w:w="3900" w:type="dxa"/>
            <w:vAlign w:val="bottom"/>
          </w:tcPr>
          <w:p>
            <w:pPr>
              <w:ind w:left="20"/>
              <w:spacing w:after="0"/>
              <w:rPr>
                <w:sz w:val="20"/>
                <w:szCs w:val="20"/>
                <w:color w:val="auto"/>
              </w:rPr>
            </w:pPr>
            <w:r>
              <w:rPr>
                <w:rFonts w:ascii="Calibri" w:cs="Calibri" w:eastAsia="Calibri" w:hAnsi="Calibri"/>
                <w:sz w:val="18"/>
                <w:szCs w:val="18"/>
                <w:color w:val="51555C"/>
              </w:rPr>
              <w:t>Less: Amount representng interest</w:t>
            </w: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51555C"/>
              </w:rPr>
              <w:t>7,115</w:t>
            </w:r>
          </w:p>
        </w:tc>
        <w:tc>
          <w:tcPr>
            <w:tcW w:w="20" w:type="dxa"/>
            <w:vAlign w:val="bottom"/>
          </w:tcPr>
          <w:p>
            <w:pPr>
              <w:spacing w:after="0"/>
              <w:rPr>
                <w:sz w:val="19"/>
                <w:szCs w:val="19"/>
                <w:color w:val="auto"/>
              </w:rPr>
            </w:pPr>
          </w:p>
        </w:tc>
      </w:tr>
      <w:tr>
        <w:trPr>
          <w:trHeight w:val="50"/>
        </w:trPr>
        <w:tc>
          <w:tcPr>
            <w:tcW w:w="3900" w:type="dxa"/>
            <w:vAlign w:val="bottom"/>
            <w:tcBorders>
              <w:bottom w:val="single" w:sz="8" w:color="EBFBFF"/>
            </w:tcBorders>
          </w:tcPr>
          <w:p>
            <w:pPr>
              <w:spacing w:after="0"/>
              <w:rPr>
                <w:sz w:val="4"/>
                <w:szCs w:val="4"/>
                <w:color w:val="auto"/>
              </w:rPr>
            </w:pPr>
          </w:p>
        </w:tc>
        <w:tc>
          <w:tcPr>
            <w:tcW w:w="740" w:type="dxa"/>
            <w:vAlign w:val="bottom"/>
            <w:tcBorders>
              <w:bottom w:val="single" w:sz="8" w:color="EBFBFF"/>
            </w:tcBorders>
          </w:tcPr>
          <w:p>
            <w:pPr>
              <w:spacing w:after="0"/>
              <w:rPr>
                <w:sz w:val="4"/>
                <w:szCs w:val="4"/>
                <w:color w:val="auto"/>
              </w:rPr>
            </w:pPr>
          </w:p>
        </w:tc>
        <w:tc>
          <w:tcPr>
            <w:tcW w:w="1100" w:type="dxa"/>
            <w:vAlign w:val="bottom"/>
            <w:tcBorders>
              <w:bottom w:val="single" w:sz="8" w:color="EBFBFF"/>
            </w:tcBorders>
          </w:tcPr>
          <w:p>
            <w:pPr>
              <w:spacing w:after="0"/>
              <w:rPr>
                <w:sz w:val="4"/>
                <w:szCs w:val="4"/>
                <w:color w:val="auto"/>
              </w:rPr>
            </w:pPr>
          </w:p>
        </w:tc>
        <w:tc>
          <w:tcPr>
            <w:tcW w:w="800" w:type="dxa"/>
            <w:vAlign w:val="bottom"/>
            <w:tcBorders>
              <w:bottom w:val="single" w:sz="8" w:color="EBFBFF"/>
            </w:tcBorders>
          </w:tcPr>
          <w:p>
            <w:pPr>
              <w:spacing w:after="0"/>
              <w:rPr>
                <w:sz w:val="4"/>
                <w:szCs w:val="4"/>
                <w:color w:val="auto"/>
              </w:rPr>
            </w:pPr>
          </w:p>
        </w:tc>
        <w:tc>
          <w:tcPr>
            <w:tcW w:w="960" w:type="dxa"/>
            <w:vAlign w:val="bottom"/>
            <w:tcBorders>
              <w:bottom w:val="single" w:sz="8" w:color="EBFBFF"/>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720" w:type="dxa"/>
            <w:vAlign w:val="bottom"/>
            <w:tcBorders>
              <w:bottom w:val="single" w:sz="8" w:color="EBFBFF"/>
            </w:tcBorders>
          </w:tcPr>
          <w:p>
            <w:pPr>
              <w:spacing w:after="0"/>
              <w:rPr>
                <w:sz w:val="4"/>
                <w:szCs w:val="4"/>
                <w:color w:val="auto"/>
              </w:rPr>
            </w:pPr>
          </w:p>
        </w:tc>
        <w:tc>
          <w:tcPr>
            <w:tcW w:w="1160" w:type="dxa"/>
            <w:vAlign w:val="bottom"/>
            <w:tcBorders>
              <w:bottom w:val="single" w:sz="8" w:color="EBFBFF"/>
            </w:tcBorders>
          </w:tcPr>
          <w:p>
            <w:pPr>
              <w:spacing w:after="0"/>
              <w:rPr>
                <w:sz w:val="4"/>
                <w:szCs w:val="4"/>
                <w:color w:val="auto"/>
              </w:rPr>
            </w:pPr>
          </w:p>
        </w:tc>
        <w:tc>
          <w:tcPr>
            <w:tcW w:w="420" w:type="dxa"/>
            <w:vAlign w:val="bottom"/>
            <w:tcBorders>
              <w:bottom w:val="single" w:sz="8" w:color="51555C"/>
            </w:tcBorders>
          </w:tcPr>
          <w:p>
            <w:pPr>
              <w:spacing w:after="0"/>
              <w:rPr>
                <w:sz w:val="4"/>
                <w:szCs w:val="4"/>
                <w:color w:val="auto"/>
              </w:rPr>
            </w:pPr>
          </w:p>
        </w:tc>
        <w:tc>
          <w:tcPr>
            <w:tcW w:w="134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390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Present value of future payments</w:t>
            </w:r>
          </w:p>
        </w:tc>
        <w:tc>
          <w:tcPr>
            <w:tcW w:w="74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c>
          <w:tcPr>
            <w:tcW w:w="80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72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jc w:val="right"/>
              <w:ind w:right="230"/>
              <w:spacing w:after="0" w:line="213" w:lineRule="exact"/>
              <w:rPr>
                <w:sz w:val="20"/>
                <w:szCs w:val="20"/>
                <w:color w:val="auto"/>
              </w:rPr>
            </w:pPr>
            <w:r>
              <w:rPr>
                <w:rFonts w:ascii="Calibri" w:cs="Calibri" w:eastAsia="Calibri" w:hAnsi="Calibri"/>
                <w:sz w:val="18"/>
                <w:szCs w:val="18"/>
                <w:color w:val="51555C"/>
                <w:w w:val="87"/>
              </w:rPr>
              <w:t>$</w:t>
            </w:r>
          </w:p>
        </w:tc>
        <w:tc>
          <w:tcPr>
            <w:tcW w:w="13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39,925</w:t>
            </w:r>
          </w:p>
        </w:tc>
        <w:tc>
          <w:tcPr>
            <w:tcW w:w="20" w:type="dxa"/>
            <w:vAlign w:val="bottom"/>
          </w:tcPr>
          <w:p>
            <w:pPr>
              <w:spacing w:after="0"/>
              <w:rPr>
                <w:sz w:val="21"/>
                <w:szCs w:val="21"/>
                <w:color w:val="auto"/>
              </w:rPr>
            </w:pPr>
          </w:p>
        </w:tc>
      </w:tr>
      <w:tr>
        <w:trPr>
          <w:trHeight w:val="20"/>
        </w:trPr>
        <w:tc>
          <w:tcPr>
            <w:tcW w:w="3900" w:type="dxa"/>
            <w:vAlign w:val="bottom"/>
            <w:shd w:val="clear" w:color="auto" w:fill="0CD973"/>
          </w:tcPr>
          <w:p>
            <w:pPr>
              <w:spacing w:after="0" w:line="20" w:lineRule="exact"/>
              <w:rPr>
                <w:sz w:val="1"/>
                <w:szCs w:val="1"/>
                <w:color w:val="auto"/>
              </w:rPr>
            </w:pPr>
          </w:p>
        </w:tc>
        <w:tc>
          <w:tcPr>
            <w:tcW w:w="740" w:type="dxa"/>
            <w:vAlign w:val="bottom"/>
            <w:shd w:val="clear" w:color="auto" w:fill="0CD973"/>
          </w:tcPr>
          <w:p>
            <w:pPr>
              <w:spacing w:after="0" w:line="20" w:lineRule="exact"/>
              <w:rPr>
                <w:sz w:val="1"/>
                <w:szCs w:val="1"/>
                <w:color w:val="auto"/>
              </w:rPr>
            </w:pPr>
          </w:p>
        </w:tc>
        <w:tc>
          <w:tcPr>
            <w:tcW w:w="1100" w:type="dxa"/>
            <w:vAlign w:val="bottom"/>
            <w:shd w:val="clear" w:color="auto" w:fill="0CD973"/>
          </w:tcPr>
          <w:p>
            <w:pPr>
              <w:spacing w:after="0" w:line="20" w:lineRule="exact"/>
              <w:rPr>
                <w:sz w:val="1"/>
                <w:szCs w:val="1"/>
                <w:color w:val="auto"/>
              </w:rPr>
            </w:pPr>
          </w:p>
        </w:tc>
        <w:tc>
          <w:tcPr>
            <w:tcW w:w="80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720" w:type="dxa"/>
            <w:vAlign w:val="bottom"/>
            <w:shd w:val="clear" w:color="auto" w:fill="0CD973"/>
          </w:tcPr>
          <w:p>
            <w:pPr>
              <w:spacing w:after="0" w:line="20" w:lineRule="exact"/>
              <w:rPr>
                <w:sz w:val="1"/>
                <w:szCs w:val="1"/>
                <w:color w:val="auto"/>
              </w:rPr>
            </w:pPr>
          </w:p>
        </w:tc>
        <w:tc>
          <w:tcPr>
            <w:tcW w:w="1160" w:type="dxa"/>
            <w:vAlign w:val="bottom"/>
            <w:shd w:val="clear" w:color="auto" w:fill="0CD973"/>
          </w:tcPr>
          <w:p>
            <w:pPr>
              <w:spacing w:after="0" w:line="20" w:lineRule="exact"/>
              <w:rPr>
                <w:sz w:val="1"/>
                <w:szCs w:val="1"/>
                <w:color w:val="auto"/>
              </w:rPr>
            </w:pPr>
          </w:p>
        </w:tc>
        <w:tc>
          <w:tcPr>
            <w:tcW w:w="420" w:type="dxa"/>
            <w:vAlign w:val="bottom"/>
            <w:shd w:val="clear" w:color="auto" w:fill="0CD973"/>
          </w:tcPr>
          <w:p>
            <w:pPr>
              <w:spacing w:after="0" w:line="20" w:lineRule="exact"/>
              <w:rPr>
                <w:sz w:val="1"/>
                <w:szCs w:val="1"/>
                <w:color w:val="auto"/>
              </w:rPr>
            </w:pPr>
          </w:p>
        </w:tc>
        <w:tc>
          <w:tcPr>
            <w:tcW w:w="13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Other commitments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term loans under the 2024 Credit Facilites require periodic principal payments. The balance of the term loans and any amounts drawn on the revolving credit loans are due upon maturity of the 2024 Credit Facilites in April 2029. The Real Estate Loans also require periodic principal payments and the balance of the Real Estate Loans are due upon maturity in April 2038.</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contractual obligatons for third-party technology used in our solutons and for other services we purchase as part of our normal operatons. In certain cases, these arrangements require a minimum annual purchase commitment by us. As of September 30, 2024, the remaining aggregate minimum purchase commitment under these arrangements was approximately $206.8 million through 2029.</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Soluton and service indemnifcatons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the ordinary course of business, we provide certain indemnifcatons of varying scope to customers against claims of intellectual property infringement made by third partes arising from the use of our solutons or services. We have not identfed any losses that might be covered by these indemnifcatons.</w:t>
      </w:r>
    </w:p>
    <w:p>
      <w:pPr>
        <w:spacing w:after="0" w:line="338"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18</w:t>
      </w:r>
      <w:r>
        <w:rPr>
          <w:sz w:val="20"/>
          <w:szCs w:val="20"/>
          <w:color w:val="auto"/>
        </w:rPr>
        <w:tab/>
      </w:r>
      <w:r>
        <w:rPr>
          <w:sz w:val="1"/>
          <w:szCs w:val="1"/>
          <w:color w:val="auto"/>
        </w:rPr>
        <w:drawing>
          <wp:inline distT="0" distB="0" distL="0" distR="0">
            <wp:extent cx="651510" cy="1714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Legal proceedings</w:t>
      </w:r>
    </w:p>
    <w:p>
      <w:pPr>
        <w:spacing w:after="0" w:line="163" w:lineRule="exact"/>
        <w:rPr>
          <w:sz w:val="20"/>
          <w:szCs w:val="20"/>
          <w:color w:val="auto"/>
        </w:rPr>
      </w:pPr>
    </w:p>
    <w:p>
      <w:pPr>
        <w:jc w:val="both"/>
        <w:ind w:right="20"/>
        <w:spacing w:after="0" w:line="250" w:lineRule="auto"/>
        <w:rPr>
          <w:sz w:val="20"/>
          <w:szCs w:val="20"/>
          <w:color w:val="auto"/>
        </w:rPr>
      </w:pPr>
      <w:r>
        <w:rPr>
          <w:rFonts w:ascii="Calibri" w:cs="Calibri" w:eastAsia="Calibri" w:hAnsi="Calibri"/>
          <w:sz w:val="17"/>
          <w:szCs w:val="17"/>
          <w:color w:val="51555C"/>
        </w:rPr>
        <w:t>We are subject to legal proceedings and claims that arise in the ordinary course of business, as well as certain other non-ordinary course proceedings, claims and investgatons, as described below. We make a provision for a loss contngency when it is both probable that a material liability has been incurred and the amount of the loss can be reasonably estmated. If only a range of estmated losses can be determined, we accrue an amount within the range that, in our judgment, refects the most likely outcome; if none of the estmates within that range is a beter estmate than any other amount, we accrue the low end of the range. For proceedings in which an unfavorable outcome is reasonably possible but not probable and an estmate of the loss or range of losses arising from the proceeding can be made, we disclose such an estmate, if material. If such a loss or range of losses is not reasonably estmable, we disclose that fact. We review any such loss contngency provisions at least quarterly and adjust them to refect the impacts of negotatons, setlements, rulings, advice of legal counsel and other informaton and events pertaining to a partcular case. We recognize insurance recoveries, if any, when they are probable of receipt. All associated costs due to third-party service providers and consultants, including legal fees, are expensed as incurred.</w:t>
      </w:r>
    </w:p>
    <w:p>
      <w:pPr>
        <w:spacing w:after="0" w:line="16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Legal proceedings are inherently unpredictable. However, we believe that we have valid defenses with respect to the legal maters pending or threatened against us and intend to defend ourselves vigorously against all claims asserted. It is possible that our consolidated fnancial positon, results of operatons or cash fows could be materially negatvely afected in any partcular period by an unfavorable resoluton of one or more of such legal proceedings.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Security incident</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previously disclosed, we are subject to risks and uncertaintes as a result of a ransomware atack against us in May 2020 in which a cybercriminal removed a copy of a subset of data from our self-hosted environment (the "Security Incident"). Based on the nature of the Security Incident, our research and third party (including law enforcement) investgaton, we do not believe that any data went beyond the cybercriminal, has been misused, or has been disseminated or otherwise made available publicly.</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a result of the Security Incident, we are currently subject to certain legal proceedings, claims and investgatons, as discussed below, and could be the subject of additonal legal proceedings, claims, inquiries and investgatons in the future that might result in adverse judgments, setlements, fnes, penaltes or other resoluton. To limit our exposure to losses related to claims against us, including data breaches such as the Security Incident, we maintain $50 million of insurance above a $250 thousand deductble payable by us. As noted below, this coverage reduced our fnancial exposure related to the Security Incident in prior years.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We recorded expenses and ofsetng insurance recoveries related to the Security Incident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00" w:type="dxa"/>
            <w:vAlign w:val="bottom"/>
            <w:shd w:val="clear" w:color="auto" w:fill="004054"/>
          </w:tcPr>
          <w:p>
            <w:pPr>
              <w:spacing w:after="0"/>
              <w:rPr>
                <w:sz w:val="16"/>
                <w:szCs w:val="16"/>
                <w:color w:val="auto"/>
              </w:rPr>
            </w:pPr>
          </w:p>
        </w:tc>
        <w:tc>
          <w:tcPr>
            <w:tcW w:w="620" w:type="dxa"/>
            <w:vAlign w:val="bottom"/>
            <w:shd w:val="clear" w:color="auto" w:fill="004054"/>
          </w:tcPr>
          <w:p>
            <w:pPr>
              <w:spacing w:after="0"/>
              <w:rPr>
                <w:sz w:val="16"/>
                <w:szCs w:val="16"/>
                <w:color w:val="auto"/>
              </w:rPr>
            </w:pPr>
          </w:p>
        </w:tc>
        <w:tc>
          <w:tcPr>
            <w:tcW w:w="82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13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Three months ended</w:t>
            </w:r>
          </w:p>
        </w:tc>
        <w:tc>
          <w:tcPr>
            <w:tcW w:w="100" w:type="dxa"/>
            <w:vAlign w:val="bottom"/>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92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2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c>
          <w:tcPr>
            <w:tcW w:w="20" w:type="dxa"/>
            <w:vAlign w:val="bottom"/>
            <w:shd w:val="clear" w:color="auto" w:fill="004054"/>
          </w:tcPr>
          <w:p>
            <w:pPr>
              <w:spacing w:after="0"/>
              <w:rPr>
                <w:sz w:val="16"/>
                <w:szCs w:val="16"/>
                <w:color w:val="auto"/>
              </w:rPr>
            </w:pPr>
          </w:p>
        </w:tc>
      </w:tr>
      <w:tr>
        <w:trPr>
          <w:trHeight w:val="170"/>
        </w:trPr>
        <w:tc>
          <w:tcPr>
            <w:tcW w:w="5400" w:type="dxa"/>
            <w:vAlign w:val="bottom"/>
            <w:shd w:val="clear" w:color="auto" w:fill="004054"/>
          </w:tcPr>
          <w:p>
            <w:pPr>
              <w:spacing w:after="0"/>
              <w:rPr>
                <w:sz w:val="14"/>
                <w:szCs w:val="14"/>
                <w:color w:val="auto"/>
              </w:rPr>
            </w:pPr>
          </w:p>
        </w:tc>
        <w:tc>
          <w:tcPr>
            <w:tcW w:w="620" w:type="dxa"/>
            <w:vAlign w:val="bottom"/>
            <w:shd w:val="clear" w:color="auto" w:fill="004054"/>
          </w:tcPr>
          <w:p>
            <w:pPr>
              <w:spacing w:after="0"/>
              <w:rPr>
                <w:sz w:val="14"/>
                <w:szCs w:val="14"/>
                <w:color w:val="auto"/>
              </w:rPr>
            </w:pPr>
          </w:p>
        </w:tc>
        <w:tc>
          <w:tcPr>
            <w:tcW w:w="820" w:type="dxa"/>
            <w:vAlign w:val="bottom"/>
            <w:shd w:val="clear" w:color="auto" w:fill="004054"/>
          </w:tcPr>
          <w:p>
            <w:pPr>
              <w:spacing w:after="0"/>
              <w:rPr>
                <w:sz w:val="14"/>
                <w:szCs w:val="14"/>
                <w:color w:val="auto"/>
              </w:rPr>
            </w:pPr>
          </w:p>
        </w:tc>
        <w:tc>
          <w:tcPr>
            <w:tcW w:w="140" w:type="dxa"/>
            <w:vAlign w:val="bottom"/>
            <w:shd w:val="clear" w:color="auto" w:fill="004054"/>
          </w:tcPr>
          <w:p>
            <w:pPr>
              <w:spacing w:after="0"/>
              <w:rPr>
                <w:sz w:val="14"/>
                <w:szCs w:val="14"/>
                <w:color w:val="auto"/>
              </w:rPr>
            </w:pPr>
          </w:p>
        </w:tc>
        <w:tc>
          <w:tcPr>
            <w:tcW w:w="13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100" w:type="dxa"/>
            <w:vAlign w:val="bottom"/>
          </w:tcPr>
          <w:p>
            <w:pPr>
              <w:spacing w:after="0"/>
              <w:rPr>
                <w:sz w:val="14"/>
                <w:szCs w:val="14"/>
                <w:color w:val="auto"/>
              </w:rPr>
            </w:pPr>
          </w:p>
        </w:tc>
        <w:tc>
          <w:tcPr>
            <w:tcW w:w="500" w:type="dxa"/>
            <w:vAlign w:val="bottom"/>
            <w:shd w:val="clear" w:color="auto" w:fill="004054"/>
          </w:tcPr>
          <w:p>
            <w:pPr>
              <w:spacing w:after="0"/>
              <w:rPr>
                <w:sz w:val="14"/>
                <w:szCs w:val="14"/>
                <w:color w:val="auto"/>
              </w:rPr>
            </w:pPr>
          </w:p>
        </w:tc>
        <w:tc>
          <w:tcPr>
            <w:tcW w:w="920" w:type="dxa"/>
            <w:vAlign w:val="bottom"/>
            <w:shd w:val="clear" w:color="auto" w:fill="004054"/>
          </w:tcPr>
          <w:p>
            <w:pPr>
              <w:spacing w:after="0"/>
              <w:rPr>
                <w:sz w:val="14"/>
                <w:szCs w:val="14"/>
                <w:color w:val="auto"/>
              </w:rPr>
            </w:pPr>
          </w:p>
        </w:tc>
        <w:tc>
          <w:tcPr>
            <w:tcW w:w="180" w:type="dxa"/>
            <w:vAlign w:val="bottom"/>
            <w:shd w:val="clear" w:color="auto" w:fill="004054"/>
          </w:tcPr>
          <w:p>
            <w:pPr>
              <w:spacing w:after="0"/>
              <w:rPr>
                <w:sz w:val="14"/>
                <w:szCs w:val="14"/>
                <w:color w:val="auto"/>
              </w:rPr>
            </w:pPr>
          </w:p>
        </w:tc>
        <w:tc>
          <w:tcPr>
            <w:tcW w:w="12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20" w:type="dxa"/>
            <w:vAlign w:val="bottom"/>
            <w:shd w:val="clear" w:color="auto" w:fill="004054"/>
          </w:tcPr>
          <w:p>
            <w:pPr>
              <w:spacing w:after="0"/>
              <w:rPr>
                <w:sz w:val="14"/>
                <w:szCs w:val="14"/>
                <w:color w:val="auto"/>
              </w:rPr>
            </w:pPr>
          </w:p>
        </w:tc>
      </w:tr>
      <w:tr>
        <w:trPr>
          <w:trHeight w:val="243"/>
        </w:trPr>
        <w:tc>
          <w:tcPr>
            <w:tcW w:w="54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620" w:type="dxa"/>
            <w:vAlign w:val="bottom"/>
            <w:shd w:val="clear" w:color="auto" w:fill="004054"/>
          </w:tcPr>
          <w:p>
            <w:pPr>
              <w:spacing w:after="0"/>
              <w:rPr>
                <w:sz w:val="21"/>
                <w:szCs w:val="21"/>
                <w:color w:val="auto"/>
              </w:rPr>
            </w:pPr>
          </w:p>
        </w:tc>
        <w:tc>
          <w:tcPr>
            <w:tcW w:w="8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40" w:type="dxa"/>
            <w:vAlign w:val="bottom"/>
            <w:shd w:val="clear" w:color="auto" w:fill="004054"/>
          </w:tcPr>
          <w:p>
            <w:pPr>
              <w:spacing w:after="0"/>
              <w:rPr>
                <w:sz w:val="21"/>
                <w:szCs w:val="21"/>
                <w:color w:val="auto"/>
              </w:rPr>
            </w:pPr>
          </w:p>
        </w:tc>
        <w:tc>
          <w:tcPr>
            <w:tcW w:w="13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00" w:type="dxa"/>
            <w:vAlign w:val="bottom"/>
          </w:tcPr>
          <w:p>
            <w:pPr>
              <w:spacing w:after="0"/>
              <w:rPr>
                <w:sz w:val="21"/>
                <w:szCs w:val="21"/>
                <w:color w:val="auto"/>
              </w:rPr>
            </w:pPr>
          </w:p>
        </w:tc>
        <w:tc>
          <w:tcPr>
            <w:tcW w:w="500" w:type="dxa"/>
            <w:vAlign w:val="bottom"/>
            <w:shd w:val="clear" w:color="auto" w:fill="004054"/>
          </w:tcPr>
          <w:p>
            <w:pPr>
              <w:spacing w:after="0"/>
              <w:rPr>
                <w:sz w:val="21"/>
                <w:szCs w:val="21"/>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80" w:type="dxa"/>
            <w:vAlign w:val="bottom"/>
            <w:shd w:val="clear" w:color="auto" w:fill="004054"/>
          </w:tcPr>
          <w:p>
            <w:pPr>
              <w:spacing w:after="0"/>
              <w:rPr>
                <w:sz w:val="21"/>
                <w:szCs w:val="21"/>
                <w:color w:val="auto"/>
              </w:rPr>
            </w:pPr>
          </w:p>
        </w:tc>
        <w:tc>
          <w:tcPr>
            <w:tcW w:w="12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21"/>
                <w:szCs w:val="21"/>
                <w:color w:val="auto"/>
              </w:rPr>
            </w:pPr>
          </w:p>
        </w:tc>
      </w:tr>
      <w:tr>
        <w:trPr>
          <w:trHeight w:val="60"/>
        </w:trPr>
        <w:tc>
          <w:tcPr>
            <w:tcW w:w="5400" w:type="dxa"/>
            <w:vAlign w:val="bottom"/>
            <w:tcBorders>
              <w:bottom w:val="single" w:sz="8" w:color="004054"/>
            </w:tcBorders>
            <w:shd w:val="clear" w:color="auto" w:fill="004054"/>
          </w:tcPr>
          <w:p>
            <w:pPr>
              <w:spacing w:after="0"/>
              <w:rPr>
                <w:sz w:val="5"/>
                <w:szCs w:val="5"/>
                <w:color w:val="auto"/>
              </w:rPr>
            </w:pPr>
          </w:p>
        </w:tc>
        <w:tc>
          <w:tcPr>
            <w:tcW w:w="620" w:type="dxa"/>
            <w:vAlign w:val="bottom"/>
            <w:tcBorders>
              <w:bottom w:val="single" w:sz="8" w:color="004054"/>
            </w:tcBorders>
            <w:shd w:val="clear" w:color="auto" w:fill="004054"/>
          </w:tcPr>
          <w:p>
            <w:pPr>
              <w:spacing w:after="0"/>
              <w:rPr>
                <w:sz w:val="5"/>
                <w:szCs w:val="5"/>
                <w:color w:val="auto"/>
              </w:rPr>
            </w:pPr>
          </w:p>
        </w:tc>
        <w:tc>
          <w:tcPr>
            <w:tcW w:w="820" w:type="dxa"/>
            <w:vAlign w:val="bottom"/>
            <w:tcBorders>
              <w:bottom w:val="single" w:sz="8" w:color="004054"/>
            </w:tcBorders>
            <w:shd w:val="clear" w:color="auto" w:fill="004054"/>
          </w:tcPr>
          <w:p>
            <w:pPr>
              <w:spacing w:after="0"/>
              <w:rPr>
                <w:sz w:val="5"/>
                <w:szCs w:val="5"/>
                <w:color w:val="auto"/>
              </w:rPr>
            </w:pPr>
          </w:p>
        </w:tc>
        <w:tc>
          <w:tcPr>
            <w:tcW w:w="140" w:type="dxa"/>
            <w:vAlign w:val="bottom"/>
            <w:tcBorders>
              <w:bottom w:val="single" w:sz="8" w:color="004054"/>
            </w:tcBorders>
            <w:shd w:val="clear" w:color="auto" w:fill="004054"/>
          </w:tcPr>
          <w:p>
            <w:pPr>
              <w:spacing w:after="0"/>
              <w:rPr>
                <w:sz w:val="5"/>
                <w:szCs w:val="5"/>
                <w:color w:val="auto"/>
              </w:rPr>
            </w:pPr>
          </w:p>
        </w:tc>
        <w:tc>
          <w:tcPr>
            <w:tcW w:w="1300" w:type="dxa"/>
            <w:vAlign w:val="bottom"/>
            <w:tcBorders>
              <w:bottom w:val="single" w:sz="8" w:color="004054"/>
              <w:right w:val="single" w:sz="8" w:color="004054"/>
            </w:tcBorders>
            <w:shd w:val="clear" w:color="auto" w:fill="004054"/>
          </w:tcPr>
          <w:p>
            <w:pPr>
              <w:spacing w:after="0"/>
              <w:rPr>
                <w:sz w:val="5"/>
                <w:szCs w:val="5"/>
                <w:color w:val="auto"/>
              </w:rPr>
            </w:pPr>
          </w:p>
        </w:tc>
        <w:tc>
          <w:tcPr>
            <w:tcW w:w="100" w:type="dxa"/>
            <w:vAlign w:val="bottom"/>
            <w:tcBorders>
              <w:bottom w:val="single" w:sz="8" w:color="EBFBFF"/>
            </w:tcBorders>
          </w:tcPr>
          <w:p>
            <w:pPr>
              <w:spacing w:after="0"/>
              <w:rPr>
                <w:sz w:val="5"/>
                <w:szCs w:val="5"/>
                <w:color w:val="auto"/>
              </w:rPr>
            </w:pPr>
          </w:p>
        </w:tc>
        <w:tc>
          <w:tcPr>
            <w:tcW w:w="500" w:type="dxa"/>
            <w:vAlign w:val="bottom"/>
            <w:tcBorders>
              <w:bottom w:val="single" w:sz="8" w:color="004054"/>
            </w:tcBorders>
            <w:shd w:val="clear" w:color="auto" w:fill="004054"/>
          </w:tcPr>
          <w:p>
            <w:pPr>
              <w:spacing w:after="0"/>
              <w:rPr>
                <w:sz w:val="5"/>
                <w:szCs w:val="5"/>
                <w:color w:val="auto"/>
              </w:rPr>
            </w:pPr>
          </w:p>
        </w:tc>
        <w:tc>
          <w:tcPr>
            <w:tcW w:w="920" w:type="dxa"/>
            <w:vAlign w:val="bottom"/>
            <w:tcBorders>
              <w:bottom w:val="single" w:sz="8" w:color="004054"/>
            </w:tcBorders>
            <w:shd w:val="clear" w:color="auto" w:fill="004054"/>
          </w:tcPr>
          <w:p>
            <w:pPr>
              <w:spacing w:after="0"/>
              <w:rPr>
                <w:sz w:val="5"/>
                <w:szCs w:val="5"/>
                <w:color w:val="auto"/>
              </w:rPr>
            </w:pPr>
          </w:p>
        </w:tc>
        <w:tc>
          <w:tcPr>
            <w:tcW w:w="180" w:type="dxa"/>
            <w:vAlign w:val="bottom"/>
            <w:tcBorders>
              <w:bottom w:val="single" w:sz="8" w:color="004054"/>
            </w:tcBorders>
            <w:shd w:val="clear" w:color="auto" w:fill="004054"/>
          </w:tcPr>
          <w:p>
            <w:pPr>
              <w:spacing w:after="0"/>
              <w:rPr>
                <w:sz w:val="5"/>
                <w:szCs w:val="5"/>
                <w:color w:val="auto"/>
              </w:rPr>
            </w:pPr>
          </w:p>
        </w:tc>
        <w:tc>
          <w:tcPr>
            <w:tcW w:w="126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r>
      <w:tr>
        <w:trPr>
          <w:trHeight w:val="243"/>
        </w:trPr>
        <w:tc>
          <w:tcPr>
            <w:tcW w:w="540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Gross expense</w:t>
            </w:r>
          </w:p>
        </w:tc>
        <w:tc>
          <w:tcPr>
            <w:tcW w:w="620" w:type="dxa"/>
            <w:vAlign w:val="bottom"/>
            <w:tcBorders>
              <w:bottom w:val="single" w:sz="8" w:color="EBFBFF"/>
            </w:tcBorders>
            <w:shd w:val="clear" w:color="auto" w:fill="EBFBFF"/>
          </w:tcPr>
          <w:p>
            <w:pPr>
              <w:jc w:val="right"/>
              <w:ind w:right="410"/>
              <w:spacing w:after="0" w:line="213" w:lineRule="exact"/>
              <w:rPr>
                <w:sz w:val="20"/>
                <w:szCs w:val="20"/>
                <w:color w:val="auto"/>
              </w:rPr>
            </w:pPr>
            <w:r>
              <w:rPr>
                <w:rFonts w:ascii="Calibri" w:cs="Calibri" w:eastAsia="Calibri" w:hAnsi="Calibri"/>
                <w:sz w:val="18"/>
                <w:szCs w:val="18"/>
                <w:color w:val="51555C"/>
              </w:rPr>
              <w:t>$</w:t>
            </w:r>
          </w:p>
        </w:tc>
        <w:tc>
          <w:tcPr>
            <w:tcW w:w="8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637</w:t>
            </w:r>
          </w:p>
        </w:tc>
        <w:tc>
          <w:tcPr>
            <w:tcW w:w="1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300" w:type="dxa"/>
            <w:vAlign w:val="bottom"/>
            <w:tcBorders>
              <w:bottom w:val="single" w:sz="8" w:color="EBFBFF"/>
              <w:right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4,086</w:t>
            </w:r>
          </w:p>
        </w:tc>
        <w:tc>
          <w:tcPr>
            <w:tcW w:w="600" w:type="dxa"/>
            <w:vAlign w:val="bottom"/>
            <w:tcBorders>
              <w:bottom w:val="single" w:sz="8" w:color="EBFBFF"/>
            </w:tcBorders>
            <w:gridSpan w:val="2"/>
            <w:shd w:val="clear" w:color="auto" w:fill="EBFBFF"/>
          </w:tcPr>
          <w:p>
            <w:pPr>
              <w:jc w:val="right"/>
              <w:ind w:right="400"/>
              <w:spacing w:after="0" w:line="213" w:lineRule="exact"/>
              <w:rPr>
                <w:sz w:val="20"/>
                <w:szCs w:val="20"/>
                <w:color w:val="auto"/>
              </w:rPr>
            </w:pPr>
            <w:r>
              <w:rPr>
                <w:rFonts w:ascii="Calibri" w:cs="Calibri" w:eastAsia="Calibri" w:hAnsi="Calibri"/>
                <w:sz w:val="18"/>
                <w:szCs w:val="18"/>
                <w:color w:val="51555C"/>
              </w:rPr>
              <w:t>$</w:t>
            </w:r>
          </w:p>
        </w:tc>
        <w:tc>
          <w:tcPr>
            <w:tcW w:w="9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12,782</w:t>
            </w:r>
          </w:p>
        </w:tc>
        <w:tc>
          <w:tcPr>
            <w:tcW w:w="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48,646</w:t>
            </w:r>
          </w:p>
        </w:tc>
        <w:tc>
          <w:tcPr>
            <w:tcW w:w="20" w:type="dxa"/>
            <w:vAlign w:val="bottom"/>
          </w:tcPr>
          <w:p>
            <w:pPr>
              <w:spacing w:after="0"/>
              <w:rPr>
                <w:sz w:val="21"/>
                <w:szCs w:val="21"/>
                <w:color w:val="auto"/>
              </w:rPr>
            </w:pPr>
          </w:p>
        </w:tc>
      </w:tr>
      <w:tr>
        <w:trPr>
          <w:trHeight w:val="220"/>
        </w:trPr>
        <w:tc>
          <w:tcPr>
            <w:tcW w:w="5400" w:type="dxa"/>
            <w:vAlign w:val="bottom"/>
          </w:tcPr>
          <w:p>
            <w:pPr>
              <w:ind w:left="20"/>
              <w:spacing w:after="0"/>
              <w:rPr>
                <w:sz w:val="20"/>
                <w:szCs w:val="20"/>
                <w:color w:val="auto"/>
              </w:rPr>
            </w:pPr>
            <w:r>
              <w:rPr>
                <w:rFonts w:ascii="Calibri" w:cs="Calibri" w:eastAsia="Calibri" w:hAnsi="Calibri"/>
                <w:sz w:val="18"/>
                <w:szCs w:val="18"/>
                <w:color w:val="51555C"/>
              </w:rPr>
              <w:t>Ofsetng insurance recoveries</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19"/>
                <w:szCs w:val="19"/>
                <w:color w:val="auto"/>
              </w:rPr>
            </w:pPr>
          </w:p>
        </w:tc>
      </w:tr>
      <w:tr>
        <w:trPr>
          <w:trHeight w:val="50"/>
        </w:trPr>
        <w:tc>
          <w:tcPr>
            <w:tcW w:w="5400" w:type="dxa"/>
            <w:vAlign w:val="bottom"/>
            <w:tcBorders>
              <w:bottom w:val="single" w:sz="8" w:color="EBFBFF"/>
            </w:tcBorders>
          </w:tcPr>
          <w:p>
            <w:pPr>
              <w:spacing w:after="0"/>
              <w:rPr>
                <w:sz w:val="4"/>
                <w:szCs w:val="4"/>
                <w:color w:val="auto"/>
              </w:rPr>
            </w:pPr>
          </w:p>
        </w:tc>
        <w:tc>
          <w:tcPr>
            <w:tcW w:w="620" w:type="dxa"/>
            <w:vAlign w:val="bottom"/>
            <w:tcBorders>
              <w:bottom w:val="single" w:sz="8" w:color="51555C"/>
            </w:tcBorders>
          </w:tcPr>
          <w:p>
            <w:pPr>
              <w:spacing w:after="0"/>
              <w:rPr>
                <w:sz w:val="4"/>
                <w:szCs w:val="4"/>
                <w:color w:val="auto"/>
              </w:rPr>
            </w:pPr>
          </w:p>
        </w:tc>
        <w:tc>
          <w:tcPr>
            <w:tcW w:w="820" w:type="dxa"/>
            <w:vAlign w:val="bottom"/>
            <w:tcBorders>
              <w:bottom w:val="single" w:sz="8" w:color="51555C"/>
            </w:tcBorders>
          </w:tcPr>
          <w:p>
            <w:pPr>
              <w:spacing w:after="0"/>
              <w:rPr>
                <w:sz w:val="4"/>
                <w:szCs w:val="4"/>
                <w:color w:val="auto"/>
              </w:rPr>
            </w:pPr>
          </w:p>
        </w:tc>
        <w:tc>
          <w:tcPr>
            <w:tcW w:w="140" w:type="dxa"/>
            <w:vAlign w:val="bottom"/>
            <w:tcBorders>
              <w:bottom w:val="single" w:sz="8" w:color="51555C"/>
            </w:tcBorders>
          </w:tcPr>
          <w:p>
            <w:pPr>
              <w:spacing w:after="0"/>
              <w:rPr>
                <w:sz w:val="4"/>
                <w:szCs w:val="4"/>
                <w:color w:val="auto"/>
              </w:rPr>
            </w:pPr>
          </w:p>
        </w:tc>
        <w:tc>
          <w:tcPr>
            <w:tcW w:w="130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920" w:type="dxa"/>
            <w:vAlign w:val="bottom"/>
            <w:tcBorders>
              <w:bottom w:val="single" w:sz="8" w:color="51555C"/>
            </w:tcBorders>
          </w:tcPr>
          <w:p>
            <w:pPr>
              <w:spacing w:after="0"/>
              <w:rPr>
                <w:sz w:val="4"/>
                <w:szCs w:val="4"/>
                <w:color w:val="auto"/>
              </w:rPr>
            </w:pPr>
          </w:p>
        </w:tc>
        <w:tc>
          <w:tcPr>
            <w:tcW w:w="180" w:type="dxa"/>
            <w:vAlign w:val="bottom"/>
            <w:tcBorders>
              <w:bottom w:val="single" w:sz="8" w:color="51555C"/>
            </w:tcBorders>
          </w:tcPr>
          <w:p>
            <w:pPr>
              <w:spacing w:after="0"/>
              <w:rPr>
                <w:sz w:val="4"/>
                <w:szCs w:val="4"/>
                <w:color w:val="auto"/>
              </w:rPr>
            </w:pPr>
          </w:p>
        </w:tc>
        <w:tc>
          <w:tcPr>
            <w:tcW w:w="12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540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Net expense</w:t>
            </w:r>
          </w:p>
        </w:tc>
        <w:tc>
          <w:tcPr>
            <w:tcW w:w="620" w:type="dxa"/>
            <w:vAlign w:val="bottom"/>
            <w:tcBorders>
              <w:bottom w:val="single" w:sz="8" w:color="EBFBFF"/>
            </w:tcBorders>
            <w:shd w:val="clear" w:color="auto" w:fill="EBFBFF"/>
          </w:tcPr>
          <w:p>
            <w:pPr>
              <w:jc w:val="right"/>
              <w:ind w:right="410"/>
              <w:spacing w:after="0" w:line="213" w:lineRule="exact"/>
              <w:rPr>
                <w:sz w:val="20"/>
                <w:szCs w:val="20"/>
                <w:color w:val="auto"/>
              </w:rPr>
            </w:pPr>
            <w:r>
              <w:rPr>
                <w:rFonts w:ascii="Calibri" w:cs="Calibri" w:eastAsia="Calibri" w:hAnsi="Calibri"/>
                <w:sz w:val="18"/>
                <w:szCs w:val="18"/>
                <w:color w:val="51555C"/>
              </w:rPr>
              <w:t>$</w:t>
            </w:r>
          </w:p>
        </w:tc>
        <w:tc>
          <w:tcPr>
            <w:tcW w:w="8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637</w:t>
            </w:r>
          </w:p>
        </w:tc>
        <w:tc>
          <w:tcPr>
            <w:tcW w:w="1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300" w:type="dxa"/>
            <w:vAlign w:val="bottom"/>
            <w:tcBorders>
              <w:bottom w:val="single" w:sz="8" w:color="EBFBFF"/>
              <w:right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4,086</w:t>
            </w:r>
          </w:p>
        </w:tc>
        <w:tc>
          <w:tcPr>
            <w:tcW w:w="600" w:type="dxa"/>
            <w:vAlign w:val="bottom"/>
            <w:tcBorders>
              <w:bottom w:val="single" w:sz="8" w:color="EBFBFF"/>
            </w:tcBorders>
            <w:gridSpan w:val="2"/>
            <w:shd w:val="clear" w:color="auto" w:fill="EBFBFF"/>
          </w:tcPr>
          <w:p>
            <w:pPr>
              <w:jc w:val="right"/>
              <w:ind w:right="400"/>
              <w:spacing w:after="0" w:line="213" w:lineRule="exact"/>
              <w:rPr>
                <w:sz w:val="20"/>
                <w:szCs w:val="20"/>
                <w:color w:val="auto"/>
              </w:rPr>
            </w:pPr>
            <w:r>
              <w:rPr>
                <w:rFonts w:ascii="Calibri" w:cs="Calibri" w:eastAsia="Calibri" w:hAnsi="Calibri"/>
                <w:sz w:val="18"/>
                <w:szCs w:val="18"/>
                <w:color w:val="51555C"/>
              </w:rPr>
              <w:t>$</w:t>
            </w:r>
          </w:p>
        </w:tc>
        <w:tc>
          <w:tcPr>
            <w:tcW w:w="9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12,782</w:t>
            </w:r>
          </w:p>
        </w:tc>
        <w:tc>
          <w:tcPr>
            <w:tcW w:w="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48,646</w:t>
            </w:r>
          </w:p>
        </w:tc>
        <w:tc>
          <w:tcPr>
            <w:tcW w:w="20" w:type="dxa"/>
            <w:vAlign w:val="bottom"/>
          </w:tcPr>
          <w:p>
            <w:pPr>
              <w:spacing w:after="0"/>
              <w:rPr>
                <w:sz w:val="21"/>
                <w:szCs w:val="21"/>
                <w:color w:val="auto"/>
              </w:rPr>
            </w:pPr>
          </w:p>
        </w:tc>
      </w:tr>
      <w:tr>
        <w:trPr>
          <w:trHeight w:val="20"/>
        </w:trPr>
        <w:tc>
          <w:tcPr>
            <w:tcW w:w="5400" w:type="dxa"/>
            <w:vAlign w:val="bottom"/>
            <w:shd w:val="clear" w:color="auto" w:fill="0CD973"/>
          </w:tcPr>
          <w:p>
            <w:pPr>
              <w:spacing w:after="0" w:line="20" w:lineRule="exact"/>
              <w:rPr>
                <w:sz w:val="1"/>
                <w:szCs w:val="1"/>
                <w:color w:val="auto"/>
              </w:rPr>
            </w:pPr>
          </w:p>
        </w:tc>
        <w:tc>
          <w:tcPr>
            <w:tcW w:w="620" w:type="dxa"/>
            <w:vAlign w:val="bottom"/>
            <w:shd w:val="clear" w:color="auto" w:fill="0CD973"/>
          </w:tcPr>
          <w:p>
            <w:pPr>
              <w:spacing w:after="0" w:line="20" w:lineRule="exact"/>
              <w:rPr>
                <w:sz w:val="1"/>
                <w:szCs w:val="1"/>
                <w:color w:val="auto"/>
              </w:rPr>
            </w:pPr>
          </w:p>
        </w:tc>
        <w:tc>
          <w:tcPr>
            <w:tcW w:w="820" w:type="dxa"/>
            <w:vAlign w:val="bottom"/>
            <w:shd w:val="clear" w:color="auto" w:fill="0CD973"/>
          </w:tcPr>
          <w:p>
            <w:pPr>
              <w:spacing w:after="0" w:line="20" w:lineRule="exact"/>
              <w:rPr>
                <w:sz w:val="1"/>
                <w:szCs w:val="1"/>
                <w:color w:val="auto"/>
              </w:rPr>
            </w:pPr>
          </w:p>
        </w:tc>
        <w:tc>
          <w:tcPr>
            <w:tcW w:w="140" w:type="dxa"/>
            <w:vAlign w:val="bottom"/>
            <w:shd w:val="clear" w:color="auto" w:fill="0CD973"/>
          </w:tcPr>
          <w:p>
            <w:pPr>
              <w:spacing w:after="0" w:line="20" w:lineRule="exact"/>
              <w:rPr>
                <w:sz w:val="1"/>
                <w:szCs w:val="1"/>
                <w:color w:val="auto"/>
              </w:rPr>
            </w:pPr>
          </w:p>
        </w:tc>
        <w:tc>
          <w:tcPr>
            <w:tcW w:w="1300" w:type="dxa"/>
            <w:vAlign w:val="bottom"/>
            <w:tcBorders>
              <w:right w:val="single" w:sz="8" w:color="0CD973"/>
            </w:tcBorders>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180" w:type="dxa"/>
            <w:vAlign w:val="bottom"/>
            <w:shd w:val="clear" w:color="auto" w:fill="0CD973"/>
          </w:tcPr>
          <w:p>
            <w:pPr>
              <w:spacing w:after="0" w:line="20" w:lineRule="exact"/>
              <w:rPr>
                <w:sz w:val="1"/>
                <w:szCs w:val="1"/>
                <w:color w:val="auto"/>
              </w:rPr>
            </w:pPr>
          </w:p>
        </w:tc>
        <w:tc>
          <w:tcPr>
            <w:tcW w:w="12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-694055</wp:posOffset>
            </wp:positionV>
            <wp:extent cx="37115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summarizes our cumulatve expenses, insurance recoveries recognized and insurance recoveries paid as of: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90" w:type="dxa"/>
            <w:vAlign w:val="bottom"/>
            <w:shd w:val="clear" w:color="auto" w:fill="004054"/>
          </w:tcPr>
          <w:p>
            <w:pPr>
              <w:spacing w:after="0"/>
              <w:rPr>
                <w:sz w:val="16"/>
                <w:szCs w:val="16"/>
                <w:color w:val="auto"/>
              </w:rPr>
            </w:pPr>
          </w:p>
        </w:tc>
        <w:tc>
          <w:tcPr>
            <w:tcW w:w="14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14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r>
      <w:tr>
        <w:trPr>
          <w:trHeight w:val="170"/>
        </w:trPr>
        <w:tc>
          <w:tcPr>
            <w:tcW w:w="839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4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4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r>
      <w:tr>
        <w:trPr>
          <w:trHeight w:val="74"/>
        </w:trPr>
        <w:tc>
          <w:tcPr>
            <w:tcW w:w="8390" w:type="dxa"/>
            <w:vAlign w:val="bottom"/>
            <w:shd w:val="clear" w:color="auto" w:fill="004054"/>
          </w:tcPr>
          <w:p>
            <w:pPr>
              <w:spacing w:after="0"/>
              <w:rPr>
                <w:sz w:val="6"/>
                <w:szCs w:val="6"/>
                <w:color w:val="auto"/>
              </w:rPr>
            </w:pPr>
          </w:p>
        </w:tc>
        <w:tc>
          <w:tcPr>
            <w:tcW w:w="1420" w:type="dxa"/>
            <w:vAlign w:val="bottom"/>
            <w:shd w:val="clear" w:color="auto" w:fill="004054"/>
          </w:tcPr>
          <w:p>
            <w:pPr>
              <w:spacing w:after="0"/>
              <w:rPr>
                <w:sz w:val="6"/>
                <w:szCs w:val="6"/>
                <w:color w:val="auto"/>
              </w:rPr>
            </w:pPr>
          </w:p>
        </w:tc>
        <w:tc>
          <w:tcPr>
            <w:tcW w:w="145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5840" w:type="dxa"/>
            <w:vAlign w:val="bottom"/>
          </w:tcPr>
          <w:p>
            <w:pPr>
              <w:ind w:left="20"/>
              <w:spacing w:after="0"/>
              <w:rPr>
                <w:sz w:val="20"/>
                <w:szCs w:val="20"/>
                <w:color w:val="auto"/>
              </w:rPr>
            </w:pPr>
            <w:r>
              <w:rPr>
                <w:rFonts w:ascii="Calibri" w:cs="Calibri" w:eastAsia="Calibri" w:hAnsi="Calibri"/>
                <w:sz w:val="18"/>
                <w:szCs w:val="18"/>
                <w:color w:val="51555C"/>
              </w:rPr>
              <w:t>Cumulatve gross expense</w:t>
            </w:r>
          </w:p>
        </w:tc>
        <w:tc>
          <w:tcPr>
            <w:tcW w:w="2980" w:type="dxa"/>
            <w:vAlign w:val="bottom"/>
            <w:gridSpan w:val="2"/>
          </w:tcPr>
          <w:p>
            <w:pPr>
              <w:jc w:val="right"/>
              <w:ind w:right="340"/>
              <w:spacing w:after="0"/>
              <w:rPr>
                <w:sz w:val="20"/>
                <w:szCs w:val="20"/>
                <w:color w:val="auto"/>
              </w:rPr>
            </w:pPr>
            <w:r>
              <w:rPr>
                <w:rFonts w:ascii="Calibri" w:cs="Calibri" w:eastAsia="Calibri" w:hAnsi="Calibri"/>
                <w:sz w:val="18"/>
                <w:szCs w:val="18"/>
                <w:color w:val="51555C"/>
              </w:rPr>
              <w:t>$</w:t>
            </w:r>
          </w:p>
        </w:tc>
        <w:tc>
          <w:tcPr>
            <w:tcW w:w="980" w:type="dxa"/>
            <w:vAlign w:val="bottom"/>
          </w:tcPr>
          <w:p>
            <w:pPr>
              <w:ind w:left="340"/>
              <w:spacing w:after="0"/>
              <w:rPr>
                <w:sz w:val="20"/>
                <w:szCs w:val="20"/>
                <w:color w:val="auto"/>
              </w:rPr>
            </w:pPr>
            <w:r>
              <w:rPr>
                <w:rFonts w:ascii="Calibri" w:cs="Calibri" w:eastAsia="Calibri" w:hAnsi="Calibri"/>
                <w:sz w:val="18"/>
                <w:szCs w:val="18"/>
                <w:color w:val="51555C"/>
              </w:rPr>
              <w:t>174,213</w:t>
            </w:r>
          </w:p>
        </w:tc>
        <w:tc>
          <w:tcPr>
            <w:tcW w:w="460" w:type="dxa"/>
            <w:vAlign w:val="bottom"/>
          </w:tcPr>
          <w:p>
            <w:pPr>
              <w:jc w:val="right"/>
              <w:ind w:right="250"/>
              <w:spacing w:after="0"/>
              <w:rPr>
                <w:sz w:val="20"/>
                <w:szCs w:val="20"/>
                <w:color w:val="auto"/>
              </w:rPr>
            </w:pPr>
            <w:r>
              <w:rPr>
                <w:rFonts w:ascii="Calibri" w:cs="Calibri" w:eastAsia="Calibri" w:hAnsi="Calibri"/>
                <w:sz w:val="18"/>
                <w:szCs w:val="18"/>
                <w:color w:val="51555C"/>
              </w:rPr>
              <w:t>$</w:t>
            </w:r>
          </w:p>
        </w:tc>
        <w:tc>
          <w:tcPr>
            <w:tcW w:w="980" w:type="dxa"/>
            <w:vAlign w:val="bottom"/>
          </w:tcPr>
          <w:p>
            <w:pPr>
              <w:ind w:left="340"/>
              <w:spacing w:after="0"/>
              <w:rPr>
                <w:sz w:val="20"/>
                <w:szCs w:val="20"/>
                <w:color w:val="auto"/>
              </w:rPr>
            </w:pPr>
            <w:r>
              <w:rPr>
                <w:rFonts w:ascii="Calibri" w:cs="Calibri" w:eastAsia="Calibri" w:hAnsi="Calibri"/>
                <w:sz w:val="18"/>
                <w:szCs w:val="18"/>
                <w:color w:val="51555C"/>
              </w:rPr>
              <w:t>161,431</w:t>
            </w:r>
          </w:p>
        </w:tc>
      </w:tr>
      <w:tr>
        <w:trPr>
          <w:trHeight w:val="270"/>
        </w:trPr>
        <w:tc>
          <w:tcPr>
            <w:tcW w:w="5840" w:type="dxa"/>
            <w:vAlign w:val="bottom"/>
          </w:tcPr>
          <w:p>
            <w:pPr>
              <w:ind w:left="20"/>
              <w:spacing w:after="0"/>
              <w:rPr>
                <w:sz w:val="20"/>
                <w:szCs w:val="20"/>
                <w:color w:val="auto"/>
              </w:rPr>
            </w:pPr>
            <w:r>
              <w:rPr>
                <w:rFonts w:ascii="Calibri" w:cs="Calibri" w:eastAsia="Calibri" w:hAnsi="Calibri"/>
                <w:sz w:val="18"/>
                <w:szCs w:val="18"/>
                <w:color w:val="51555C"/>
              </w:rPr>
              <w:t>Cumulatve ofsetng insurance recoveries recognized</w:t>
            </w:r>
          </w:p>
        </w:tc>
        <w:tc>
          <w:tcPr>
            <w:tcW w:w="2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ind w:left="360"/>
              <w:spacing w:after="0"/>
              <w:rPr>
                <w:sz w:val="20"/>
                <w:szCs w:val="20"/>
                <w:color w:val="auto"/>
              </w:rPr>
            </w:pPr>
            <w:r>
              <w:rPr>
                <w:rFonts w:ascii="Calibri" w:cs="Calibri" w:eastAsia="Calibri" w:hAnsi="Calibri"/>
                <w:sz w:val="18"/>
                <w:szCs w:val="18"/>
                <w:color w:val="51555C"/>
                <w:w w:val="98"/>
              </w:rPr>
              <w:t>(50,000)</w:t>
            </w:r>
          </w:p>
        </w:tc>
        <w:tc>
          <w:tcPr>
            <w:tcW w:w="460" w:type="dxa"/>
            <w:vAlign w:val="bottom"/>
          </w:tcPr>
          <w:p>
            <w:pPr>
              <w:spacing w:after="0"/>
              <w:rPr>
                <w:sz w:val="23"/>
                <w:szCs w:val="23"/>
                <w:color w:val="auto"/>
              </w:rPr>
            </w:pPr>
          </w:p>
        </w:tc>
        <w:tc>
          <w:tcPr>
            <w:tcW w:w="980" w:type="dxa"/>
            <w:vAlign w:val="bottom"/>
          </w:tcPr>
          <w:p>
            <w:pPr>
              <w:ind w:left="360"/>
              <w:spacing w:after="0"/>
              <w:rPr>
                <w:sz w:val="20"/>
                <w:szCs w:val="20"/>
                <w:color w:val="auto"/>
              </w:rPr>
            </w:pPr>
            <w:r>
              <w:rPr>
                <w:rFonts w:ascii="Calibri" w:cs="Calibri" w:eastAsia="Calibri" w:hAnsi="Calibri"/>
                <w:sz w:val="18"/>
                <w:szCs w:val="18"/>
                <w:color w:val="51555C"/>
                <w:w w:val="98"/>
              </w:rPr>
              <w:t>(50,000)</w:t>
            </w:r>
          </w:p>
        </w:tc>
      </w:tr>
      <w:tr>
        <w:trPr>
          <w:trHeight w:val="50"/>
        </w:trPr>
        <w:tc>
          <w:tcPr>
            <w:tcW w:w="5840" w:type="dxa"/>
            <w:vAlign w:val="bottom"/>
            <w:tcBorders>
              <w:bottom w:val="single" w:sz="8" w:color="EBFBFF"/>
            </w:tcBorders>
          </w:tcPr>
          <w:p>
            <w:pPr>
              <w:spacing w:after="0"/>
              <w:rPr>
                <w:sz w:val="4"/>
                <w:szCs w:val="4"/>
                <w:color w:val="auto"/>
              </w:rPr>
            </w:pPr>
          </w:p>
        </w:tc>
        <w:tc>
          <w:tcPr>
            <w:tcW w:w="2540" w:type="dxa"/>
            <w:vAlign w:val="bottom"/>
            <w:tcBorders>
              <w:bottom w:val="single" w:sz="8" w:color="EBFBFF"/>
            </w:tcBorders>
          </w:tcPr>
          <w:p>
            <w:pPr>
              <w:spacing w:after="0"/>
              <w:rPr>
                <w:sz w:val="4"/>
                <w:szCs w:val="4"/>
                <w:color w:val="auto"/>
              </w:rPr>
            </w:pPr>
          </w:p>
        </w:tc>
        <w:tc>
          <w:tcPr>
            <w:tcW w:w="44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r>
      <w:tr>
        <w:trPr>
          <w:trHeight w:val="263"/>
        </w:trPr>
        <w:tc>
          <w:tcPr>
            <w:tcW w:w="584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Cumulatve net expense</w:t>
            </w:r>
          </w:p>
        </w:tc>
        <w:tc>
          <w:tcPr>
            <w:tcW w:w="2980" w:type="dxa"/>
            <w:vAlign w:val="bottom"/>
            <w:tcBorders>
              <w:bottom w:val="single" w:sz="8" w:color="EBFBFF"/>
            </w:tcBorders>
            <w:gridSpan w:val="2"/>
            <w:shd w:val="clear" w:color="auto" w:fill="EBFBFF"/>
          </w:tcPr>
          <w:p>
            <w:pPr>
              <w:jc w:val="right"/>
              <w:ind w:right="34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ind w:left="340"/>
              <w:spacing w:after="0" w:line="213" w:lineRule="exact"/>
              <w:rPr>
                <w:sz w:val="20"/>
                <w:szCs w:val="20"/>
                <w:color w:val="auto"/>
              </w:rPr>
            </w:pPr>
            <w:r>
              <w:rPr>
                <w:rFonts w:ascii="Calibri" w:cs="Calibri" w:eastAsia="Calibri" w:hAnsi="Calibri"/>
                <w:sz w:val="18"/>
                <w:szCs w:val="18"/>
                <w:color w:val="51555C"/>
              </w:rPr>
              <w:t>124,213</w:t>
            </w:r>
          </w:p>
        </w:tc>
        <w:tc>
          <w:tcPr>
            <w:tcW w:w="460" w:type="dxa"/>
            <w:vAlign w:val="bottom"/>
            <w:tcBorders>
              <w:bottom w:val="single" w:sz="8" w:color="EBFBFF"/>
            </w:tcBorders>
            <w:shd w:val="clear" w:color="auto" w:fill="EBFBFF"/>
          </w:tcPr>
          <w:p>
            <w:pPr>
              <w:jc w:val="right"/>
              <w:ind w:right="25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ind w:left="340"/>
              <w:spacing w:after="0" w:line="213" w:lineRule="exact"/>
              <w:rPr>
                <w:sz w:val="20"/>
                <w:szCs w:val="20"/>
                <w:color w:val="auto"/>
              </w:rPr>
            </w:pPr>
            <w:r>
              <w:rPr>
                <w:rFonts w:ascii="Calibri" w:cs="Calibri" w:eastAsia="Calibri" w:hAnsi="Calibri"/>
                <w:sz w:val="18"/>
                <w:szCs w:val="18"/>
                <w:color w:val="51555C"/>
              </w:rPr>
              <w:t>111,431</w:t>
            </w:r>
          </w:p>
        </w:tc>
      </w:tr>
      <w:tr>
        <w:trPr>
          <w:trHeight w:val="250"/>
        </w:trPr>
        <w:tc>
          <w:tcPr>
            <w:tcW w:w="58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40" w:type="dxa"/>
            <w:vAlign w:val="bottom"/>
            <w:tcBorders>
              <w:top w:val="single" w:sz="8" w:color="51555C"/>
            </w:tcBorders>
          </w:tcPr>
          <w:p>
            <w:pPr>
              <w:spacing w:after="0"/>
              <w:rPr>
                <w:sz w:val="21"/>
                <w:szCs w:val="21"/>
                <w:color w:val="auto"/>
              </w:rPr>
            </w:pPr>
          </w:p>
        </w:tc>
        <w:tc>
          <w:tcPr>
            <w:tcW w:w="980" w:type="dxa"/>
            <w:vAlign w:val="bottom"/>
            <w:tcBorders>
              <w:top w:val="single" w:sz="8" w:color="51555C"/>
            </w:tcBorders>
          </w:tcPr>
          <w:p>
            <w:pPr>
              <w:spacing w:after="0"/>
              <w:rPr>
                <w:sz w:val="21"/>
                <w:szCs w:val="21"/>
                <w:color w:val="auto"/>
              </w:rPr>
            </w:pPr>
          </w:p>
        </w:tc>
        <w:tc>
          <w:tcPr>
            <w:tcW w:w="460" w:type="dxa"/>
            <w:vAlign w:val="bottom"/>
            <w:tcBorders>
              <w:top w:val="single" w:sz="8" w:color="51555C"/>
            </w:tcBorders>
          </w:tcPr>
          <w:p>
            <w:pPr>
              <w:spacing w:after="0"/>
              <w:rPr>
                <w:sz w:val="21"/>
                <w:szCs w:val="21"/>
                <w:color w:val="auto"/>
              </w:rPr>
            </w:pPr>
          </w:p>
        </w:tc>
        <w:tc>
          <w:tcPr>
            <w:tcW w:w="980" w:type="dxa"/>
            <w:vAlign w:val="bottom"/>
            <w:tcBorders>
              <w:top w:val="single" w:sz="8" w:color="51555C"/>
            </w:tcBorders>
          </w:tcPr>
          <w:p>
            <w:pPr>
              <w:spacing w:after="0"/>
              <w:rPr>
                <w:sz w:val="21"/>
                <w:szCs w:val="21"/>
                <w:color w:val="auto"/>
              </w:rPr>
            </w:pPr>
          </w:p>
        </w:tc>
      </w:tr>
      <w:tr>
        <w:trPr>
          <w:trHeight w:val="275"/>
        </w:trPr>
        <w:tc>
          <w:tcPr>
            <w:tcW w:w="58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Cumulatve ofsetng insurance recoveries paid</w:t>
            </w:r>
          </w:p>
        </w:tc>
        <w:tc>
          <w:tcPr>
            <w:tcW w:w="2980" w:type="dxa"/>
            <w:vAlign w:val="bottom"/>
            <w:tcBorders>
              <w:bottom w:val="single" w:sz="8" w:color="EBFBFF"/>
            </w:tcBorders>
            <w:gridSpan w:val="2"/>
            <w:shd w:val="clear" w:color="auto" w:fill="EBFBFF"/>
          </w:tcPr>
          <w:p>
            <w:pPr>
              <w:jc w:val="right"/>
              <w:ind w:right="340"/>
              <w:spacing w:after="0"/>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ind w:left="360"/>
              <w:spacing w:after="0"/>
              <w:rPr>
                <w:sz w:val="20"/>
                <w:szCs w:val="20"/>
                <w:color w:val="auto"/>
              </w:rPr>
            </w:pPr>
            <w:r>
              <w:rPr>
                <w:rFonts w:ascii="Calibri" w:cs="Calibri" w:eastAsia="Calibri" w:hAnsi="Calibri"/>
                <w:sz w:val="18"/>
                <w:szCs w:val="18"/>
                <w:color w:val="51555C"/>
                <w:w w:val="98"/>
              </w:rPr>
              <w:t>(50,000)</w:t>
            </w:r>
          </w:p>
        </w:tc>
        <w:tc>
          <w:tcPr>
            <w:tcW w:w="460" w:type="dxa"/>
            <w:vAlign w:val="bottom"/>
            <w:tcBorders>
              <w:bottom w:val="single" w:sz="8" w:color="EBFBFF"/>
            </w:tcBorders>
            <w:shd w:val="clear" w:color="auto" w:fill="EBFBFF"/>
          </w:tcPr>
          <w:p>
            <w:pPr>
              <w:jc w:val="right"/>
              <w:ind w:right="250"/>
              <w:spacing w:after="0"/>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ind w:left="360"/>
              <w:spacing w:after="0"/>
              <w:rPr>
                <w:sz w:val="20"/>
                <w:szCs w:val="20"/>
                <w:color w:val="auto"/>
              </w:rPr>
            </w:pPr>
            <w:r>
              <w:rPr>
                <w:rFonts w:ascii="Calibri" w:cs="Calibri" w:eastAsia="Calibri" w:hAnsi="Calibri"/>
                <w:sz w:val="18"/>
                <w:szCs w:val="18"/>
                <w:color w:val="51555C"/>
                <w:w w:val="98"/>
              </w:rPr>
              <w:t>(50,000)</w:t>
            </w:r>
          </w:p>
        </w:tc>
      </w:tr>
      <w:tr>
        <w:trPr>
          <w:trHeight w:val="648"/>
        </w:trPr>
        <w:tc>
          <w:tcPr>
            <w:tcW w:w="5840" w:type="dxa"/>
            <w:vAlign w:val="bottom"/>
            <w:tcBorders>
              <w:top w:val="single" w:sz="8" w:color="0CD973"/>
            </w:tcBorders>
          </w:tcPr>
          <w:p>
            <w:pPr>
              <w:spacing w:after="0"/>
              <w:rPr>
                <w:sz w:val="24"/>
                <w:szCs w:val="24"/>
                <w:color w:val="auto"/>
              </w:rPr>
            </w:pPr>
          </w:p>
        </w:tc>
        <w:tc>
          <w:tcPr>
            <w:tcW w:w="3960" w:type="dxa"/>
            <w:vAlign w:val="bottom"/>
            <w:tcBorders>
              <w:top w:val="single" w:sz="8" w:color="0CD973"/>
            </w:tcBorders>
            <w:gridSpan w:val="3"/>
          </w:tcPr>
          <w:p>
            <w:pPr>
              <w:ind w:left="1980"/>
              <w:spacing w:after="0"/>
              <w:rPr>
                <w:sz w:val="20"/>
                <w:szCs w:val="20"/>
                <w:color w:val="auto"/>
              </w:rPr>
            </w:pPr>
            <w:r>
              <w:rPr>
                <w:rFonts w:ascii="Calibri" w:cs="Calibri" w:eastAsia="Calibri" w:hAnsi="Calibri"/>
                <w:sz w:val="14"/>
                <w:szCs w:val="14"/>
                <w:color w:val="51555C"/>
              </w:rPr>
              <w:t>Third Quarter 2024 Form 10-Q</w:t>
            </w:r>
          </w:p>
        </w:tc>
        <w:tc>
          <w:tcPr>
            <w:tcW w:w="460" w:type="dxa"/>
            <w:vAlign w:val="bottom"/>
            <w:tcBorders>
              <w:top w:val="single" w:sz="8" w:color="0CD973"/>
            </w:tcBorders>
          </w:tcPr>
          <w:p>
            <w:pPr>
              <w:spacing w:after="0"/>
              <w:rPr>
                <w:sz w:val="24"/>
                <w:szCs w:val="24"/>
                <w:color w:val="auto"/>
              </w:rPr>
            </w:pPr>
          </w:p>
        </w:tc>
        <w:tc>
          <w:tcPr>
            <w:tcW w:w="980" w:type="dxa"/>
            <w:vAlign w:val="bottom"/>
            <w:tcBorders>
              <w:top w:val="single" w:sz="8" w:color="0CD973"/>
            </w:tcBorders>
          </w:tcPr>
          <w:p>
            <w:pPr>
              <w:ind w:left="820"/>
              <w:spacing w:after="0"/>
              <w:rPr>
                <w:sz w:val="20"/>
                <w:szCs w:val="20"/>
                <w:color w:val="auto"/>
              </w:rPr>
            </w:pPr>
            <w:r>
              <w:rPr>
                <w:rFonts w:ascii="Calibri" w:cs="Calibri" w:eastAsia="Calibri" w:hAnsi="Calibri"/>
                <w:sz w:val="14"/>
                <w:szCs w:val="14"/>
                <w:color w:val="51555C"/>
                <w:w w:val="98"/>
              </w:rPr>
              <w:t>19</w:t>
            </w:r>
          </w:p>
        </w:tc>
      </w:tr>
      <w:tr>
        <w:trPr>
          <w:trHeight w:val="365"/>
        </w:trPr>
        <w:tc>
          <w:tcPr>
            <w:tcW w:w="58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Recorded expenses have consisted primarily of payments to third-party service providers and consultants, including legal fees, setlement of the previously disclosed SEC investgaton, mult-state Atorneys General investgaton, and Atorney General of the State of California investgaton (discussed below), setlements of customer claims and accruals for certain loss contngencies. Not included in the expenses discussed above were costs associated with enhancements to our cybersecurity program. We present expenses and insurance recoveries related to the Security Incident in general and administratve expense on our unaudited, condensed consolidated statements of comprehensive income (loss) and as operatng actvites on our unaudited, condensed consolidated statements of cash fows. Total costs related to the Security Incident exceeded the limit of our insurance coverage during the frst quarter of 2022. We expect to contnue to experience signifcant expenses related to our response to the Security Incident, resoluton of legal proceedings, claims and investgatons, including those discussed below, and our eforts to further enhance our cybersecurity measures. For the three months ended September 30, 2024, we incurred net pre-tax expenses which were insignifcant. For the nine months ended September 30, 2024, we incurred net pre-tax expenses of $12.8 million related to the Security Incident, which included $6.0 million for ongoing legal fees and a setlement of loss contngencies of $6.8 million. During the nine months ended September 30, 2024, we had net cash outlays of $15.1 million related to the Security Incident for ongoing legal fees and the $6.8 million paid during the third quarter of 2024 related to our setlement with the Atorney General of the State of California. In line with our policy, legal fees are expensed as incurred. For full year 2024, we currently expect pre-tax expenses of approximately $5.0 million to $10.0 million and cash outlays of approximately $8.0 million to $13.0 million for ongoing legal fees related to the Security Incident. Not included in these ranges are our previous setlements or current accruals for loss contngencies related to the maters discussed below.</w:t>
      </w:r>
    </w:p>
    <w:p>
      <w:pPr>
        <w:spacing w:after="0" w:line="17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September 30, 2024, we have recorded approximately $0.7 million in aggregate liabilites for loss contngencies based primarily on recent negotatons with certain customers related to the Security Incident that we believed we could reasonably estmate in accordance with our loss contngency procedures described above. Our liabilites for loss contngencies are recorded in accrued expenses and other current liabilites on our unaudited, condensed consolidated balance sheets. It is reasonably possible that our estmated actual losses may change in the near term for those maters and be materially in excess of the amounts accrued, but we are unable at this tme to reasonably estmate the possible additonal loss.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There are other Security Incident-related maters, including customer claims, customer consttuent class actons and governmental investgatons, for which we have not recorded a liability for a loss contngency as of September 30, 2024 because we are unable at this tme to reasonably estmate the possible loss or range of loss. Each of these maters could, separately or in the aggregate, result in an adverse judgment, setlement, fne, penalty or other resoluton, the amount, scope and tming of which we are currently unable to predict, but could have a material adverse impact on our results of operatons, cash fows or fnancial conditon.</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 xml:space="preserve">Customer claims. </w:t>
      </w:r>
      <w:r>
        <w:rPr>
          <w:rFonts w:ascii="Calibri" w:cs="Calibri" w:eastAsia="Calibri" w:hAnsi="Calibri"/>
          <w:sz w:val="18"/>
          <w:szCs w:val="18"/>
          <w:color w:val="51555C"/>
        </w:rPr>
        <w:t>To date, we have received approximately 260 specifc requests from customers for reimbursement of expenses incurred by them related to</w:t>
      </w:r>
      <w:r>
        <w:rPr>
          <w:rFonts w:ascii="Calibri" w:cs="Calibri" w:eastAsia="Calibri" w:hAnsi="Calibri"/>
          <w:sz w:val="18"/>
          <w:szCs w:val="18"/>
          <w:b w:val="1"/>
          <w:bCs w:val="1"/>
          <w:i w:val="1"/>
          <w:iCs w:val="1"/>
          <w:color w:val="51555C"/>
        </w:rPr>
        <w:t xml:space="preserve"> </w:t>
      </w:r>
      <w:r>
        <w:rPr>
          <w:rFonts w:ascii="Calibri" w:cs="Calibri" w:eastAsia="Calibri" w:hAnsi="Calibri"/>
          <w:sz w:val="18"/>
          <w:szCs w:val="18"/>
          <w:color w:val="51555C"/>
        </w:rPr>
        <w:t>the Security Incident, all of which have been fully resolved and closed or are inactve and are considered by us to have been abandoned by the customers. We have also received approximately 400 reservatons of the right to seek expense recovery in the future from customers or their atorneys in the U.S., U.K. and Canada related to the Security Incident, none of which resulted in claims submited to us and are considered by us to have been abandoned by the customers. We have also received notces of proposed claims on behalf of a number of U.K. data subjects, which we are reviewing. In additon, insurance companies representng various customers’ interests through subrogaton claims have contacted us, and certain insurance companies have fled subrogaton claims in court, of which two cases remain actve and unresolved.</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 xml:space="preserve">Customer consttuent class actons. </w:t>
      </w:r>
      <w:r>
        <w:rPr>
          <w:rFonts w:ascii="Calibri" w:cs="Calibri" w:eastAsia="Calibri" w:hAnsi="Calibri"/>
          <w:sz w:val="18"/>
          <w:szCs w:val="18"/>
          <w:color w:val="51555C"/>
        </w:rPr>
        <w:t>Presently, we are a defendant in putatve consumer class acton cases in U.S. federal courts (which have been</w:t>
      </w:r>
      <w:r>
        <w:rPr>
          <w:rFonts w:ascii="Calibri" w:cs="Calibri" w:eastAsia="Calibri" w:hAnsi="Calibri"/>
          <w:sz w:val="18"/>
          <w:szCs w:val="18"/>
          <w:b w:val="1"/>
          <w:bCs w:val="1"/>
          <w:i w:val="1"/>
          <w:iCs w:val="1"/>
          <w:color w:val="51555C"/>
        </w:rPr>
        <w:t xml:space="preserve"> </w:t>
      </w:r>
      <w:r>
        <w:rPr>
          <w:rFonts w:ascii="Calibri" w:cs="Calibri" w:eastAsia="Calibri" w:hAnsi="Calibri"/>
          <w:sz w:val="18"/>
          <w:szCs w:val="18"/>
          <w:color w:val="51555C"/>
        </w:rPr>
        <w:t>consolidated under mult district litgaton to a single federal court) and in Canadian courts alleging harm from the Security Incident. The plaintfs in these cases, who purport to represent various classes of individual consttuents of our customers, generally claim to have been harmed by alleged actons and/or omissions by us in connecton with the Security Incident and assert a variety of common law and statutory claims seeking monetary damages, injunctve relief, costs and atorneys’ fees and other related relief.</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Lawsuits that are putatve class actons require a plaintf to satsfy a number of procedural requirements before proceeding to trial. These requirements include, among others, demonstraton to a court that the law proscribes in some manner our actvites, the making of factual allegatons sufcient to suggest that our actvites exceeded the limits of the law and a determinaton by the court—known as class certfcaton—that the law permits a group of individuals to pursue the case together as a class. If these procedural requirements are not met, the lawsuit cannot proceed as a class acton and the plaintf may lose the fnancial incentve to proceed with the case. We are currently engaged in court proceedings to</w:t>
      </w:r>
    </w:p>
    <w:p>
      <w:pPr>
        <w:spacing w:after="0" w:line="340"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20</w:t>
      </w:r>
      <w:r>
        <w:rPr>
          <w:sz w:val="20"/>
          <w:szCs w:val="20"/>
          <w:color w:val="auto"/>
        </w:rPr>
        <w:tab/>
      </w:r>
      <w:r>
        <w:rPr>
          <w:sz w:val="1"/>
          <w:szCs w:val="1"/>
          <w:color w:val="auto"/>
        </w:rPr>
        <w:drawing>
          <wp:inline distT="0" distB="0" distL="0" distR="0">
            <wp:extent cx="651510" cy="17145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determine whether this will proceed as a class acton, as described below. Frequently, a court’s determinaton as to these procedural requirements is subject to appeal to a higher court. As a result of these uncertaintes, we may be unable to determine the probability of loss untl, or afer, a court has fnally determined that a plaintf has satsfed the applicable class acton procedural requirements.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Furthermore, for putatve class actons, it is ofen not possible to reasonably estmate the possible loss or a range of loss amounts, even where we have determined that a loss is reasonably possible. Generally, class actons involve a large number of people and raise complex legal and factual issues that result in uncertainty as to their outcome and, ultmately, making it difcult for us to estmate the amount of damages that a plaintf might successfully prove. This analysis is further complicated by the fact that the plaintfs lack contractual privity with us.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May 14, 2024, the United States District Court for the District of South Carolina (the "Court") issued a memorandum opinion and order (1) denying the mult district litgaton plaintfs' moton for class certfcaton because of the plaintfs' failure to meet their burden of proof as to ascertainability, (2) grantng our moton to exclude the mult district litgaton plaintfs' expert on the issue of ascertainability, and (3) denying the mult district litgaton plaintfs' moton to exclude our expert on the issue of ascertainability. Further, the Court denied as moot all other pending motons. On May 28, 2024, the plaintfs fled a petton for permission to appeal under Rule 23(f) of the Federal Rules of Civil Procedure with the Fourth Circuit Court of Appeals (the “Fourth Circuit”), and we subsequently fled an oppositon to such petton. On July 30, 2024, the Fourth Circuit denied the plaintfs' petton. This litgaton remains ongoing.</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 xml:space="preserve">Governmental investgatons. </w:t>
      </w:r>
      <w:r>
        <w:rPr>
          <w:rFonts w:ascii="Calibri" w:cs="Calibri" w:eastAsia="Calibri" w:hAnsi="Calibri"/>
          <w:sz w:val="18"/>
          <w:szCs w:val="18"/>
          <w:color w:val="51555C"/>
        </w:rPr>
        <w:t>As previously disclosed, we are subject to an ongoing investgaton by the U.S. Department of Health and Human Services. We</w:t>
      </w:r>
      <w:r>
        <w:rPr>
          <w:rFonts w:ascii="Calibri" w:cs="Calibri" w:eastAsia="Calibri" w:hAnsi="Calibri"/>
          <w:sz w:val="18"/>
          <w:szCs w:val="18"/>
          <w:b w:val="1"/>
          <w:bCs w:val="1"/>
          <w:i w:val="1"/>
          <w:iCs w:val="1"/>
          <w:color w:val="51555C"/>
        </w:rPr>
        <w:t xml:space="preserve"> </w:t>
      </w:r>
      <w:r>
        <w:rPr>
          <w:rFonts w:ascii="Calibri" w:cs="Calibri" w:eastAsia="Calibri" w:hAnsi="Calibri"/>
          <w:sz w:val="18"/>
          <w:szCs w:val="18"/>
          <w:color w:val="51555C"/>
        </w:rPr>
        <w:t>also responded to inquiries from the Ofce of the Australian Informaton Commissioner in September 2020 and the Ofce of the Privacy Commissioner of Canada in October 2020.</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June 13, 2024, we agreed to a Final Judgment and Permanent Injuncton with the Atorney General of the State of California (the "Final Judgment") relatng to the Security Incident. This setlement fully resolved the last remaining U.S. state atorney general investgaton into the Security Incident. Under the terms of the setlement, we agreed to comply with applicable laws; not to make misleading statements related to our data protecton, privacy, security, confdentality, integrity, breach notfcaton requirements, and similar maters; and to implement and improve certain cybersecurity programs and tools. The terms of the setlement with California are generally consistent with those to which we agreed in setling with the other 49 state Atorneys General and the District of Columbia on October 5, 2023, as discussed below. As part of the setlement, we also agreed to pay a total of $6.8 million to the State of California. This amount was fully accrued as a contngent liability in the Company's fnancial statements as of March 31, 2024 and June 30, 2024, and subsequently paid in the third quarter of 2024. Nothing contained in the Final Judgment is intended to be, and shall not in any event be construed or deemed to be, an admission or concession or evidence of any liability or wrongdoing whatsoever on the part of Blackbaud or any fact or violaton of law, rule, or regulaton. For more informaton, see the Final Judgment and Permanent Injuncton of the State of California, County of San Diego that was furnished as Exhibit 99.1 to our Current Report on Form 8-K fled with the SEC on June 14, 2024.</w:t>
      </w:r>
    </w:p>
    <w:p>
      <w:pPr>
        <w:spacing w:after="0" w:line="17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May 20, 2024, the U.S. Federal Trade Commission (the "FTC") fnalized an Order (the “FTC Order”) evidencing its setlement with us in connecton with the Security Incident. As part of the FTC Order, we were not fned and were not otherwise required to make any payment. Furthermore, we agreed to the FTC Order without admitng or denying any of the FTC’s allegatons, except as expressly stated otherwise in the FTC Order. The setlement described in the FTC Order fully resolved the FTC investgaton. For more informaton, see the form of proposed order that was furnished as Exhibit 99.2 to our Current Report on Form 8-K fled with the SEC on February 2, 2024 and is identcal in substance to the fnal FTC Order, and in Note 11 to our audited consolidated fnancial statements contained in our Annual Report on Form 10-K fled with the SEC on February 21, 2024.</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October 5, 2023, we entered into separate, substantally similar Administratve Orders with each of 49 state Atorneys General and the District of Columbia relatng to the Security Incident which fully resolved the previously disclosed mult-state Civil Investgatve Demand and the separate Civil Investgatve Demand from the Ofce of the Indiana Atorney General relatng to the Security Incident.</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March 9, 2023, we reached a setlement with the SEC in connecton with the Security Incident that fully resolved the previously disclosed SEC investgaton of the Security Incident.</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September 28, 2021, the Informaton Commissioner’s Ofce in the United Kingdom under the U.K. Data Protecton Act 2018 notfed us that it has closed its investgaton of the Security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238125</wp:posOffset>
            </wp:positionV>
            <wp:extent cx="65976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21</w:t>
            </w:r>
          </w:p>
        </w:tc>
      </w:tr>
      <w:tr>
        <w:trPr>
          <w:trHeight w:val="365"/>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alibri" w:cs="Calibri" w:eastAsia="Calibri" w:hAnsi="Calibri"/>
          <w:sz w:val="18"/>
          <w:szCs w:val="18"/>
          <w:color w:val="51555C"/>
        </w:rPr>
        <w:t>On September 24, 2021, we received notce from the Spanish Data Protecton Authority that it has concluded its investgaton of the Security Incident.</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On January 15, 2021, we were notfed by the Data Protecton Commission of Ireland that it has concluded its investgaton of the Security Incident.</w:t>
      </w:r>
    </w:p>
    <w:p>
      <w:pPr>
        <w:spacing w:after="0" w:line="163"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51555C"/>
        </w:rPr>
        <w:t>For more informaton about these completed government investgatons and related actons, see Note 11 to our audited consolidated fnancial statements contained in our Annual Report on Form 10-K fled with the SEC on February 21, 2024.</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contnue to cooperate with all ongoing investgatons, which include various requests for documents, policies, narratves and communicatons, as well as requests to interview or depose various Company-related personnel. As noted above, each of these separate governmental investgatons could result in adverse judgments, setlements, fnes, penaltes or other resoluton, the amount, scope and tming of which we are currently unable to predict, but could have a material adverse impact on our results of operatons, cash fows or fnancial conditon.</w:t>
      </w:r>
    </w:p>
    <w:p>
      <w:pPr>
        <w:spacing w:after="0" w:line="257"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10.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Calibri" w:cs="Calibri" w:eastAsia="Calibri" w:hAnsi="Calibri"/>
          <w:sz w:val="18"/>
          <w:szCs w:val="18"/>
          <w:color w:val="51555C"/>
        </w:rPr>
        <w:t>Our income tax provision (beneft) and efectve income tax rates, including the efects of period-specifc events, were: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shd w:val="clear" w:color="auto" w:fill="004054"/>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160" w:type="dxa"/>
            <w:vAlign w:val="bottom"/>
            <w:shd w:val="clear" w:color="auto" w:fill="004054"/>
          </w:tcPr>
          <w:p>
            <w:pPr>
              <w:spacing w:after="0"/>
              <w:rPr>
                <w:sz w:val="16"/>
                <w:szCs w:val="16"/>
                <w:color w:val="auto"/>
              </w:rPr>
            </w:pPr>
          </w:p>
        </w:tc>
        <w:tc>
          <w:tcPr>
            <w:tcW w:w="132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Three months ended</w:t>
            </w:r>
          </w:p>
        </w:tc>
        <w:tc>
          <w:tcPr>
            <w:tcW w:w="80" w:type="dxa"/>
            <w:vAlign w:val="bottom"/>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104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2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c>
          <w:tcPr>
            <w:tcW w:w="20" w:type="dxa"/>
            <w:vAlign w:val="bottom"/>
            <w:shd w:val="clear" w:color="auto" w:fill="004054"/>
          </w:tcPr>
          <w:p>
            <w:pPr>
              <w:spacing w:after="0"/>
              <w:rPr>
                <w:sz w:val="16"/>
                <w:szCs w:val="16"/>
                <w:color w:val="auto"/>
              </w:rPr>
            </w:pPr>
          </w:p>
        </w:tc>
      </w:tr>
      <w:tr>
        <w:trPr>
          <w:trHeight w:val="170"/>
        </w:trPr>
        <w:tc>
          <w:tcPr>
            <w:tcW w:w="5220" w:type="dxa"/>
            <w:vAlign w:val="bottom"/>
            <w:shd w:val="clear" w:color="auto" w:fill="004054"/>
          </w:tcPr>
          <w:p>
            <w:pPr>
              <w:spacing w:after="0"/>
              <w:rPr>
                <w:sz w:val="14"/>
                <w:szCs w:val="14"/>
                <w:color w:val="auto"/>
              </w:rPr>
            </w:pPr>
          </w:p>
        </w:tc>
        <w:tc>
          <w:tcPr>
            <w:tcW w:w="460" w:type="dxa"/>
            <w:vAlign w:val="bottom"/>
            <w:shd w:val="clear" w:color="auto" w:fill="004054"/>
          </w:tcPr>
          <w:p>
            <w:pPr>
              <w:spacing w:after="0"/>
              <w:rPr>
                <w:sz w:val="14"/>
                <w:szCs w:val="14"/>
                <w:color w:val="auto"/>
              </w:rPr>
            </w:pPr>
          </w:p>
        </w:tc>
        <w:tc>
          <w:tcPr>
            <w:tcW w:w="1020" w:type="dxa"/>
            <w:vAlign w:val="bottom"/>
            <w:shd w:val="clear" w:color="auto" w:fill="004054"/>
          </w:tcPr>
          <w:p>
            <w:pPr>
              <w:spacing w:after="0"/>
              <w:rPr>
                <w:sz w:val="14"/>
                <w:szCs w:val="14"/>
                <w:color w:val="auto"/>
              </w:rPr>
            </w:pPr>
          </w:p>
        </w:tc>
        <w:tc>
          <w:tcPr>
            <w:tcW w:w="160" w:type="dxa"/>
            <w:vAlign w:val="bottom"/>
            <w:shd w:val="clear" w:color="auto" w:fill="004054"/>
          </w:tcPr>
          <w:p>
            <w:pPr>
              <w:spacing w:after="0"/>
              <w:rPr>
                <w:sz w:val="14"/>
                <w:szCs w:val="14"/>
                <w:color w:val="auto"/>
              </w:rPr>
            </w:pPr>
          </w:p>
        </w:tc>
        <w:tc>
          <w:tcPr>
            <w:tcW w:w="132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80" w:type="dxa"/>
            <w:vAlign w:val="bottom"/>
          </w:tcPr>
          <w:p>
            <w:pPr>
              <w:spacing w:after="0"/>
              <w:rPr>
                <w:sz w:val="14"/>
                <w:szCs w:val="14"/>
                <w:color w:val="auto"/>
              </w:rPr>
            </w:pPr>
          </w:p>
        </w:tc>
        <w:tc>
          <w:tcPr>
            <w:tcW w:w="460" w:type="dxa"/>
            <w:vAlign w:val="bottom"/>
            <w:shd w:val="clear" w:color="auto" w:fill="004054"/>
          </w:tcPr>
          <w:p>
            <w:pPr>
              <w:spacing w:after="0"/>
              <w:rPr>
                <w:sz w:val="14"/>
                <w:szCs w:val="14"/>
                <w:color w:val="auto"/>
              </w:rPr>
            </w:pPr>
          </w:p>
        </w:tc>
        <w:tc>
          <w:tcPr>
            <w:tcW w:w="1040" w:type="dxa"/>
            <w:vAlign w:val="bottom"/>
            <w:shd w:val="clear" w:color="auto" w:fill="004054"/>
          </w:tcPr>
          <w:p>
            <w:pPr>
              <w:spacing w:after="0"/>
              <w:rPr>
                <w:sz w:val="14"/>
                <w:szCs w:val="14"/>
                <w:color w:val="auto"/>
              </w:rPr>
            </w:pPr>
          </w:p>
        </w:tc>
        <w:tc>
          <w:tcPr>
            <w:tcW w:w="200" w:type="dxa"/>
            <w:vAlign w:val="bottom"/>
            <w:shd w:val="clear" w:color="auto" w:fill="004054"/>
          </w:tcPr>
          <w:p>
            <w:pPr>
              <w:spacing w:after="0"/>
              <w:rPr>
                <w:sz w:val="14"/>
                <w:szCs w:val="14"/>
                <w:color w:val="auto"/>
              </w:rPr>
            </w:pPr>
          </w:p>
        </w:tc>
        <w:tc>
          <w:tcPr>
            <w:tcW w:w="12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20" w:type="dxa"/>
            <w:vAlign w:val="bottom"/>
            <w:shd w:val="clear" w:color="auto" w:fill="004054"/>
          </w:tcPr>
          <w:p>
            <w:pPr>
              <w:spacing w:after="0"/>
              <w:rPr>
                <w:sz w:val="14"/>
                <w:szCs w:val="14"/>
                <w:color w:val="auto"/>
              </w:rPr>
            </w:pPr>
          </w:p>
        </w:tc>
      </w:tr>
      <w:tr>
        <w:trPr>
          <w:trHeight w:val="243"/>
        </w:trPr>
        <w:tc>
          <w:tcPr>
            <w:tcW w:w="522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460" w:type="dxa"/>
            <w:vAlign w:val="bottom"/>
            <w:shd w:val="clear" w:color="auto" w:fill="004054"/>
          </w:tcPr>
          <w:p>
            <w:pPr>
              <w:spacing w:after="0"/>
              <w:rPr>
                <w:sz w:val="21"/>
                <w:szCs w:val="21"/>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60" w:type="dxa"/>
            <w:vAlign w:val="bottom"/>
            <w:shd w:val="clear" w:color="auto" w:fill="004054"/>
          </w:tcPr>
          <w:p>
            <w:pPr>
              <w:spacing w:after="0"/>
              <w:rPr>
                <w:sz w:val="21"/>
                <w:szCs w:val="21"/>
                <w:color w:val="auto"/>
              </w:rPr>
            </w:pPr>
          </w:p>
        </w:tc>
        <w:tc>
          <w:tcPr>
            <w:tcW w:w="132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80" w:type="dxa"/>
            <w:vAlign w:val="bottom"/>
          </w:tcPr>
          <w:p>
            <w:pPr>
              <w:spacing w:after="0"/>
              <w:rPr>
                <w:sz w:val="21"/>
                <w:szCs w:val="21"/>
                <w:color w:val="auto"/>
              </w:rPr>
            </w:pPr>
          </w:p>
        </w:tc>
        <w:tc>
          <w:tcPr>
            <w:tcW w:w="460" w:type="dxa"/>
            <w:vAlign w:val="bottom"/>
            <w:shd w:val="clear" w:color="auto" w:fill="004054"/>
          </w:tcPr>
          <w:p>
            <w:pPr>
              <w:spacing w:after="0"/>
              <w:rPr>
                <w:sz w:val="21"/>
                <w:szCs w:val="21"/>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00" w:type="dxa"/>
            <w:vAlign w:val="bottom"/>
            <w:shd w:val="clear" w:color="auto" w:fill="004054"/>
          </w:tcPr>
          <w:p>
            <w:pPr>
              <w:spacing w:after="0"/>
              <w:rPr>
                <w:sz w:val="21"/>
                <w:szCs w:val="21"/>
                <w:color w:val="auto"/>
              </w:rPr>
            </w:pPr>
          </w:p>
        </w:tc>
        <w:tc>
          <w:tcPr>
            <w:tcW w:w="12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21"/>
                <w:szCs w:val="21"/>
                <w:color w:val="auto"/>
              </w:rPr>
            </w:pPr>
          </w:p>
        </w:tc>
      </w:tr>
      <w:tr>
        <w:trPr>
          <w:trHeight w:val="60"/>
        </w:trPr>
        <w:tc>
          <w:tcPr>
            <w:tcW w:w="5220" w:type="dxa"/>
            <w:vAlign w:val="bottom"/>
            <w:tcBorders>
              <w:bottom w:val="single" w:sz="8" w:color="004054"/>
            </w:tcBorders>
            <w:shd w:val="clear" w:color="auto" w:fill="004054"/>
          </w:tcPr>
          <w:p>
            <w:pPr>
              <w:spacing w:after="0"/>
              <w:rPr>
                <w:sz w:val="5"/>
                <w:szCs w:val="5"/>
                <w:color w:val="auto"/>
              </w:rPr>
            </w:pPr>
          </w:p>
        </w:tc>
        <w:tc>
          <w:tcPr>
            <w:tcW w:w="460" w:type="dxa"/>
            <w:vAlign w:val="bottom"/>
            <w:tcBorders>
              <w:bottom w:val="single" w:sz="8" w:color="004054"/>
            </w:tcBorders>
            <w:shd w:val="clear" w:color="auto" w:fill="004054"/>
          </w:tcPr>
          <w:p>
            <w:pPr>
              <w:spacing w:after="0"/>
              <w:rPr>
                <w:sz w:val="5"/>
                <w:szCs w:val="5"/>
                <w:color w:val="auto"/>
              </w:rPr>
            </w:pPr>
          </w:p>
        </w:tc>
        <w:tc>
          <w:tcPr>
            <w:tcW w:w="1020" w:type="dxa"/>
            <w:vAlign w:val="bottom"/>
            <w:tcBorders>
              <w:bottom w:val="single" w:sz="8" w:color="004054"/>
            </w:tcBorders>
            <w:shd w:val="clear" w:color="auto" w:fill="004054"/>
          </w:tcPr>
          <w:p>
            <w:pPr>
              <w:spacing w:after="0"/>
              <w:rPr>
                <w:sz w:val="5"/>
                <w:szCs w:val="5"/>
                <w:color w:val="auto"/>
              </w:rPr>
            </w:pPr>
          </w:p>
        </w:tc>
        <w:tc>
          <w:tcPr>
            <w:tcW w:w="160" w:type="dxa"/>
            <w:vAlign w:val="bottom"/>
            <w:tcBorders>
              <w:bottom w:val="single" w:sz="8" w:color="004054"/>
            </w:tcBorders>
            <w:shd w:val="clear" w:color="auto" w:fill="004054"/>
          </w:tcPr>
          <w:p>
            <w:pPr>
              <w:spacing w:after="0"/>
              <w:rPr>
                <w:sz w:val="5"/>
                <w:szCs w:val="5"/>
                <w:color w:val="auto"/>
              </w:rPr>
            </w:pPr>
          </w:p>
        </w:tc>
        <w:tc>
          <w:tcPr>
            <w:tcW w:w="1320" w:type="dxa"/>
            <w:vAlign w:val="bottom"/>
            <w:tcBorders>
              <w:bottom w:val="single" w:sz="8" w:color="004054"/>
              <w:right w:val="single" w:sz="8" w:color="004054"/>
            </w:tcBorders>
            <w:shd w:val="clear" w:color="auto" w:fill="004054"/>
          </w:tcPr>
          <w:p>
            <w:pPr>
              <w:spacing w:after="0"/>
              <w:rPr>
                <w:sz w:val="5"/>
                <w:szCs w:val="5"/>
                <w:color w:val="auto"/>
              </w:rPr>
            </w:pPr>
          </w:p>
        </w:tc>
        <w:tc>
          <w:tcPr>
            <w:tcW w:w="80" w:type="dxa"/>
            <w:vAlign w:val="bottom"/>
            <w:tcBorders>
              <w:bottom w:val="single" w:sz="8" w:color="EBFBFF"/>
            </w:tcBorders>
          </w:tcPr>
          <w:p>
            <w:pPr>
              <w:spacing w:after="0"/>
              <w:rPr>
                <w:sz w:val="5"/>
                <w:szCs w:val="5"/>
                <w:color w:val="auto"/>
              </w:rPr>
            </w:pPr>
          </w:p>
        </w:tc>
        <w:tc>
          <w:tcPr>
            <w:tcW w:w="460" w:type="dxa"/>
            <w:vAlign w:val="bottom"/>
            <w:tcBorders>
              <w:bottom w:val="single" w:sz="8" w:color="004054"/>
            </w:tcBorders>
            <w:shd w:val="clear" w:color="auto" w:fill="004054"/>
          </w:tcPr>
          <w:p>
            <w:pPr>
              <w:spacing w:after="0"/>
              <w:rPr>
                <w:sz w:val="5"/>
                <w:szCs w:val="5"/>
                <w:color w:val="auto"/>
              </w:rPr>
            </w:pPr>
          </w:p>
        </w:tc>
        <w:tc>
          <w:tcPr>
            <w:tcW w:w="1040" w:type="dxa"/>
            <w:vAlign w:val="bottom"/>
            <w:tcBorders>
              <w:bottom w:val="single" w:sz="8" w:color="004054"/>
            </w:tcBorders>
            <w:shd w:val="clear" w:color="auto" w:fill="004054"/>
          </w:tcPr>
          <w:p>
            <w:pPr>
              <w:spacing w:after="0"/>
              <w:rPr>
                <w:sz w:val="5"/>
                <w:szCs w:val="5"/>
                <w:color w:val="auto"/>
              </w:rPr>
            </w:pPr>
          </w:p>
        </w:tc>
        <w:tc>
          <w:tcPr>
            <w:tcW w:w="200" w:type="dxa"/>
            <w:vAlign w:val="bottom"/>
            <w:tcBorders>
              <w:bottom w:val="single" w:sz="8" w:color="004054"/>
            </w:tcBorders>
            <w:shd w:val="clear" w:color="auto" w:fill="004054"/>
          </w:tcPr>
          <w:p>
            <w:pPr>
              <w:spacing w:after="0"/>
              <w:rPr>
                <w:sz w:val="5"/>
                <w:szCs w:val="5"/>
                <w:color w:val="auto"/>
              </w:rPr>
            </w:pPr>
          </w:p>
        </w:tc>
        <w:tc>
          <w:tcPr>
            <w:tcW w:w="128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r>
      <w:tr>
        <w:trPr>
          <w:trHeight w:val="244"/>
        </w:trPr>
        <w:tc>
          <w:tcPr>
            <w:tcW w:w="522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Income tax provision (beneft)</w:t>
            </w:r>
          </w:p>
        </w:tc>
        <w:tc>
          <w:tcPr>
            <w:tcW w:w="460" w:type="dxa"/>
            <w:vAlign w:val="bottom"/>
            <w:tcBorders>
              <w:bottom w:val="single" w:sz="8" w:color="EBFBFF"/>
            </w:tcBorders>
            <w:shd w:val="clear" w:color="auto" w:fill="EBFBFF"/>
          </w:tcPr>
          <w:p>
            <w:pPr>
              <w:jc w:val="right"/>
              <w:ind w:right="270"/>
              <w:spacing w:after="0" w:line="213" w:lineRule="exact"/>
              <w:rPr>
                <w:sz w:val="20"/>
                <w:szCs w:val="20"/>
                <w:color w:val="auto"/>
              </w:rPr>
            </w:pPr>
            <w:r>
              <w:rPr>
                <w:rFonts w:ascii="Calibri" w:cs="Calibri" w:eastAsia="Calibri" w:hAnsi="Calibri"/>
                <w:sz w:val="18"/>
                <w:szCs w:val="18"/>
                <w:color w:val="51555C"/>
                <w:w w:val="87"/>
              </w:rPr>
              <w:t>$</w:t>
            </w:r>
          </w:p>
        </w:tc>
        <w:tc>
          <w:tcPr>
            <w:tcW w:w="1020" w:type="dxa"/>
            <w:vAlign w:val="bottom"/>
            <w:tcBorders>
              <w:bottom w:val="single" w:sz="8" w:color="EBFBFF"/>
            </w:tcBorders>
            <w:shd w:val="clear" w:color="auto" w:fill="EBFBFF"/>
          </w:tcPr>
          <w:p>
            <w:pPr>
              <w:jc w:val="right"/>
              <w:ind w:right="116"/>
              <w:spacing w:after="0" w:line="213" w:lineRule="exact"/>
              <w:rPr>
                <w:sz w:val="20"/>
                <w:szCs w:val="20"/>
                <w:color w:val="auto"/>
              </w:rPr>
            </w:pPr>
            <w:r>
              <w:rPr>
                <w:rFonts w:ascii="Calibri" w:cs="Calibri" w:eastAsia="Calibri" w:hAnsi="Calibri"/>
                <w:sz w:val="18"/>
                <w:szCs w:val="18"/>
                <w:color w:val="51555C"/>
              </w:rPr>
              <w:t>12,140</w:t>
            </w: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320" w:type="dxa"/>
            <w:vAlign w:val="bottom"/>
            <w:tcBorders>
              <w:bottom w:val="single" w:sz="8" w:color="EBFBFF"/>
              <w:right w:val="single" w:sz="8" w:color="EBFBFF"/>
            </w:tcBorders>
            <w:shd w:val="clear" w:color="auto" w:fill="EBFBFF"/>
          </w:tcPr>
          <w:p>
            <w:pPr>
              <w:jc w:val="right"/>
              <w:ind w:right="121"/>
              <w:spacing w:after="0" w:line="213" w:lineRule="exact"/>
              <w:rPr>
                <w:sz w:val="20"/>
                <w:szCs w:val="20"/>
                <w:color w:val="auto"/>
              </w:rPr>
            </w:pPr>
            <w:r>
              <w:rPr>
                <w:rFonts w:ascii="Calibri" w:cs="Calibri" w:eastAsia="Calibri" w:hAnsi="Calibri"/>
                <w:sz w:val="18"/>
                <w:szCs w:val="18"/>
                <w:color w:val="51555C"/>
              </w:rPr>
              <w:t>9,069</w:t>
            </w:r>
          </w:p>
        </w:tc>
        <w:tc>
          <w:tcPr>
            <w:tcW w:w="540" w:type="dxa"/>
            <w:vAlign w:val="bottom"/>
            <w:tcBorders>
              <w:bottom w:val="single" w:sz="8" w:color="EBFBFF"/>
            </w:tcBorders>
            <w:gridSpan w:val="2"/>
            <w:shd w:val="clear" w:color="auto" w:fill="EBFBFF"/>
          </w:tcPr>
          <w:p>
            <w:pPr>
              <w:jc w:val="right"/>
              <w:ind w:right="340"/>
              <w:spacing w:after="0" w:line="213" w:lineRule="exact"/>
              <w:rPr>
                <w:sz w:val="20"/>
                <w:szCs w:val="20"/>
                <w:color w:val="auto"/>
              </w:rPr>
            </w:pPr>
            <w:r>
              <w:rPr>
                <w:rFonts w:ascii="Calibri" w:cs="Calibri" w:eastAsia="Calibri" w:hAnsi="Calibri"/>
                <w:sz w:val="18"/>
                <w:szCs w:val="18"/>
                <w:color w:val="51555C"/>
              </w:rPr>
              <w:t>$</w:t>
            </w:r>
          </w:p>
        </w:tc>
        <w:tc>
          <w:tcPr>
            <w:tcW w:w="1040" w:type="dxa"/>
            <w:vAlign w:val="bottom"/>
            <w:tcBorders>
              <w:bottom w:val="single" w:sz="8" w:color="EBFBFF"/>
            </w:tcBorders>
            <w:shd w:val="clear" w:color="auto" w:fill="EBFBFF"/>
          </w:tcPr>
          <w:p>
            <w:pPr>
              <w:jc w:val="right"/>
              <w:ind w:right="116"/>
              <w:spacing w:after="0" w:line="213" w:lineRule="exact"/>
              <w:rPr>
                <w:sz w:val="20"/>
                <w:szCs w:val="20"/>
                <w:color w:val="auto"/>
              </w:rPr>
            </w:pPr>
            <w:r>
              <w:rPr>
                <w:rFonts w:ascii="Calibri" w:cs="Calibri" w:eastAsia="Calibri" w:hAnsi="Calibri"/>
                <w:sz w:val="18"/>
                <w:szCs w:val="18"/>
                <w:color w:val="51555C"/>
              </w:rPr>
              <w:t>18,567</w:t>
            </w:r>
          </w:p>
        </w:tc>
        <w:tc>
          <w:tcPr>
            <w:tcW w:w="200" w:type="dxa"/>
            <w:vAlign w:val="bottom"/>
            <w:tcBorders>
              <w:bottom w:val="single" w:sz="8" w:color="EBFBFF"/>
            </w:tcBorders>
            <w:shd w:val="clear" w:color="auto" w:fill="EBFBFF"/>
          </w:tcPr>
          <w:p>
            <w:pPr>
              <w:jc w:val="right"/>
              <w:ind w:right="10"/>
              <w:spacing w:after="0" w:line="213" w:lineRule="exact"/>
              <w:rPr>
                <w:sz w:val="20"/>
                <w:szCs w:val="20"/>
                <w:color w:val="auto"/>
              </w:rPr>
            </w:pPr>
            <w:r>
              <w:rPr>
                <w:rFonts w:ascii="Calibri" w:cs="Calibri" w:eastAsia="Calibri" w:hAnsi="Calibri"/>
                <w:sz w:val="18"/>
                <w:szCs w:val="18"/>
                <w:color w:val="51555C"/>
                <w:w w:val="87"/>
              </w:rPr>
              <w:t>$</w:t>
            </w:r>
          </w:p>
        </w:tc>
        <w:tc>
          <w:tcPr>
            <w:tcW w:w="1280" w:type="dxa"/>
            <w:vAlign w:val="bottom"/>
            <w:tcBorders>
              <w:bottom w:val="single" w:sz="8" w:color="EBFBFF"/>
            </w:tcBorders>
            <w:shd w:val="clear" w:color="auto" w:fill="EBFBFF"/>
          </w:tcPr>
          <w:p>
            <w:pPr>
              <w:jc w:val="right"/>
              <w:ind w:right="61"/>
              <w:spacing w:after="0" w:line="213" w:lineRule="exact"/>
              <w:rPr>
                <w:sz w:val="20"/>
                <w:szCs w:val="20"/>
                <w:color w:val="auto"/>
              </w:rPr>
            </w:pPr>
            <w:r>
              <w:rPr>
                <w:rFonts w:ascii="Calibri" w:cs="Calibri" w:eastAsia="Calibri" w:hAnsi="Calibri"/>
                <w:sz w:val="18"/>
                <w:szCs w:val="18"/>
                <w:color w:val="51555C"/>
              </w:rPr>
              <w:t>(5,032)</w:t>
            </w:r>
          </w:p>
        </w:tc>
        <w:tc>
          <w:tcPr>
            <w:tcW w:w="20" w:type="dxa"/>
            <w:vAlign w:val="bottom"/>
          </w:tcPr>
          <w:p>
            <w:pPr>
              <w:spacing w:after="0"/>
              <w:rPr>
                <w:sz w:val="21"/>
                <w:szCs w:val="21"/>
                <w:color w:val="auto"/>
              </w:rPr>
            </w:pPr>
          </w:p>
        </w:tc>
      </w:tr>
      <w:tr>
        <w:trPr>
          <w:trHeight w:val="219"/>
        </w:trPr>
        <w:tc>
          <w:tcPr>
            <w:tcW w:w="5220" w:type="dxa"/>
            <w:vAlign w:val="bottom"/>
          </w:tcPr>
          <w:p>
            <w:pPr>
              <w:ind w:left="20"/>
              <w:spacing w:after="0"/>
              <w:rPr>
                <w:sz w:val="20"/>
                <w:szCs w:val="20"/>
                <w:color w:val="auto"/>
              </w:rPr>
            </w:pPr>
            <w:r>
              <w:rPr>
                <w:rFonts w:ascii="Calibri" w:cs="Calibri" w:eastAsia="Calibri" w:hAnsi="Calibri"/>
                <w:sz w:val="18"/>
                <w:szCs w:val="18"/>
                <w:color w:val="51555C"/>
              </w:rPr>
              <w:t>Efectve income tax rate</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37.1 %</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Calibri" w:cs="Calibri" w:eastAsia="Calibri" w:hAnsi="Calibri"/>
                <w:sz w:val="18"/>
                <w:szCs w:val="18"/>
                <w:color w:val="51555C"/>
              </w:rPr>
              <w:t>50.1 %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28.1 %</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51555C"/>
              </w:rPr>
              <w:t>58.4 %</w:t>
            </w:r>
          </w:p>
        </w:tc>
        <w:tc>
          <w:tcPr>
            <w:tcW w:w="20" w:type="dxa"/>
            <w:vAlign w:val="bottom"/>
          </w:tcPr>
          <w:p>
            <w:pPr>
              <w:spacing w:after="0"/>
              <w:rPr>
                <w:sz w:val="19"/>
                <w:szCs w:val="19"/>
                <w:color w:val="auto"/>
              </w:rPr>
            </w:pPr>
          </w:p>
        </w:tc>
      </w:tr>
      <w:tr>
        <w:trPr>
          <w:trHeight w:val="51"/>
        </w:trPr>
        <w:tc>
          <w:tcPr>
            <w:tcW w:w="5220" w:type="dxa"/>
            <w:vAlign w:val="bottom"/>
            <w:tcBorders>
              <w:bottom w:val="single" w:sz="8" w:color="0CD973"/>
            </w:tcBorders>
          </w:tcPr>
          <w:p>
            <w:pPr>
              <w:spacing w:after="0"/>
              <w:rPr>
                <w:sz w:val="4"/>
                <w:szCs w:val="4"/>
                <w:color w:val="auto"/>
              </w:rPr>
            </w:pPr>
          </w:p>
        </w:tc>
        <w:tc>
          <w:tcPr>
            <w:tcW w:w="460" w:type="dxa"/>
            <w:vAlign w:val="bottom"/>
            <w:tcBorders>
              <w:bottom w:val="single" w:sz="8" w:color="0CD973"/>
            </w:tcBorders>
          </w:tcPr>
          <w:p>
            <w:pPr>
              <w:spacing w:after="0"/>
              <w:rPr>
                <w:sz w:val="4"/>
                <w:szCs w:val="4"/>
                <w:color w:val="auto"/>
              </w:rPr>
            </w:pPr>
          </w:p>
        </w:tc>
        <w:tc>
          <w:tcPr>
            <w:tcW w:w="1020" w:type="dxa"/>
            <w:vAlign w:val="bottom"/>
            <w:tcBorders>
              <w:bottom w:val="single" w:sz="8" w:color="0CD973"/>
            </w:tcBorders>
          </w:tcPr>
          <w:p>
            <w:pPr>
              <w:spacing w:after="0"/>
              <w:rPr>
                <w:sz w:val="4"/>
                <w:szCs w:val="4"/>
                <w:color w:val="auto"/>
              </w:rPr>
            </w:pPr>
          </w:p>
        </w:tc>
        <w:tc>
          <w:tcPr>
            <w:tcW w:w="160" w:type="dxa"/>
            <w:vAlign w:val="bottom"/>
            <w:tcBorders>
              <w:bottom w:val="single" w:sz="8" w:color="0CD973"/>
            </w:tcBorders>
          </w:tcPr>
          <w:p>
            <w:pPr>
              <w:spacing w:after="0"/>
              <w:rPr>
                <w:sz w:val="4"/>
                <w:szCs w:val="4"/>
                <w:color w:val="auto"/>
              </w:rPr>
            </w:pPr>
          </w:p>
        </w:tc>
        <w:tc>
          <w:tcPr>
            <w:tcW w:w="1320" w:type="dxa"/>
            <w:vAlign w:val="bottom"/>
            <w:tcBorders>
              <w:bottom w:val="single" w:sz="8" w:color="0CD973"/>
            </w:tcBorders>
          </w:tcPr>
          <w:p>
            <w:pPr>
              <w:spacing w:after="0"/>
              <w:rPr>
                <w:sz w:val="4"/>
                <w:szCs w:val="4"/>
                <w:color w:val="auto"/>
              </w:rPr>
            </w:pPr>
          </w:p>
        </w:tc>
        <w:tc>
          <w:tcPr>
            <w:tcW w:w="80" w:type="dxa"/>
            <w:vAlign w:val="bottom"/>
            <w:tcBorders>
              <w:bottom w:val="single" w:sz="8" w:color="0CD973"/>
            </w:tcBorders>
          </w:tcPr>
          <w:p>
            <w:pPr>
              <w:spacing w:after="0"/>
              <w:rPr>
                <w:sz w:val="4"/>
                <w:szCs w:val="4"/>
                <w:color w:val="auto"/>
              </w:rPr>
            </w:pPr>
          </w:p>
        </w:tc>
        <w:tc>
          <w:tcPr>
            <w:tcW w:w="460" w:type="dxa"/>
            <w:vAlign w:val="bottom"/>
            <w:tcBorders>
              <w:bottom w:val="single" w:sz="8" w:color="0CD973"/>
            </w:tcBorders>
          </w:tcPr>
          <w:p>
            <w:pPr>
              <w:spacing w:after="0"/>
              <w:rPr>
                <w:sz w:val="4"/>
                <w:szCs w:val="4"/>
                <w:color w:val="auto"/>
              </w:rPr>
            </w:pPr>
          </w:p>
        </w:tc>
        <w:tc>
          <w:tcPr>
            <w:tcW w:w="1040" w:type="dxa"/>
            <w:vAlign w:val="bottom"/>
            <w:tcBorders>
              <w:bottom w:val="single" w:sz="8" w:color="0CD973"/>
            </w:tcBorders>
          </w:tcPr>
          <w:p>
            <w:pPr>
              <w:spacing w:after="0"/>
              <w:rPr>
                <w:sz w:val="4"/>
                <w:szCs w:val="4"/>
                <w:color w:val="auto"/>
              </w:rPr>
            </w:pPr>
          </w:p>
        </w:tc>
        <w:tc>
          <w:tcPr>
            <w:tcW w:w="200" w:type="dxa"/>
            <w:vAlign w:val="bottom"/>
            <w:tcBorders>
              <w:bottom w:val="single" w:sz="8" w:color="0CD973"/>
            </w:tcBorders>
          </w:tcPr>
          <w:p>
            <w:pPr>
              <w:spacing w:after="0"/>
              <w:rPr>
                <w:sz w:val="4"/>
                <w:szCs w:val="4"/>
                <w:color w:val="auto"/>
              </w:rPr>
            </w:pPr>
          </w:p>
        </w:tc>
        <w:tc>
          <w:tcPr>
            <w:tcW w:w="128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-513715</wp:posOffset>
            </wp:positionV>
            <wp:extent cx="38315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changes in our efectve income tax rates for the three and nine months ended September 30, 2024, when compared to the same periods in 2023 were primarily atributable the negatve impact in 2023 of non-deductble accruals related to the Security Incident that did not recur in 2024 to the same extent. Additonally, there were favorable impacts of benefts atributable to stock-based compensaton. Partally ofsetng these items were unfavorable impacts of our United Kingdom liability for uncertain tax positons.</w:t>
      </w:r>
    </w:p>
    <w:p>
      <w:pPr>
        <w:spacing w:after="0" w:line="255"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11.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Stock repurchase program</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Under our stock repurchase program, we are authorized to repurchase shares from tme to tme in accordance with applicable laws both on the open market, including under trading plans established pursuant to Rule 10b5-1 under the Securites Exchange Act of 1934, as amended, and in privately negotated transactons. The tming and amount of repurchases depends on several factors, including market and business conditons, the trading price of our common stock and the nature of other investment opportunites. The repurchase program does not have an expiraton date and may be limited, suspended or discontnued at any tme without prior notce. Under the 2024 Credit Agreement, we have restrictons on our ability to repurchase shares of our common stock, which are summarized on page 47 in this report.</w:t>
      </w:r>
    </w:p>
    <w:p>
      <w:pPr>
        <w:spacing w:after="0" w:line="16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account for purchases of treasury stock under the cost method. On January 17, 2024, our Board of Directors reauthorized, expanded and replenished our stock repurchase program by expanding the total capacity under the program from $250.0 million to $500.0 million available for repurchases.</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March 2024, we entered into an issuer forward repurchase transacton with a large fnancial insttuton to repurchase an aggregate $200 million of shares of our common stock (the "ASR Transacton"). Pursuant to the terms of the ASR Transacton, we provided the fnancial insttuton with a prepayment of $200 million and received an inital delivery of 2.1 million shares of our common stock, representng approximately 70% of the total shares then-expected to be repurchased under the ASR Transacton. The fnal number of shares of common stock delivered to us under the ASR Transacton will be based on the average of the daily volume-weighted average prices of the common stock during the term of the ASR Transacton, less a discount and subject to customary adjustments upon events afectng the common stock (e.g., dilutve or concentratve events, mergers and acquisitons, and market disruptons). At setlement, the fnancial insttuton may be required to deliver additonal shares of our common stock to us or, under certain circumstances, we may be required to deliver a cash payment</w:t>
      </w:r>
    </w:p>
    <w:p>
      <w:pPr>
        <w:spacing w:after="0" w:line="343"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22</w:t>
      </w:r>
      <w:r>
        <w:rPr>
          <w:sz w:val="20"/>
          <w:szCs w:val="20"/>
          <w:color w:val="auto"/>
        </w:rPr>
        <w:tab/>
      </w:r>
      <w:r>
        <w:rPr>
          <w:sz w:val="1"/>
          <w:szCs w:val="1"/>
          <w:color w:val="auto"/>
        </w:rPr>
        <w:drawing>
          <wp:inline distT="0" distB="0" distL="0" distR="0">
            <wp:extent cx="651510" cy="17145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or shares of our common stock to the fnancial insttuton, with the method of setlement at our electon. See Note 13 to these unaudited, condensed consolidated fnancial statements for additonal informaton about the fnal setlement of the ASR Transacton which occurred in October 2024.</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diference of $52.2 million between the prepayment of $200 million and the value of the shares repurchased on the ASR Transacton date represents an unsetled prepaid forward contract indexed to our common stock and met all of the applicable criteria for equity classifcaton; therefore, it was not accounted for as a derivatve instrument as of September 30, 2024. Because of our ability to setle in shares, the $52.2 million prepaid forward contract was classifed as a reducton to additonal paid-in capital within our unaudited, condensed consolidated statement of stockholders' equity. We funded the ASR Transacton prepayment with borrowings pursuant to a revolving credit loan under the 2020 Credit Agreement.</w:t>
      </w:r>
    </w:p>
    <w:p>
      <w:pPr>
        <w:spacing w:after="0" w:line="16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On July 16, 2024, our Board of Directors reauthorized, expanded and replenished our stock repurchase program by expanding the total capacity under the program from $500.0 million to $800.0 million available for repurchases.</w:t>
      </w:r>
    </w:p>
    <w:p>
      <w:pPr>
        <w:spacing w:after="0" w:line="164" w:lineRule="exact"/>
        <w:rPr>
          <w:sz w:val="20"/>
          <w:szCs w:val="20"/>
          <w:color w:val="auto"/>
        </w:rPr>
      </w:pPr>
    </w:p>
    <w:p>
      <w:pPr>
        <w:jc w:val="both"/>
        <w:ind w:right="20"/>
        <w:spacing w:after="0" w:line="254" w:lineRule="auto"/>
        <w:rPr>
          <w:sz w:val="20"/>
          <w:szCs w:val="20"/>
          <w:color w:val="auto"/>
        </w:rPr>
      </w:pPr>
      <w:r>
        <w:rPr>
          <w:rFonts w:ascii="Calibri" w:cs="Calibri" w:eastAsia="Calibri" w:hAnsi="Calibri"/>
          <w:sz w:val="17"/>
          <w:szCs w:val="17"/>
          <w:color w:val="51555C"/>
        </w:rPr>
        <w:t>During the three months ended September 30, 2024, we repurchased 807,774 shares for $62.8 million. During the nine months ended September 30, 2024, we repurchased an aggregate of 3,761,985 shares for $325.4 million, including the inital delivery of shares repurchased pursuant to the ASR Transacton. The remaining amount available to purchase stock under the approved stock repurchase program was $737.2 million as of September 30, 2024.</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Changes in accumulated other comprehensive income (loss) by component</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The changes in accumulated other comprehensive income (loss) by component,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980" w:type="dxa"/>
            <w:vAlign w:val="bottom"/>
            <w:tcBorders>
              <w:right w:val="single" w:sz="8" w:color="004054"/>
            </w:tcBorders>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Three months ended</w:t>
            </w:r>
          </w:p>
        </w:tc>
        <w:tc>
          <w:tcPr>
            <w:tcW w:w="100" w:type="dxa"/>
            <w:vAlign w:val="bottom"/>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96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c>
          <w:tcPr>
            <w:tcW w:w="20" w:type="dxa"/>
            <w:vAlign w:val="bottom"/>
            <w:shd w:val="clear" w:color="auto" w:fill="004054"/>
          </w:tcPr>
          <w:p>
            <w:pPr>
              <w:spacing w:after="0"/>
              <w:rPr>
                <w:sz w:val="16"/>
                <w:szCs w:val="16"/>
                <w:color w:val="auto"/>
              </w:rPr>
            </w:pPr>
          </w:p>
        </w:tc>
      </w:tr>
      <w:tr>
        <w:trPr>
          <w:trHeight w:val="170"/>
        </w:trPr>
        <w:tc>
          <w:tcPr>
            <w:tcW w:w="6600" w:type="dxa"/>
            <w:vAlign w:val="bottom"/>
            <w:shd w:val="clear" w:color="auto" w:fill="004054"/>
          </w:tcPr>
          <w:p>
            <w:pPr>
              <w:spacing w:after="0"/>
              <w:rPr>
                <w:sz w:val="14"/>
                <w:szCs w:val="14"/>
                <w:color w:val="auto"/>
              </w:rPr>
            </w:pPr>
          </w:p>
        </w:tc>
        <w:tc>
          <w:tcPr>
            <w:tcW w:w="300" w:type="dxa"/>
            <w:vAlign w:val="bottom"/>
            <w:shd w:val="clear" w:color="auto" w:fill="004054"/>
          </w:tcPr>
          <w:p>
            <w:pPr>
              <w:spacing w:after="0"/>
              <w:rPr>
                <w:sz w:val="14"/>
                <w:szCs w:val="14"/>
                <w:color w:val="auto"/>
              </w:rPr>
            </w:pPr>
          </w:p>
        </w:tc>
        <w:tc>
          <w:tcPr>
            <w:tcW w:w="820" w:type="dxa"/>
            <w:vAlign w:val="bottom"/>
            <w:shd w:val="clear" w:color="auto" w:fill="004054"/>
          </w:tcPr>
          <w:p>
            <w:pPr>
              <w:spacing w:after="0"/>
              <w:rPr>
                <w:sz w:val="14"/>
                <w:szCs w:val="14"/>
                <w:color w:val="auto"/>
              </w:rPr>
            </w:pPr>
          </w:p>
        </w:tc>
        <w:tc>
          <w:tcPr>
            <w:tcW w:w="180" w:type="dxa"/>
            <w:vAlign w:val="bottom"/>
            <w:shd w:val="clear" w:color="auto" w:fill="004054"/>
          </w:tcPr>
          <w:p>
            <w:pPr>
              <w:spacing w:after="0"/>
              <w:rPr>
                <w:sz w:val="14"/>
                <w:szCs w:val="14"/>
                <w:color w:val="auto"/>
              </w:rPr>
            </w:pPr>
          </w:p>
        </w:tc>
        <w:tc>
          <w:tcPr>
            <w:tcW w:w="9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100" w:type="dxa"/>
            <w:vAlign w:val="bottom"/>
          </w:tcPr>
          <w:p>
            <w:pPr>
              <w:spacing w:after="0"/>
              <w:rPr>
                <w:sz w:val="14"/>
                <w:szCs w:val="14"/>
                <w:color w:val="auto"/>
              </w:rPr>
            </w:pPr>
          </w:p>
        </w:tc>
        <w:tc>
          <w:tcPr>
            <w:tcW w:w="300" w:type="dxa"/>
            <w:vAlign w:val="bottom"/>
            <w:shd w:val="clear" w:color="auto" w:fill="004054"/>
          </w:tcPr>
          <w:p>
            <w:pPr>
              <w:spacing w:after="0"/>
              <w:rPr>
                <w:sz w:val="14"/>
                <w:szCs w:val="14"/>
                <w:color w:val="auto"/>
              </w:rPr>
            </w:pPr>
          </w:p>
        </w:tc>
        <w:tc>
          <w:tcPr>
            <w:tcW w:w="820" w:type="dxa"/>
            <w:vAlign w:val="bottom"/>
            <w:shd w:val="clear" w:color="auto" w:fill="004054"/>
          </w:tcPr>
          <w:p>
            <w:pPr>
              <w:spacing w:after="0"/>
              <w:rPr>
                <w:sz w:val="14"/>
                <w:szCs w:val="14"/>
                <w:color w:val="auto"/>
              </w:rPr>
            </w:pPr>
          </w:p>
        </w:tc>
        <w:tc>
          <w:tcPr>
            <w:tcW w:w="180" w:type="dxa"/>
            <w:vAlign w:val="bottom"/>
            <w:shd w:val="clear" w:color="auto" w:fill="004054"/>
          </w:tcPr>
          <w:p>
            <w:pPr>
              <w:spacing w:after="0"/>
              <w:rPr>
                <w:sz w:val="14"/>
                <w:szCs w:val="14"/>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20" w:type="dxa"/>
            <w:vAlign w:val="bottom"/>
            <w:shd w:val="clear" w:color="auto" w:fill="004054"/>
          </w:tcPr>
          <w:p>
            <w:pPr>
              <w:spacing w:after="0"/>
              <w:rPr>
                <w:sz w:val="14"/>
                <w:szCs w:val="14"/>
                <w:color w:val="auto"/>
              </w:rPr>
            </w:pPr>
          </w:p>
        </w:tc>
      </w:tr>
      <w:tr>
        <w:trPr>
          <w:trHeight w:val="243"/>
        </w:trPr>
        <w:tc>
          <w:tcPr>
            <w:tcW w:w="66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(in thousands)</w:t>
            </w:r>
          </w:p>
        </w:tc>
        <w:tc>
          <w:tcPr>
            <w:tcW w:w="300" w:type="dxa"/>
            <w:vAlign w:val="bottom"/>
            <w:shd w:val="clear" w:color="auto" w:fill="004054"/>
          </w:tcPr>
          <w:p>
            <w:pPr>
              <w:spacing w:after="0"/>
              <w:rPr>
                <w:sz w:val="21"/>
                <w:szCs w:val="21"/>
                <w:color w:val="auto"/>
              </w:rPr>
            </w:pPr>
          </w:p>
        </w:tc>
        <w:tc>
          <w:tcPr>
            <w:tcW w:w="8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80" w:type="dxa"/>
            <w:vAlign w:val="bottom"/>
            <w:shd w:val="clear" w:color="auto" w:fill="004054"/>
          </w:tcPr>
          <w:p>
            <w:pPr>
              <w:spacing w:after="0"/>
              <w:rPr>
                <w:sz w:val="21"/>
                <w:szCs w:val="21"/>
                <w:color w:val="auto"/>
              </w:rPr>
            </w:pPr>
          </w:p>
        </w:tc>
        <w:tc>
          <w:tcPr>
            <w:tcW w:w="9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00" w:type="dxa"/>
            <w:vAlign w:val="bottom"/>
          </w:tcPr>
          <w:p>
            <w:pPr>
              <w:spacing w:after="0"/>
              <w:rPr>
                <w:sz w:val="21"/>
                <w:szCs w:val="21"/>
                <w:color w:val="auto"/>
              </w:rPr>
            </w:pPr>
          </w:p>
        </w:tc>
        <w:tc>
          <w:tcPr>
            <w:tcW w:w="300" w:type="dxa"/>
            <w:vAlign w:val="bottom"/>
            <w:shd w:val="clear" w:color="auto" w:fill="004054"/>
          </w:tcPr>
          <w:p>
            <w:pPr>
              <w:spacing w:after="0"/>
              <w:rPr>
                <w:sz w:val="21"/>
                <w:szCs w:val="21"/>
                <w:color w:val="auto"/>
              </w:rPr>
            </w:pPr>
          </w:p>
        </w:tc>
        <w:tc>
          <w:tcPr>
            <w:tcW w:w="8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80" w:type="dxa"/>
            <w:vAlign w:val="bottom"/>
            <w:shd w:val="clear" w:color="auto" w:fill="004054"/>
          </w:tcPr>
          <w:p>
            <w:pPr>
              <w:spacing w:after="0"/>
              <w:rPr>
                <w:sz w:val="21"/>
                <w:szCs w:val="21"/>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21"/>
                <w:szCs w:val="21"/>
                <w:color w:val="auto"/>
              </w:rPr>
            </w:pPr>
          </w:p>
        </w:tc>
      </w:tr>
      <w:tr>
        <w:trPr>
          <w:trHeight w:val="60"/>
        </w:trPr>
        <w:tc>
          <w:tcPr>
            <w:tcW w:w="6600" w:type="dxa"/>
            <w:vAlign w:val="bottom"/>
            <w:tcBorders>
              <w:bottom w:val="single" w:sz="8" w:color="004054"/>
            </w:tcBorders>
            <w:shd w:val="clear" w:color="auto" w:fill="004054"/>
          </w:tcPr>
          <w:p>
            <w:pPr>
              <w:spacing w:after="0"/>
              <w:rPr>
                <w:sz w:val="5"/>
                <w:szCs w:val="5"/>
                <w:color w:val="auto"/>
              </w:rPr>
            </w:pPr>
          </w:p>
        </w:tc>
        <w:tc>
          <w:tcPr>
            <w:tcW w:w="300" w:type="dxa"/>
            <w:vAlign w:val="bottom"/>
            <w:tcBorders>
              <w:bottom w:val="single" w:sz="8" w:color="004054"/>
            </w:tcBorders>
            <w:shd w:val="clear" w:color="auto" w:fill="004054"/>
          </w:tcPr>
          <w:p>
            <w:pPr>
              <w:spacing w:after="0"/>
              <w:rPr>
                <w:sz w:val="5"/>
                <w:szCs w:val="5"/>
                <w:color w:val="auto"/>
              </w:rPr>
            </w:pPr>
          </w:p>
        </w:tc>
        <w:tc>
          <w:tcPr>
            <w:tcW w:w="820" w:type="dxa"/>
            <w:vAlign w:val="bottom"/>
            <w:tcBorders>
              <w:bottom w:val="single" w:sz="8" w:color="004054"/>
            </w:tcBorders>
            <w:shd w:val="clear" w:color="auto" w:fill="004054"/>
          </w:tcPr>
          <w:p>
            <w:pPr>
              <w:spacing w:after="0"/>
              <w:rPr>
                <w:sz w:val="5"/>
                <w:szCs w:val="5"/>
                <w:color w:val="auto"/>
              </w:rPr>
            </w:pPr>
          </w:p>
        </w:tc>
        <w:tc>
          <w:tcPr>
            <w:tcW w:w="180" w:type="dxa"/>
            <w:vAlign w:val="bottom"/>
            <w:tcBorders>
              <w:bottom w:val="single" w:sz="8" w:color="004054"/>
            </w:tcBorders>
            <w:shd w:val="clear" w:color="auto" w:fill="004054"/>
          </w:tcPr>
          <w:p>
            <w:pPr>
              <w:spacing w:after="0"/>
              <w:rPr>
                <w:sz w:val="5"/>
                <w:szCs w:val="5"/>
                <w:color w:val="auto"/>
              </w:rPr>
            </w:pPr>
          </w:p>
        </w:tc>
        <w:tc>
          <w:tcPr>
            <w:tcW w:w="980" w:type="dxa"/>
            <w:vAlign w:val="bottom"/>
            <w:tcBorders>
              <w:bottom w:val="single" w:sz="8" w:color="004054"/>
              <w:right w:val="single" w:sz="8" w:color="004054"/>
            </w:tcBorders>
            <w:shd w:val="clear" w:color="auto" w:fill="004054"/>
          </w:tcPr>
          <w:p>
            <w:pPr>
              <w:spacing w:after="0"/>
              <w:rPr>
                <w:sz w:val="5"/>
                <w:szCs w:val="5"/>
                <w:color w:val="auto"/>
              </w:rPr>
            </w:pPr>
          </w:p>
        </w:tc>
        <w:tc>
          <w:tcPr>
            <w:tcW w:w="100" w:type="dxa"/>
            <w:vAlign w:val="bottom"/>
            <w:tcBorders>
              <w:bottom w:val="single" w:sz="8" w:color="EBFBFF"/>
            </w:tcBorders>
          </w:tcPr>
          <w:p>
            <w:pPr>
              <w:spacing w:after="0"/>
              <w:rPr>
                <w:sz w:val="5"/>
                <w:szCs w:val="5"/>
                <w:color w:val="auto"/>
              </w:rPr>
            </w:pPr>
          </w:p>
        </w:tc>
        <w:tc>
          <w:tcPr>
            <w:tcW w:w="300" w:type="dxa"/>
            <w:vAlign w:val="bottom"/>
            <w:tcBorders>
              <w:bottom w:val="single" w:sz="8" w:color="004054"/>
            </w:tcBorders>
            <w:shd w:val="clear" w:color="auto" w:fill="004054"/>
          </w:tcPr>
          <w:p>
            <w:pPr>
              <w:spacing w:after="0"/>
              <w:rPr>
                <w:sz w:val="5"/>
                <w:szCs w:val="5"/>
                <w:color w:val="auto"/>
              </w:rPr>
            </w:pPr>
          </w:p>
        </w:tc>
        <w:tc>
          <w:tcPr>
            <w:tcW w:w="820" w:type="dxa"/>
            <w:vAlign w:val="bottom"/>
            <w:tcBorders>
              <w:bottom w:val="single" w:sz="8" w:color="004054"/>
            </w:tcBorders>
            <w:shd w:val="clear" w:color="auto" w:fill="004054"/>
          </w:tcPr>
          <w:p>
            <w:pPr>
              <w:spacing w:after="0"/>
              <w:rPr>
                <w:sz w:val="5"/>
                <w:szCs w:val="5"/>
                <w:color w:val="auto"/>
              </w:rPr>
            </w:pPr>
          </w:p>
        </w:tc>
        <w:tc>
          <w:tcPr>
            <w:tcW w:w="180" w:type="dxa"/>
            <w:vAlign w:val="bottom"/>
            <w:tcBorders>
              <w:bottom w:val="single" w:sz="8" w:color="004054"/>
            </w:tcBorders>
            <w:shd w:val="clear" w:color="auto" w:fill="004054"/>
          </w:tcPr>
          <w:p>
            <w:pPr>
              <w:spacing w:after="0"/>
              <w:rPr>
                <w:sz w:val="5"/>
                <w:szCs w:val="5"/>
                <w:color w:val="auto"/>
              </w:rPr>
            </w:pPr>
          </w:p>
        </w:tc>
        <w:tc>
          <w:tcPr>
            <w:tcW w:w="96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r>
      <w:tr>
        <w:trPr>
          <w:trHeight w:val="244"/>
        </w:trPr>
        <w:tc>
          <w:tcPr>
            <w:tcW w:w="660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b w:val="1"/>
                <w:bCs w:val="1"/>
                <w:color w:val="51555C"/>
              </w:rPr>
              <w:t>Accumulated other comprehensive income (loss), beginning of period</w:t>
            </w:r>
          </w:p>
        </w:tc>
        <w:tc>
          <w:tcPr>
            <w:tcW w:w="300" w:type="dxa"/>
            <w:vAlign w:val="bottom"/>
            <w:tcBorders>
              <w:bottom w:val="single" w:sz="8" w:color="EBFBFF"/>
            </w:tcBorders>
            <w:shd w:val="clear" w:color="auto" w:fill="EBFBFF"/>
          </w:tcPr>
          <w:p>
            <w:pPr>
              <w:jc w:val="right"/>
              <w:ind w:right="110"/>
              <w:spacing w:after="0" w:line="213" w:lineRule="exact"/>
              <w:rPr>
                <w:sz w:val="20"/>
                <w:szCs w:val="20"/>
                <w:color w:val="auto"/>
              </w:rPr>
            </w:pPr>
            <w:r>
              <w:rPr>
                <w:rFonts w:ascii="Calibri" w:cs="Calibri" w:eastAsia="Calibri" w:hAnsi="Calibri"/>
                <w:sz w:val="18"/>
                <w:szCs w:val="18"/>
                <w:color w:val="51555C"/>
                <w:w w:val="87"/>
              </w:rPr>
              <w:t>$</w:t>
            </w:r>
          </w:p>
        </w:tc>
        <w:tc>
          <w:tcPr>
            <w:tcW w:w="8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175</w:t>
            </w:r>
          </w:p>
        </w:tc>
        <w:tc>
          <w:tcPr>
            <w:tcW w:w="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right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8,842</w:t>
            </w:r>
          </w:p>
        </w:tc>
        <w:tc>
          <w:tcPr>
            <w:tcW w:w="400" w:type="dxa"/>
            <w:vAlign w:val="bottom"/>
            <w:tcBorders>
              <w:bottom w:val="single" w:sz="8" w:color="EBFBFF"/>
            </w:tcBorders>
            <w:gridSpan w:val="2"/>
            <w:shd w:val="clear" w:color="auto" w:fill="EBFBFF"/>
          </w:tcPr>
          <w:p>
            <w:pPr>
              <w:jc w:val="right"/>
              <w:ind w:right="110"/>
              <w:spacing w:after="0" w:line="213" w:lineRule="exact"/>
              <w:rPr>
                <w:sz w:val="20"/>
                <w:szCs w:val="20"/>
                <w:color w:val="auto"/>
              </w:rPr>
            </w:pPr>
            <w:r>
              <w:rPr>
                <w:rFonts w:ascii="Calibri" w:cs="Calibri" w:eastAsia="Calibri" w:hAnsi="Calibri"/>
                <w:sz w:val="18"/>
                <w:szCs w:val="18"/>
                <w:color w:val="51555C"/>
              </w:rPr>
              <w:t>$</w:t>
            </w:r>
          </w:p>
        </w:tc>
        <w:tc>
          <w:tcPr>
            <w:tcW w:w="8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(1,688)</w:t>
            </w:r>
          </w:p>
        </w:tc>
        <w:tc>
          <w:tcPr>
            <w:tcW w:w="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w:t>
            </w:r>
          </w:p>
        </w:tc>
        <w:tc>
          <w:tcPr>
            <w:tcW w:w="9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8,938</w:t>
            </w:r>
          </w:p>
        </w:tc>
        <w:tc>
          <w:tcPr>
            <w:tcW w:w="20" w:type="dxa"/>
            <w:vAlign w:val="bottom"/>
          </w:tcPr>
          <w:p>
            <w:pPr>
              <w:spacing w:after="0"/>
              <w:rPr>
                <w:sz w:val="21"/>
                <w:szCs w:val="21"/>
                <w:color w:val="auto"/>
              </w:rPr>
            </w:pPr>
          </w:p>
        </w:tc>
      </w:tr>
      <w:tr>
        <w:trPr>
          <w:trHeight w:val="220"/>
        </w:trPr>
        <w:tc>
          <w:tcPr>
            <w:tcW w:w="6600" w:type="dxa"/>
            <w:vAlign w:val="bottom"/>
          </w:tcPr>
          <w:p>
            <w:pPr>
              <w:ind w:left="20"/>
              <w:spacing w:after="0"/>
              <w:rPr>
                <w:sz w:val="20"/>
                <w:szCs w:val="20"/>
                <w:color w:val="auto"/>
              </w:rPr>
            </w:pPr>
            <w:r>
              <w:rPr>
                <w:rFonts w:ascii="Calibri" w:cs="Calibri" w:eastAsia="Calibri" w:hAnsi="Calibri"/>
                <w:sz w:val="18"/>
                <w:szCs w:val="18"/>
                <w:b w:val="1"/>
                <w:bCs w:val="1"/>
                <w:color w:val="51555C"/>
              </w:rPr>
              <w:t>By component:</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6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6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b w:val="1"/>
                <w:bCs w:val="1"/>
                <w:color w:val="51555C"/>
              </w:rPr>
              <w:t>Gains and losses on cash fow hedges:</w:t>
            </w:r>
          </w:p>
        </w:tc>
        <w:tc>
          <w:tcPr>
            <w:tcW w:w="300" w:type="dxa"/>
            <w:vAlign w:val="bottom"/>
            <w:tcBorders>
              <w:bottom w:val="single" w:sz="8" w:color="EBFBFF"/>
            </w:tcBorders>
            <w:shd w:val="clear" w:color="auto" w:fill="EBFBFF"/>
          </w:tcPr>
          <w:p>
            <w:pPr>
              <w:spacing w:after="0"/>
              <w:rPr>
                <w:sz w:val="21"/>
                <w:szCs w:val="21"/>
                <w:color w:val="auto"/>
              </w:rPr>
            </w:pPr>
          </w:p>
        </w:tc>
        <w:tc>
          <w:tcPr>
            <w:tcW w:w="82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right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82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6600" w:type="dxa"/>
            <w:vAlign w:val="bottom"/>
          </w:tcPr>
          <w:p>
            <w:pPr>
              <w:ind w:left="240"/>
              <w:spacing w:after="0"/>
              <w:rPr>
                <w:sz w:val="20"/>
                <w:szCs w:val="20"/>
                <w:color w:val="auto"/>
              </w:rPr>
            </w:pPr>
            <w:r>
              <w:rPr>
                <w:rFonts w:ascii="Calibri" w:cs="Calibri" w:eastAsia="Calibri" w:hAnsi="Calibri"/>
                <w:sz w:val="18"/>
                <w:szCs w:val="18"/>
                <w:color w:val="51555C"/>
              </w:rPr>
              <w:t>Accumulated other comprehensive income balance, beginning of period</w:t>
            </w:r>
          </w:p>
        </w:tc>
        <w:tc>
          <w:tcPr>
            <w:tcW w:w="300" w:type="dxa"/>
            <w:vAlign w:val="bottom"/>
          </w:tcPr>
          <w:p>
            <w:pPr>
              <w:jc w:val="right"/>
              <w:ind w:right="110"/>
              <w:spacing w:after="0"/>
              <w:rPr>
                <w:sz w:val="20"/>
                <w:szCs w:val="20"/>
                <w:color w:val="auto"/>
              </w:rPr>
            </w:pPr>
            <w:r>
              <w:rPr>
                <w:rFonts w:ascii="Calibri" w:cs="Calibri" w:eastAsia="Calibri" w:hAnsi="Calibri"/>
                <w:sz w:val="18"/>
                <w:szCs w:val="18"/>
                <w:color w:val="51555C"/>
                <w:w w:val="87"/>
              </w:rPr>
              <w:t>$</w:t>
            </w:r>
          </w:p>
        </w:tc>
        <w:tc>
          <w:tcPr>
            <w:tcW w:w="820" w:type="dxa"/>
            <w:vAlign w:val="bottom"/>
          </w:tcPr>
          <w:p>
            <w:pPr>
              <w:jc w:val="right"/>
              <w:spacing w:after="0"/>
              <w:rPr>
                <w:sz w:val="20"/>
                <w:szCs w:val="20"/>
                <w:color w:val="auto"/>
              </w:rPr>
            </w:pPr>
            <w:r>
              <w:rPr>
                <w:rFonts w:ascii="Calibri" w:cs="Calibri" w:eastAsia="Calibri" w:hAnsi="Calibri"/>
                <w:sz w:val="18"/>
                <w:szCs w:val="18"/>
                <w:color w:val="51555C"/>
              </w:rPr>
              <w:t>10,867</w:t>
            </w:r>
          </w:p>
        </w:tc>
        <w:tc>
          <w:tcPr>
            <w:tcW w:w="18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18,524</w:t>
            </w:r>
          </w:p>
        </w:tc>
        <w:tc>
          <w:tcPr>
            <w:tcW w:w="400" w:type="dxa"/>
            <w:vAlign w:val="bottom"/>
            <w:gridSpan w:val="2"/>
          </w:tcPr>
          <w:p>
            <w:pPr>
              <w:jc w:val="right"/>
              <w:ind w:right="110"/>
              <w:spacing w:after="0"/>
              <w:rPr>
                <w:sz w:val="20"/>
                <w:szCs w:val="20"/>
                <w:color w:val="auto"/>
              </w:rPr>
            </w:pPr>
            <w:r>
              <w:rPr>
                <w:rFonts w:ascii="Calibri" w:cs="Calibri" w:eastAsia="Calibri" w:hAnsi="Calibri"/>
                <w:sz w:val="18"/>
                <w:szCs w:val="18"/>
                <w:color w:val="51555C"/>
              </w:rPr>
              <w:t>$</w:t>
            </w:r>
          </w:p>
        </w:tc>
        <w:tc>
          <w:tcPr>
            <w:tcW w:w="820" w:type="dxa"/>
            <w:vAlign w:val="bottom"/>
          </w:tcPr>
          <w:p>
            <w:pPr>
              <w:jc w:val="right"/>
              <w:spacing w:after="0"/>
              <w:rPr>
                <w:sz w:val="20"/>
                <w:szCs w:val="20"/>
                <w:color w:val="auto"/>
              </w:rPr>
            </w:pPr>
            <w:r>
              <w:rPr>
                <w:rFonts w:ascii="Calibri" w:cs="Calibri" w:eastAsia="Calibri" w:hAnsi="Calibri"/>
                <w:sz w:val="18"/>
                <w:szCs w:val="18"/>
                <w:color w:val="51555C"/>
              </w:rPr>
              <w:t>8,158</w:t>
            </w:r>
          </w:p>
        </w:tc>
        <w:tc>
          <w:tcPr>
            <w:tcW w:w="18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960" w:type="dxa"/>
            <w:vAlign w:val="bottom"/>
          </w:tcPr>
          <w:p>
            <w:pPr>
              <w:jc w:val="right"/>
              <w:spacing w:after="0"/>
              <w:rPr>
                <w:sz w:val="20"/>
                <w:szCs w:val="20"/>
                <w:color w:val="auto"/>
              </w:rPr>
            </w:pPr>
            <w:r>
              <w:rPr>
                <w:rFonts w:ascii="Calibri" w:cs="Calibri" w:eastAsia="Calibri" w:hAnsi="Calibri"/>
                <w:sz w:val="18"/>
                <w:szCs w:val="18"/>
                <w:color w:val="51555C"/>
              </w:rPr>
              <w:t>23,833</w:t>
            </w:r>
          </w:p>
        </w:tc>
        <w:tc>
          <w:tcPr>
            <w:tcW w:w="20" w:type="dxa"/>
            <w:vAlign w:val="bottom"/>
          </w:tcPr>
          <w:p>
            <w:pPr>
              <w:spacing w:after="0"/>
              <w:rPr>
                <w:sz w:val="19"/>
                <w:szCs w:val="19"/>
                <w:color w:val="auto"/>
              </w:rPr>
            </w:pPr>
          </w:p>
        </w:tc>
      </w:tr>
      <w:tr>
        <w:trPr>
          <w:trHeight w:val="50"/>
        </w:trPr>
        <w:tc>
          <w:tcPr>
            <w:tcW w:w="6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3"/>
        </w:trPr>
        <w:tc>
          <w:tcPr>
            <w:tcW w:w="6600" w:type="dxa"/>
            <w:vAlign w:val="bottom"/>
            <w:shd w:val="clear" w:color="auto" w:fill="EBFBFF"/>
          </w:tcPr>
          <w:p>
            <w:pPr>
              <w:ind w:left="360"/>
              <w:spacing w:after="0"/>
              <w:rPr>
                <w:sz w:val="20"/>
                <w:szCs w:val="20"/>
                <w:color w:val="auto"/>
              </w:rPr>
            </w:pPr>
            <w:r>
              <w:rPr>
                <w:rFonts w:ascii="Calibri" w:cs="Calibri" w:eastAsia="Calibri" w:hAnsi="Calibri"/>
                <w:sz w:val="18"/>
                <w:szCs w:val="18"/>
                <w:color w:val="51555C"/>
                <w:w w:val="98"/>
              </w:rPr>
              <w:t>Other comprehensive (loss) income before reclassifcatons, net of tax efects of $3,315,</w:t>
            </w:r>
          </w:p>
        </w:tc>
        <w:tc>
          <w:tcPr>
            <w:tcW w:w="300" w:type="dxa"/>
            <w:vAlign w:val="bottom"/>
            <w:shd w:val="clear" w:color="auto" w:fill="EBFBFF"/>
          </w:tcPr>
          <w:p>
            <w:pPr>
              <w:spacing w:after="0"/>
              <w:rPr>
                <w:sz w:val="23"/>
                <w:szCs w:val="23"/>
                <w:color w:val="auto"/>
              </w:rPr>
            </w:pPr>
          </w:p>
        </w:tc>
        <w:tc>
          <w:tcPr>
            <w:tcW w:w="820" w:type="dxa"/>
            <w:vAlign w:val="bottom"/>
            <w:shd w:val="clear" w:color="auto" w:fill="EBFBFF"/>
          </w:tcPr>
          <w:p>
            <w:pPr>
              <w:spacing w:after="0"/>
              <w:rPr>
                <w:sz w:val="23"/>
                <w:szCs w:val="23"/>
                <w:color w:val="auto"/>
              </w:rPr>
            </w:pPr>
          </w:p>
        </w:tc>
        <w:tc>
          <w:tcPr>
            <w:tcW w:w="180" w:type="dxa"/>
            <w:vAlign w:val="bottom"/>
            <w:shd w:val="clear" w:color="auto" w:fill="EBFBFF"/>
          </w:tcPr>
          <w:p>
            <w:pPr>
              <w:spacing w:after="0"/>
              <w:rPr>
                <w:sz w:val="23"/>
                <w:szCs w:val="23"/>
                <w:color w:val="auto"/>
              </w:rPr>
            </w:pPr>
          </w:p>
        </w:tc>
        <w:tc>
          <w:tcPr>
            <w:tcW w:w="980" w:type="dxa"/>
            <w:vAlign w:val="bottom"/>
            <w:tcBorders>
              <w:right w:val="single" w:sz="8" w:color="EBFBFF"/>
            </w:tcBorders>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300" w:type="dxa"/>
            <w:vAlign w:val="bottom"/>
            <w:shd w:val="clear" w:color="auto" w:fill="EBFBFF"/>
          </w:tcPr>
          <w:p>
            <w:pPr>
              <w:spacing w:after="0"/>
              <w:rPr>
                <w:sz w:val="23"/>
                <w:szCs w:val="23"/>
                <w:color w:val="auto"/>
              </w:rPr>
            </w:pPr>
          </w:p>
        </w:tc>
        <w:tc>
          <w:tcPr>
            <w:tcW w:w="820" w:type="dxa"/>
            <w:vAlign w:val="bottom"/>
            <w:shd w:val="clear" w:color="auto" w:fill="EBFBFF"/>
          </w:tcPr>
          <w:p>
            <w:pPr>
              <w:spacing w:after="0"/>
              <w:rPr>
                <w:sz w:val="23"/>
                <w:szCs w:val="23"/>
                <w:color w:val="auto"/>
              </w:rPr>
            </w:pPr>
          </w:p>
        </w:tc>
        <w:tc>
          <w:tcPr>
            <w:tcW w:w="180" w:type="dxa"/>
            <w:vAlign w:val="bottom"/>
            <w:shd w:val="clear" w:color="auto" w:fill="EBFBFF"/>
          </w:tcPr>
          <w:p>
            <w:pPr>
              <w:spacing w:after="0"/>
              <w:rPr>
                <w:sz w:val="23"/>
                <w:szCs w:val="23"/>
                <w:color w:val="auto"/>
              </w:rPr>
            </w:pPr>
          </w:p>
        </w:tc>
        <w:tc>
          <w:tcPr>
            <w:tcW w:w="96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247"/>
        </w:trPr>
        <w:tc>
          <w:tcPr>
            <w:tcW w:w="6600" w:type="dxa"/>
            <w:vAlign w:val="bottom"/>
            <w:tcBorders>
              <w:bottom w:val="single" w:sz="8" w:color="EBFBFF"/>
            </w:tcBorders>
            <w:shd w:val="clear" w:color="auto" w:fill="EBFBFF"/>
          </w:tcPr>
          <w:p>
            <w:pPr>
              <w:ind w:left="360"/>
              <w:spacing w:after="0" w:line="216" w:lineRule="exact"/>
              <w:rPr>
                <w:sz w:val="20"/>
                <w:szCs w:val="20"/>
                <w:color w:val="auto"/>
              </w:rPr>
            </w:pPr>
            <w:r>
              <w:rPr>
                <w:rFonts w:ascii="Calibri" w:cs="Calibri" w:eastAsia="Calibri" w:hAnsi="Calibri"/>
                <w:sz w:val="18"/>
                <w:szCs w:val="18"/>
                <w:color w:val="51555C"/>
              </w:rPr>
              <w:t>$(2,873), $(625) and $(3,545)</w:t>
            </w:r>
          </w:p>
        </w:tc>
        <w:tc>
          <w:tcPr>
            <w:tcW w:w="300" w:type="dxa"/>
            <w:vAlign w:val="bottom"/>
            <w:tcBorders>
              <w:bottom w:val="single" w:sz="8" w:color="EBFBFF"/>
            </w:tcBorders>
            <w:shd w:val="clear" w:color="auto" w:fill="EBFBFF"/>
          </w:tcPr>
          <w:p>
            <w:pPr>
              <w:spacing w:after="0"/>
              <w:rPr>
                <w:sz w:val="21"/>
                <w:szCs w:val="21"/>
                <w:color w:val="auto"/>
              </w:rPr>
            </w:pPr>
          </w:p>
        </w:tc>
        <w:tc>
          <w:tcPr>
            <w:tcW w:w="82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(9,294)</w:t>
            </w:r>
          </w:p>
        </w:tc>
        <w:tc>
          <w:tcPr>
            <w:tcW w:w="18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right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8,124</w:t>
            </w:r>
          </w:p>
        </w:tc>
        <w:tc>
          <w:tcPr>
            <w:tcW w:w="10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82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1,558</w:t>
            </w:r>
          </w:p>
        </w:tc>
        <w:tc>
          <w:tcPr>
            <w:tcW w:w="18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10,066</w:t>
            </w:r>
          </w:p>
        </w:tc>
        <w:tc>
          <w:tcPr>
            <w:tcW w:w="20" w:type="dxa"/>
            <w:vAlign w:val="bottom"/>
          </w:tcPr>
          <w:p>
            <w:pPr>
              <w:spacing w:after="0"/>
              <w:rPr>
                <w:sz w:val="21"/>
                <w:szCs w:val="21"/>
                <w:color w:val="auto"/>
              </w:rPr>
            </w:pPr>
          </w:p>
        </w:tc>
      </w:tr>
      <w:tr>
        <w:trPr>
          <w:trHeight w:val="220"/>
        </w:trPr>
        <w:tc>
          <w:tcPr>
            <w:tcW w:w="6600" w:type="dxa"/>
            <w:vAlign w:val="bottom"/>
          </w:tcPr>
          <w:p>
            <w:pPr>
              <w:ind w:left="460"/>
              <w:spacing w:after="0"/>
              <w:rPr>
                <w:sz w:val="20"/>
                <w:szCs w:val="20"/>
                <w:color w:val="auto"/>
              </w:rPr>
            </w:pPr>
            <w:r>
              <w:rPr>
                <w:rFonts w:ascii="Calibri" w:cs="Calibri" w:eastAsia="Calibri" w:hAnsi="Calibri"/>
                <w:sz w:val="18"/>
                <w:szCs w:val="18"/>
                <w:color w:val="51555C"/>
              </w:rPr>
              <w:t>Amounts reclassifed from accumulated other comprehensive (loss) income</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51555C"/>
              </w:rPr>
              <w:t>(5,740)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(5,456)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51555C"/>
              </w:rPr>
              <w:t>(16,832)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(15,272)</w:t>
            </w:r>
          </w:p>
        </w:tc>
        <w:tc>
          <w:tcPr>
            <w:tcW w:w="20" w:type="dxa"/>
            <w:vAlign w:val="bottom"/>
          </w:tcPr>
          <w:p>
            <w:pPr>
              <w:spacing w:after="0"/>
              <w:rPr>
                <w:sz w:val="19"/>
                <w:szCs w:val="19"/>
                <w:color w:val="auto"/>
              </w:rPr>
            </w:pPr>
          </w:p>
        </w:tc>
      </w:tr>
      <w:tr>
        <w:trPr>
          <w:trHeight w:val="50"/>
        </w:trPr>
        <w:tc>
          <w:tcPr>
            <w:tcW w:w="6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60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rPr>
              <w:t>Tax expense included in provision for income taxes</w:t>
            </w:r>
          </w:p>
        </w:tc>
        <w:tc>
          <w:tcPr>
            <w:tcW w:w="300" w:type="dxa"/>
            <w:vAlign w:val="bottom"/>
            <w:tcBorders>
              <w:bottom w:val="single" w:sz="8" w:color="EBFBFF"/>
            </w:tcBorders>
            <w:shd w:val="clear" w:color="auto" w:fill="EBFBFF"/>
          </w:tcPr>
          <w:p>
            <w:pPr>
              <w:spacing w:after="0"/>
              <w:rPr>
                <w:sz w:val="23"/>
                <w:szCs w:val="2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1,509</w:t>
            </w:r>
          </w:p>
        </w:tc>
        <w:tc>
          <w:tcPr>
            <w:tcW w:w="18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1,425</w:t>
            </w:r>
          </w:p>
        </w:tc>
        <w:tc>
          <w:tcPr>
            <w:tcW w:w="100" w:type="dxa"/>
            <w:vAlign w:val="bottom"/>
            <w:tcBorders>
              <w:bottom w:val="single" w:sz="8" w:color="EBFBFF"/>
            </w:tcBorders>
            <w:shd w:val="clear" w:color="auto" w:fill="EBFBFF"/>
          </w:tcPr>
          <w:p>
            <w:pPr>
              <w:spacing w:after="0"/>
              <w:rPr>
                <w:sz w:val="23"/>
                <w:szCs w:val="23"/>
                <w:color w:val="auto"/>
              </w:rPr>
            </w:pPr>
          </w:p>
        </w:tc>
        <w:tc>
          <w:tcPr>
            <w:tcW w:w="300" w:type="dxa"/>
            <w:vAlign w:val="bottom"/>
            <w:tcBorders>
              <w:bottom w:val="single" w:sz="8" w:color="EBFBFF"/>
            </w:tcBorders>
            <w:shd w:val="clear" w:color="auto" w:fill="EBFBFF"/>
          </w:tcPr>
          <w:p>
            <w:pPr>
              <w:spacing w:after="0"/>
              <w:rPr>
                <w:sz w:val="23"/>
                <w:szCs w:val="2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4,458</w:t>
            </w:r>
          </w:p>
        </w:tc>
        <w:tc>
          <w:tcPr>
            <w:tcW w:w="180" w:type="dxa"/>
            <w:vAlign w:val="bottom"/>
            <w:tcBorders>
              <w:bottom w:val="single" w:sz="8" w:color="EBFBFF"/>
            </w:tcBorders>
            <w:shd w:val="clear" w:color="auto" w:fill="EBFBFF"/>
          </w:tcPr>
          <w:p>
            <w:pPr>
              <w:spacing w:after="0"/>
              <w:rPr>
                <w:sz w:val="23"/>
                <w:szCs w:val="23"/>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3,990</w:t>
            </w:r>
          </w:p>
        </w:tc>
        <w:tc>
          <w:tcPr>
            <w:tcW w:w="20" w:type="dxa"/>
            <w:vAlign w:val="bottom"/>
          </w:tcPr>
          <w:p>
            <w:pPr>
              <w:spacing w:after="0"/>
              <w:rPr>
                <w:sz w:val="23"/>
                <w:szCs w:val="23"/>
                <w:color w:val="auto"/>
              </w:rPr>
            </w:pPr>
          </w:p>
        </w:tc>
      </w:tr>
      <w:tr>
        <w:trPr>
          <w:trHeight w:val="213"/>
        </w:trPr>
        <w:tc>
          <w:tcPr>
            <w:tcW w:w="6600" w:type="dxa"/>
            <w:vAlign w:val="bottom"/>
          </w:tcPr>
          <w:p>
            <w:pPr>
              <w:ind w:left="360"/>
              <w:spacing w:after="0" w:line="213" w:lineRule="exact"/>
              <w:rPr>
                <w:sz w:val="20"/>
                <w:szCs w:val="20"/>
                <w:color w:val="auto"/>
              </w:rPr>
            </w:pPr>
            <w:r>
              <w:rPr>
                <w:rFonts w:ascii="Calibri" w:cs="Calibri" w:eastAsia="Calibri" w:hAnsi="Calibri"/>
                <w:sz w:val="18"/>
                <w:szCs w:val="18"/>
                <w:color w:val="51555C"/>
              </w:rPr>
              <w:t>Total amounts reclassifed from accumulated other comprehensive (loss) income</w:t>
            </w:r>
          </w:p>
        </w:tc>
        <w:tc>
          <w:tcPr>
            <w:tcW w:w="300" w:type="dxa"/>
            <w:vAlign w:val="bottom"/>
            <w:tcBorders>
              <w:top w:val="single" w:sz="8" w:color="51555C"/>
            </w:tcBorders>
          </w:tcPr>
          <w:p>
            <w:pPr>
              <w:spacing w:after="0"/>
              <w:rPr>
                <w:sz w:val="18"/>
                <w:szCs w:val="18"/>
                <w:color w:val="auto"/>
              </w:rPr>
            </w:pPr>
          </w:p>
        </w:tc>
        <w:tc>
          <w:tcPr>
            <w:tcW w:w="8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(4,231)</w:t>
            </w:r>
          </w:p>
        </w:tc>
        <w:tc>
          <w:tcPr>
            <w:tcW w:w="180" w:type="dxa"/>
            <w:vAlign w:val="bottom"/>
            <w:tcBorders>
              <w:top w:val="single" w:sz="8" w:color="51555C"/>
            </w:tcBorders>
          </w:tcPr>
          <w:p>
            <w:pPr>
              <w:spacing w:after="0"/>
              <w:rPr>
                <w:sz w:val="18"/>
                <w:szCs w:val="18"/>
                <w:color w:val="auto"/>
              </w:rPr>
            </w:pPr>
          </w:p>
        </w:tc>
        <w:tc>
          <w:tcPr>
            <w:tcW w:w="9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(4,031)</w:t>
            </w:r>
          </w:p>
        </w:tc>
        <w:tc>
          <w:tcPr>
            <w:tcW w:w="100" w:type="dxa"/>
            <w:vAlign w:val="bottom"/>
          </w:tcPr>
          <w:p>
            <w:pPr>
              <w:spacing w:after="0"/>
              <w:rPr>
                <w:sz w:val="18"/>
                <w:szCs w:val="18"/>
                <w:color w:val="auto"/>
              </w:rPr>
            </w:pPr>
          </w:p>
        </w:tc>
        <w:tc>
          <w:tcPr>
            <w:tcW w:w="300" w:type="dxa"/>
            <w:vAlign w:val="bottom"/>
            <w:tcBorders>
              <w:top w:val="single" w:sz="8" w:color="51555C"/>
            </w:tcBorders>
          </w:tcPr>
          <w:p>
            <w:pPr>
              <w:spacing w:after="0"/>
              <w:rPr>
                <w:sz w:val="18"/>
                <w:szCs w:val="18"/>
                <w:color w:val="auto"/>
              </w:rPr>
            </w:pPr>
          </w:p>
        </w:tc>
        <w:tc>
          <w:tcPr>
            <w:tcW w:w="8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(12,374)</w:t>
            </w:r>
          </w:p>
        </w:tc>
        <w:tc>
          <w:tcPr>
            <w:tcW w:w="180" w:type="dxa"/>
            <w:vAlign w:val="bottom"/>
            <w:tcBorders>
              <w:top w:val="single" w:sz="8" w:color="51555C"/>
            </w:tcBorders>
          </w:tcPr>
          <w:p>
            <w:pPr>
              <w:spacing w:after="0"/>
              <w:rPr>
                <w:sz w:val="18"/>
                <w:szCs w:val="18"/>
                <w:color w:val="auto"/>
              </w:rPr>
            </w:pPr>
          </w:p>
        </w:tc>
        <w:tc>
          <w:tcPr>
            <w:tcW w:w="9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(11,282)</w:t>
            </w:r>
          </w:p>
        </w:tc>
        <w:tc>
          <w:tcPr>
            <w:tcW w:w="20" w:type="dxa"/>
            <w:vAlign w:val="bottom"/>
          </w:tcPr>
          <w:p>
            <w:pPr>
              <w:spacing w:after="0"/>
              <w:rPr>
                <w:sz w:val="18"/>
                <w:szCs w:val="18"/>
                <w:color w:val="auto"/>
              </w:rPr>
            </w:pPr>
          </w:p>
        </w:tc>
      </w:tr>
      <w:tr>
        <w:trPr>
          <w:trHeight w:val="50"/>
        </w:trPr>
        <w:tc>
          <w:tcPr>
            <w:tcW w:w="6600" w:type="dxa"/>
            <w:vAlign w:val="bottom"/>
            <w:tcBorders>
              <w:bottom w:val="single" w:sz="8" w:color="EBFBFF"/>
            </w:tcBorders>
          </w:tcPr>
          <w:p>
            <w:pPr>
              <w:spacing w:after="0"/>
              <w:rPr>
                <w:sz w:val="4"/>
                <w:szCs w:val="4"/>
                <w:color w:val="auto"/>
              </w:rPr>
            </w:pPr>
          </w:p>
        </w:tc>
        <w:tc>
          <w:tcPr>
            <w:tcW w:w="300" w:type="dxa"/>
            <w:vAlign w:val="bottom"/>
            <w:tcBorders>
              <w:bottom w:val="single" w:sz="8" w:color="51555C"/>
            </w:tcBorders>
          </w:tcPr>
          <w:p>
            <w:pPr>
              <w:spacing w:after="0"/>
              <w:rPr>
                <w:sz w:val="4"/>
                <w:szCs w:val="4"/>
                <w:color w:val="auto"/>
              </w:rPr>
            </w:pPr>
          </w:p>
        </w:tc>
        <w:tc>
          <w:tcPr>
            <w:tcW w:w="820" w:type="dxa"/>
            <w:vAlign w:val="bottom"/>
            <w:tcBorders>
              <w:bottom w:val="single" w:sz="8" w:color="51555C"/>
            </w:tcBorders>
          </w:tcPr>
          <w:p>
            <w:pPr>
              <w:spacing w:after="0"/>
              <w:rPr>
                <w:sz w:val="4"/>
                <w:szCs w:val="4"/>
                <w:color w:val="auto"/>
              </w:rPr>
            </w:pPr>
          </w:p>
        </w:tc>
        <w:tc>
          <w:tcPr>
            <w:tcW w:w="18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300" w:type="dxa"/>
            <w:vAlign w:val="bottom"/>
            <w:tcBorders>
              <w:bottom w:val="single" w:sz="8" w:color="51555C"/>
            </w:tcBorders>
          </w:tcPr>
          <w:p>
            <w:pPr>
              <w:spacing w:after="0"/>
              <w:rPr>
                <w:sz w:val="4"/>
                <w:szCs w:val="4"/>
                <w:color w:val="auto"/>
              </w:rPr>
            </w:pPr>
          </w:p>
        </w:tc>
        <w:tc>
          <w:tcPr>
            <w:tcW w:w="820" w:type="dxa"/>
            <w:vAlign w:val="bottom"/>
            <w:tcBorders>
              <w:bottom w:val="single" w:sz="8" w:color="51555C"/>
            </w:tcBorders>
          </w:tcPr>
          <w:p>
            <w:pPr>
              <w:spacing w:after="0"/>
              <w:rPr>
                <w:sz w:val="4"/>
                <w:szCs w:val="4"/>
                <w:color w:val="auto"/>
              </w:rPr>
            </w:pPr>
          </w:p>
        </w:tc>
        <w:tc>
          <w:tcPr>
            <w:tcW w:w="180" w:type="dxa"/>
            <w:vAlign w:val="bottom"/>
            <w:tcBorders>
              <w:bottom w:val="single" w:sz="8" w:color="51555C"/>
            </w:tcBorders>
          </w:tcPr>
          <w:p>
            <w:pPr>
              <w:spacing w:after="0"/>
              <w:rPr>
                <w:sz w:val="4"/>
                <w:szCs w:val="4"/>
                <w:color w:val="auto"/>
              </w:rPr>
            </w:pPr>
          </w:p>
        </w:tc>
        <w:tc>
          <w:tcPr>
            <w:tcW w:w="9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63"/>
        </w:trPr>
        <w:tc>
          <w:tcPr>
            <w:tcW w:w="6600" w:type="dxa"/>
            <w:vAlign w:val="bottom"/>
            <w:tcBorders>
              <w:bottom w:val="single" w:sz="8" w:color="EBFBFF"/>
            </w:tcBorders>
            <w:shd w:val="clear" w:color="auto" w:fill="EBFBFF"/>
          </w:tcPr>
          <w:p>
            <w:pPr>
              <w:ind w:left="240"/>
              <w:spacing w:after="0" w:line="213" w:lineRule="exact"/>
              <w:rPr>
                <w:sz w:val="20"/>
                <w:szCs w:val="20"/>
                <w:color w:val="auto"/>
              </w:rPr>
            </w:pPr>
            <w:r>
              <w:rPr>
                <w:rFonts w:ascii="Calibri" w:cs="Calibri" w:eastAsia="Calibri" w:hAnsi="Calibri"/>
                <w:sz w:val="18"/>
                <w:szCs w:val="18"/>
                <w:color w:val="51555C"/>
              </w:rPr>
              <w:t>Net current-period other comprehensive (loss) income</w:t>
            </w:r>
          </w:p>
        </w:tc>
        <w:tc>
          <w:tcPr>
            <w:tcW w:w="300" w:type="dxa"/>
            <w:vAlign w:val="bottom"/>
            <w:tcBorders>
              <w:bottom w:val="single" w:sz="8" w:color="EBFBFF"/>
            </w:tcBorders>
            <w:shd w:val="clear" w:color="auto" w:fill="EBFBFF"/>
          </w:tcPr>
          <w:p>
            <w:pPr>
              <w:spacing w:after="0"/>
              <w:rPr>
                <w:sz w:val="22"/>
                <w:szCs w:val="22"/>
                <w:color w:val="auto"/>
              </w:rPr>
            </w:pPr>
          </w:p>
        </w:tc>
        <w:tc>
          <w:tcPr>
            <w:tcW w:w="8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(13,525)</w:t>
            </w:r>
          </w:p>
        </w:tc>
        <w:tc>
          <w:tcPr>
            <w:tcW w:w="180" w:type="dxa"/>
            <w:vAlign w:val="bottom"/>
            <w:tcBorders>
              <w:bottom w:val="single" w:sz="8" w:color="EBFBFF"/>
            </w:tcBorders>
            <w:shd w:val="clear" w:color="auto" w:fill="EBFBFF"/>
          </w:tcPr>
          <w:p>
            <w:pPr>
              <w:spacing w:after="0"/>
              <w:rPr>
                <w:sz w:val="22"/>
                <w:szCs w:val="22"/>
                <w:color w:val="auto"/>
              </w:rPr>
            </w:pPr>
          </w:p>
        </w:tc>
        <w:tc>
          <w:tcPr>
            <w:tcW w:w="980" w:type="dxa"/>
            <w:vAlign w:val="bottom"/>
            <w:tcBorders>
              <w:bottom w:val="single" w:sz="8" w:color="EBFBFF"/>
              <w:right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4,093</w:t>
            </w:r>
          </w:p>
        </w:tc>
        <w:tc>
          <w:tcPr>
            <w:tcW w:w="100" w:type="dxa"/>
            <w:vAlign w:val="bottom"/>
            <w:tcBorders>
              <w:bottom w:val="single" w:sz="8" w:color="EBFBFF"/>
            </w:tcBorders>
            <w:shd w:val="clear" w:color="auto" w:fill="EBFBFF"/>
          </w:tcPr>
          <w:p>
            <w:pPr>
              <w:spacing w:after="0"/>
              <w:rPr>
                <w:sz w:val="22"/>
                <w:szCs w:val="22"/>
                <w:color w:val="auto"/>
              </w:rPr>
            </w:pPr>
          </w:p>
        </w:tc>
        <w:tc>
          <w:tcPr>
            <w:tcW w:w="300" w:type="dxa"/>
            <w:vAlign w:val="bottom"/>
            <w:tcBorders>
              <w:bottom w:val="single" w:sz="8" w:color="EBFBFF"/>
            </w:tcBorders>
            <w:shd w:val="clear" w:color="auto" w:fill="EBFBFF"/>
          </w:tcPr>
          <w:p>
            <w:pPr>
              <w:spacing w:after="0"/>
              <w:rPr>
                <w:sz w:val="22"/>
                <w:szCs w:val="22"/>
                <w:color w:val="auto"/>
              </w:rPr>
            </w:pPr>
          </w:p>
        </w:tc>
        <w:tc>
          <w:tcPr>
            <w:tcW w:w="8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(10,816)</w:t>
            </w:r>
          </w:p>
        </w:tc>
        <w:tc>
          <w:tcPr>
            <w:tcW w:w="180" w:type="dxa"/>
            <w:vAlign w:val="bottom"/>
            <w:tcBorders>
              <w:bottom w:val="single" w:sz="8" w:color="EBFBFF"/>
            </w:tcBorders>
            <w:shd w:val="clear" w:color="auto" w:fill="EBFBFF"/>
          </w:tcPr>
          <w:p>
            <w:pPr>
              <w:spacing w:after="0"/>
              <w:rPr>
                <w:sz w:val="22"/>
                <w:szCs w:val="22"/>
                <w:color w:val="auto"/>
              </w:rPr>
            </w:pPr>
          </w:p>
        </w:tc>
        <w:tc>
          <w:tcPr>
            <w:tcW w:w="9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(1,216)</w:t>
            </w:r>
          </w:p>
        </w:tc>
        <w:tc>
          <w:tcPr>
            <w:tcW w:w="20" w:type="dxa"/>
            <w:vAlign w:val="bottom"/>
          </w:tcPr>
          <w:p>
            <w:pPr>
              <w:spacing w:after="0"/>
              <w:rPr>
                <w:sz w:val="22"/>
                <w:szCs w:val="22"/>
                <w:color w:val="auto"/>
              </w:rPr>
            </w:pPr>
          </w:p>
        </w:tc>
      </w:tr>
      <w:tr>
        <w:trPr>
          <w:trHeight w:val="213"/>
        </w:trPr>
        <w:tc>
          <w:tcPr>
            <w:tcW w:w="6600" w:type="dxa"/>
            <w:vAlign w:val="bottom"/>
          </w:tcPr>
          <w:p>
            <w:pPr>
              <w:ind w:left="240"/>
              <w:spacing w:after="0" w:line="213" w:lineRule="exact"/>
              <w:rPr>
                <w:sz w:val="20"/>
                <w:szCs w:val="20"/>
                <w:color w:val="auto"/>
              </w:rPr>
            </w:pPr>
            <w:r>
              <w:rPr>
                <w:rFonts w:ascii="Calibri" w:cs="Calibri" w:eastAsia="Calibri" w:hAnsi="Calibri"/>
                <w:sz w:val="18"/>
                <w:szCs w:val="18"/>
                <w:color w:val="51555C"/>
              </w:rPr>
              <w:t>Accumulated other comprehensive (loss) income balance, end of period</w:t>
            </w:r>
          </w:p>
        </w:tc>
        <w:tc>
          <w:tcPr>
            <w:tcW w:w="300" w:type="dxa"/>
            <w:vAlign w:val="bottom"/>
            <w:tcBorders>
              <w:top w:val="single" w:sz="8" w:color="51555C"/>
            </w:tcBorders>
          </w:tcPr>
          <w:p>
            <w:pPr>
              <w:jc w:val="right"/>
              <w:ind w:right="110"/>
              <w:spacing w:after="0" w:line="213" w:lineRule="exact"/>
              <w:rPr>
                <w:sz w:val="20"/>
                <w:szCs w:val="20"/>
                <w:color w:val="auto"/>
              </w:rPr>
            </w:pPr>
            <w:r>
              <w:rPr>
                <w:rFonts w:ascii="Calibri" w:cs="Calibri" w:eastAsia="Calibri" w:hAnsi="Calibri"/>
                <w:sz w:val="18"/>
                <w:szCs w:val="18"/>
                <w:color w:val="51555C"/>
                <w:w w:val="87"/>
              </w:rPr>
              <w:t>$</w:t>
            </w:r>
          </w:p>
        </w:tc>
        <w:tc>
          <w:tcPr>
            <w:tcW w:w="8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(2,658)</w:t>
            </w:r>
          </w:p>
        </w:tc>
        <w:tc>
          <w:tcPr>
            <w:tcW w:w="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22,617</w:t>
            </w:r>
          </w:p>
        </w:tc>
        <w:tc>
          <w:tcPr>
            <w:tcW w:w="100" w:type="dxa"/>
            <w:vAlign w:val="bottom"/>
          </w:tcPr>
          <w:p>
            <w:pPr>
              <w:spacing w:after="0"/>
              <w:rPr>
                <w:sz w:val="18"/>
                <w:szCs w:val="18"/>
                <w:color w:val="auto"/>
              </w:rPr>
            </w:pPr>
          </w:p>
        </w:tc>
        <w:tc>
          <w:tcPr>
            <w:tcW w:w="300" w:type="dxa"/>
            <w:vAlign w:val="bottom"/>
            <w:tcBorders>
              <w:top w:val="single" w:sz="8" w:color="51555C"/>
            </w:tcBorders>
          </w:tcPr>
          <w:p>
            <w:pPr>
              <w:jc w:val="right"/>
              <w:ind w:right="110"/>
              <w:spacing w:after="0" w:line="213" w:lineRule="exact"/>
              <w:rPr>
                <w:sz w:val="20"/>
                <w:szCs w:val="20"/>
                <w:color w:val="auto"/>
              </w:rPr>
            </w:pPr>
            <w:r>
              <w:rPr>
                <w:rFonts w:ascii="Calibri" w:cs="Calibri" w:eastAsia="Calibri" w:hAnsi="Calibri"/>
                <w:sz w:val="18"/>
                <w:szCs w:val="18"/>
                <w:color w:val="51555C"/>
                <w:w w:val="87"/>
              </w:rPr>
              <w:t>$</w:t>
            </w:r>
          </w:p>
        </w:tc>
        <w:tc>
          <w:tcPr>
            <w:tcW w:w="8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(2,658)</w:t>
            </w:r>
          </w:p>
        </w:tc>
        <w:tc>
          <w:tcPr>
            <w:tcW w:w="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w:t>
            </w:r>
          </w:p>
        </w:tc>
        <w:tc>
          <w:tcPr>
            <w:tcW w:w="9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22,617</w:t>
            </w:r>
          </w:p>
        </w:tc>
        <w:tc>
          <w:tcPr>
            <w:tcW w:w="20" w:type="dxa"/>
            <w:vAlign w:val="bottom"/>
          </w:tcPr>
          <w:p>
            <w:pPr>
              <w:spacing w:after="0"/>
              <w:rPr>
                <w:sz w:val="18"/>
                <w:szCs w:val="18"/>
                <w:color w:val="auto"/>
              </w:rPr>
            </w:pPr>
          </w:p>
        </w:tc>
      </w:tr>
      <w:tr>
        <w:trPr>
          <w:trHeight w:val="50"/>
        </w:trPr>
        <w:tc>
          <w:tcPr>
            <w:tcW w:w="6600" w:type="dxa"/>
            <w:vAlign w:val="bottom"/>
            <w:tcBorders>
              <w:bottom w:val="single" w:sz="8" w:color="EBFBFF"/>
            </w:tcBorders>
          </w:tcPr>
          <w:p>
            <w:pPr>
              <w:spacing w:after="0"/>
              <w:rPr>
                <w:sz w:val="4"/>
                <w:szCs w:val="4"/>
                <w:color w:val="auto"/>
              </w:rPr>
            </w:pPr>
          </w:p>
        </w:tc>
        <w:tc>
          <w:tcPr>
            <w:tcW w:w="300" w:type="dxa"/>
            <w:vAlign w:val="bottom"/>
            <w:tcBorders>
              <w:bottom w:val="single" w:sz="8" w:color="51555C"/>
            </w:tcBorders>
          </w:tcPr>
          <w:p>
            <w:pPr>
              <w:spacing w:after="0"/>
              <w:rPr>
                <w:sz w:val="4"/>
                <w:szCs w:val="4"/>
                <w:color w:val="auto"/>
              </w:rPr>
            </w:pPr>
          </w:p>
        </w:tc>
        <w:tc>
          <w:tcPr>
            <w:tcW w:w="820" w:type="dxa"/>
            <w:vAlign w:val="bottom"/>
            <w:tcBorders>
              <w:bottom w:val="single" w:sz="8" w:color="51555C"/>
            </w:tcBorders>
          </w:tcPr>
          <w:p>
            <w:pPr>
              <w:spacing w:after="0"/>
              <w:rPr>
                <w:sz w:val="4"/>
                <w:szCs w:val="4"/>
                <w:color w:val="auto"/>
              </w:rPr>
            </w:pPr>
          </w:p>
        </w:tc>
        <w:tc>
          <w:tcPr>
            <w:tcW w:w="18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300" w:type="dxa"/>
            <w:vAlign w:val="bottom"/>
            <w:tcBorders>
              <w:bottom w:val="single" w:sz="8" w:color="51555C"/>
            </w:tcBorders>
          </w:tcPr>
          <w:p>
            <w:pPr>
              <w:spacing w:after="0"/>
              <w:rPr>
                <w:sz w:val="4"/>
                <w:szCs w:val="4"/>
                <w:color w:val="auto"/>
              </w:rPr>
            </w:pPr>
          </w:p>
        </w:tc>
        <w:tc>
          <w:tcPr>
            <w:tcW w:w="820" w:type="dxa"/>
            <w:vAlign w:val="bottom"/>
            <w:tcBorders>
              <w:bottom w:val="single" w:sz="8" w:color="51555C"/>
            </w:tcBorders>
          </w:tcPr>
          <w:p>
            <w:pPr>
              <w:spacing w:after="0"/>
              <w:rPr>
                <w:sz w:val="4"/>
                <w:szCs w:val="4"/>
                <w:color w:val="auto"/>
              </w:rPr>
            </w:pPr>
          </w:p>
        </w:tc>
        <w:tc>
          <w:tcPr>
            <w:tcW w:w="180" w:type="dxa"/>
            <w:vAlign w:val="bottom"/>
            <w:tcBorders>
              <w:bottom w:val="single" w:sz="8" w:color="51555C"/>
            </w:tcBorders>
          </w:tcPr>
          <w:p>
            <w:pPr>
              <w:spacing w:after="0"/>
              <w:rPr>
                <w:sz w:val="4"/>
                <w:szCs w:val="4"/>
                <w:color w:val="auto"/>
              </w:rPr>
            </w:pPr>
          </w:p>
        </w:tc>
        <w:tc>
          <w:tcPr>
            <w:tcW w:w="9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30"/>
        </w:trPr>
        <w:tc>
          <w:tcPr>
            <w:tcW w:w="660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b w:val="1"/>
                <w:bCs w:val="1"/>
                <w:color w:val="51555C"/>
              </w:rPr>
              <w:t>Foreign currency translaton adjustment:</w:t>
            </w:r>
          </w:p>
        </w:tc>
        <w:tc>
          <w:tcPr>
            <w:tcW w:w="300" w:type="dxa"/>
            <w:vAlign w:val="bottom"/>
            <w:tcBorders>
              <w:bottom w:val="single" w:sz="8" w:color="EBFBFF"/>
            </w:tcBorders>
            <w:shd w:val="clear" w:color="auto" w:fill="EBFBFF"/>
          </w:tcPr>
          <w:p>
            <w:pPr>
              <w:spacing w:after="0"/>
              <w:rPr>
                <w:sz w:val="20"/>
                <w:szCs w:val="20"/>
                <w:color w:val="auto"/>
              </w:rPr>
            </w:pPr>
          </w:p>
        </w:tc>
        <w:tc>
          <w:tcPr>
            <w:tcW w:w="820" w:type="dxa"/>
            <w:vAlign w:val="bottom"/>
            <w:tcBorders>
              <w:bottom w:val="single" w:sz="8" w:color="EBFBFF"/>
            </w:tcBorders>
            <w:shd w:val="clear" w:color="auto" w:fill="EBFBFF"/>
          </w:tcPr>
          <w:p>
            <w:pPr>
              <w:spacing w:after="0"/>
              <w:rPr>
                <w:sz w:val="20"/>
                <w:szCs w:val="20"/>
                <w:color w:val="auto"/>
              </w:rPr>
            </w:pPr>
          </w:p>
        </w:tc>
        <w:tc>
          <w:tcPr>
            <w:tcW w:w="180" w:type="dxa"/>
            <w:vAlign w:val="bottom"/>
            <w:tcBorders>
              <w:bottom w:val="single" w:sz="8" w:color="EBFBFF"/>
            </w:tcBorders>
            <w:shd w:val="clear" w:color="auto" w:fill="EBFBFF"/>
          </w:tcPr>
          <w:p>
            <w:pPr>
              <w:spacing w:after="0"/>
              <w:rPr>
                <w:sz w:val="20"/>
                <w:szCs w:val="20"/>
                <w:color w:val="auto"/>
              </w:rPr>
            </w:pPr>
          </w:p>
        </w:tc>
        <w:tc>
          <w:tcPr>
            <w:tcW w:w="980" w:type="dxa"/>
            <w:vAlign w:val="bottom"/>
            <w:tcBorders>
              <w:bottom w:val="single" w:sz="8" w:color="EBFBFF"/>
              <w:right w:val="single" w:sz="8" w:color="EBFBFF"/>
            </w:tcBorders>
            <w:shd w:val="clear" w:color="auto" w:fill="EBFBFF"/>
          </w:tcPr>
          <w:p>
            <w:pPr>
              <w:spacing w:after="0"/>
              <w:rPr>
                <w:sz w:val="20"/>
                <w:szCs w:val="20"/>
                <w:color w:val="auto"/>
              </w:rPr>
            </w:pPr>
          </w:p>
        </w:tc>
        <w:tc>
          <w:tcPr>
            <w:tcW w:w="100" w:type="dxa"/>
            <w:vAlign w:val="bottom"/>
            <w:tcBorders>
              <w:bottom w:val="single" w:sz="8" w:color="EBFBFF"/>
            </w:tcBorders>
            <w:shd w:val="clear" w:color="auto" w:fill="EBFBFF"/>
          </w:tcPr>
          <w:p>
            <w:pPr>
              <w:spacing w:after="0"/>
              <w:rPr>
                <w:sz w:val="20"/>
                <w:szCs w:val="20"/>
                <w:color w:val="auto"/>
              </w:rPr>
            </w:pPr>
          </w:p>
        </w:tc>
        <w:tc>
          <w:tcPr>
            <w:tcW w:w="300" w:type="dxa"/>
            <w:vAlign w:val="bottom"/>
            <w:tcBorders>
              <w:bottom w:val="single" w:sz="8" w:color="EBFBFF"/>
            </w:tcBorders>
            <w:shd w:val="clear" w:color="auto" w:fill="EBFBFF"/>
          </w:tcPr>
          <w:p>
            <w:pPr>
              <w:spacing w:after="0"/>
              <w:rPr>
                <w:sz w:val="20"/>
                <w:szCs w:val="20"/>
                <w:color w:val="auto"/>
              </w:rPr>
            </w:pPr>
          </w:p>
        </w:tc>
        <w:tc>
          <w:tcPr>
            <w:tcW w:w="820" w:type="dxa"/>
            <w:vAlign w:val="bottom"/>
            <w:tcBorders>
              <w:bottom w:val="single" w:sz="8" w:color="EBFBFF"/>
            </w:tcBorders>
            <w:shd w:val="clear" w:color="auto" w:fill="EBFBFF"/>
          </w:tcPr>
          <w:p>
            <w:pPr>
              <w:spacing w:after="0"/>
              <w:rPr>
                <w:sz w:val="20"/>
                <w:szCs w:val="20"/>
                <w:color w:val="auto"/>
              </w:rPr>
            </w:pPr>
          </w:p>
        </w:tc>
        <w:tc>
          <w:tcPr>
            <w:tcW w:w="180" w:type="dxa"/>
            <w:vAlign w:val="bottom"/>
            <w:tcBorders>
              <w:bottom w:val="single" w:sz="8" w:color="EBFBFF"/>
            </w:tcBorders>
            <w:shd w:val="clear" w:color="auto" w:fill="EBFBFF"/>
          </w:tcPr>
          <w:p>
            <w:pPr>
              <w:spacing w:after="0"/>
              <w:rPr>
                <w:sz w:val="20"/>
                <w:szCs w:val="20"/>
                <w:color w:val="auto"/>
              </w:rPr>
            </w:pPr>
          </w:p>
        </w:tc>
        <w:tc>
          <w:tcPr>
            <w:tcW w:w="960" w:type="dxa"/>
            <w:vAlign w:val="bottom"/>
            <w:tcBorders>
              <w:bottom w:val="single" w:sz="8" w:color="EBFBFF"/>
            </w:tcBorders>
            <w:shd w:val="clear" w:color="auto" w:fill="EBFBFF"/>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6600" w:type="dxa"/>
            <w:vAlign w:val="bottom"/>
          </w:tcPr>
          <w:p>
            <w:pPr>
              <w:ind w:left="240"/>
              <w:spacing w:after="0"/>
              <w:rPr>
                <w:sz w:val="20"/>
                <w:szCs w:val="20"/>
                <w:color w:val="auto"/>
              </w:rPr>
            </w:pPr>
            <w:r>
              <w:rPr>
                <w:rFonts w:ascii="Calibri" w:cs="Calibri" w:eastAsia="Calibri" w:hAnsi="Calibri"/>
                <w:sz w:val="18"/>
                <w:szCs w:val="18"/>
                <w:color w:val="51555C"/>
              </w:rPr>
              <w:t>Accumulated other comprehensive loss balance, beginning of period</w:t>
            </w:r>
          </w:p>
        </w:tc>
        <w:tc>
          <w:tcPr>
            <w:tcW w:w="300" w:type="dxa"/>
            <w:vAlign w:val="bottom"/>
          </w:tcPr>
          <w:p>
            <w:pPr>
              <w:jc w:val="right"/>
              <w:ind w:right="110"/>
              <w:spacing w:after="0"/>
              <w:rPr>
                <w:sz w:val="20"/>
                <w:szCs w:val="20"/>
                <w:color w:val="auto"/>
              </w:rPr>
            </w:pPr>
            <w:r>
              <w:rPr>
                <w:rFonts w:ascii="Calibri" w:cs="Calibri" w:eastAsia="Calibri" w:hAnsi="Calibri"/>
                <w:sz w:val="18"/>
                <w:szCs w:val="18"/>
                <w:color w:val="51555C"/>
                <w:w w:val="87"/>
              </w:rPr>
              <w:t>$</w:t>
            </w:r>
          </w:p>
        </w:tc>
        <w:tc>
          <w:tcPr>
            <w:tcW w:w="820" w:type="dxa"/>
            <w:vAlign w:val="bottom"/>
          </w:tcPr>
          <w:p>
            <w:pPr>
              <w:jc w:val="right"/>
              <w:spacing w:after="0"/>
              <w:rPr>
                <w:sz w:val="20"/>
                <w:szCs w:val="20"/>
                <w:color w:val="auto"/>
              </w:rPr>
            </w:pPr>
            <w:r>
              <w:rPr>
                <w:rFonts w:ascii="Calibri" w:cs="Calibri" w:eastAsia="Calibri" w:hAnsi="Calibri"/>
                <w:sz w:val="18"/>
                <w:szCs w:val="18"/>
                <w:color w:val="51555C"/>
              </w:rPr>
              <w:t>(10,692)</w:t>
            </w:r>
          </w:p>
        </w:tc>
        <w:tc>
          <w:tcPr>
            <w:tcW w:w="18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(9,682)</w:t>
            </w:r>
          </w:p>
        </w:tc>
        <w:tc>
          <w:tcPr>
            <w:tcW w:w="400" w:type="dxa"/>
            <w:vAlign w:val="bottom"/>
            <w:gridSpan w:val="2"/>
          </w:tcPr>
          <w:p>
            <w:pPr>
              <w:jc w:val="right"/>
              <w:ind w:right="110"/>
              <w:spacing w:after="0"/>
              <w:rPr>
                <w:sz w:val="20"/>
                <w:szCs w:val="20"/>
                <w:color w:val="auto"/>
              </w:rPr>
            </w:pPr>
            <w:r>
              <w:rPr>
                <w:rFonts w:ascii="Calibri" w:cs="Calibri" w:eastAsia="Calibri" w:hAnsi="Calibri"/>
                <w:sz w:val="18"/>
                <w:szCs w:val="18"/>
                <w:color w:val="51555C"/>
              </w:rPr>
              <w:t>$</w:t>
            </w:r>
          </w:p>
        </w:tc>
        <w:tc>
          <w:tcPr>
            <w:tcW w:w="820" w:type="dxa"/>
            <w:vAlign w:val="bottom"/>
          </w:tcPr>
          <w:p>
            <w:pPr>
              <w:jc w:val="right"/>
              <w:spacing w:after="0"/>
              <w:rPr>
                <w:sz w:val="20"/>
                <w:szCs w:val="20"/>
                <w:color w:val="auto"/>
              </w:rPr>
            </w:pPr>
            <w:r>
              <w:rPr>
                <w:rFonts w:ascii="Calibri" w:cs="Calibri" w:eastAsia="Calibri" w:hAnsi="Calibri"/>
                <w:sz w:val="18"/>
                <w:szCs w:val="18"/>
                <w:color w:val="51555C"/>
              </w:rPr>
              <w:t>(9,846)</w:t>
            </w:r>
          </w:p>
        </w:tc>
        <w:tc>
          <w:tcPr>
            <w:tcW w:w="18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960" w:type="dxa"/>
            <w:vAlign w:val="bottom"/>
          </w:tcPr>
          <w:p>
            <w:pPr>
              <w:jc w:val="right"/>
              <w:spacing w:after="0"/>
              <w:rPr>
                <w:sz w:val="20"/>
                <w:szCs w:val="20"/>
                <w:color w:val="auto"/>
              </w:rPr>
            </w:pPr>
            <w:r>
              <w:rPr>
                <w:rFonts w:ascii="Calibri" w:cs="Calibri" w:eastAsia="Calibri" w:hAnsi="Calibri"/>
                <w:sz w:val="18"/>
                <w:szCs w:val="18"/>
                <w:color w:val="51555C"/>
              </w:rPr>
              <w:t>(14,895)</w:t>
            </w:r>
          </w:p>
        </w:tc>
        <w:tc>
          <w:tcPr>
            <w:tcW w:w="20" w:type="dxa"/>
            <w:vAlign w:val="bottom"/>
          </w:tcPr>
          <w:p>
            <w:pPr>
              <w:spacing w:after="0"/>
              <w:rPr>
                <w:sz w:val="19"/>
                <w:szCs w:val="19"/>
                <w:color w:val="auto"/>
              </w:rPr>
            </w:pPr>
          </w:p>
        </w:tc>
      </w:tr>
      <w:tr>
        <w:trPr>
          <w:trHeight w:val="50"/>
        </w:trPr>
        <w:tc>
          <w:tcPr>
            <w:tcW w:w="6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600" w:type="dxa"/>
            <w:vAlign w:val="bottom"/>
            <w:tcBorders>
              <w:bottom w:val="single" w:sz="8" w:color="EBFBFF"/>
            </w:tcBorders>
            <w:shd w:val="clear" w:color="auto" w:fill="EBFBFF"/>
          </w:tcPr>
          <w:p>
            <w:pPr>
              <w:ind w:left="220"/>
              <w:spacing w:after="0"/>
              <w:rPr>
                <w:sz w:val="20"/>
                <w:szCs w:val="20"/>
                <w:color w:val="auto"/>
              </w:rPr>
            </w:pPr>
            <w:r>
              <w:rPr>
                <w:rFonts w:ascii="Calibri" w:cs="Calibri" w:eastAsia="Calibri" w:hAnsi="Calibri"/>
                <w:sz w:val="18"/>
                <w:szCs w:val="18"/>
                <w:color w:val="51555C"/>
              </w:rPr>
              <w:t>Translaton adjustment</w:t>
            </w:r>
          </w:p>
        </w:tc>
        <w:tc>
          <w:tcPr>
            <w:tcW w:w="300" w:type="dxa"/>
            <w:vAlign w:val="bottom"/>
            <w:tcBorders>
              <w:bottom w:val="single" w:sz="8" w:color="EBFBFF"/>
            </w:tcBorders>
            <w:shd w:val="clear" w:color="auto" w:fill="EBFBFF"/>
          </w:tcPr>
          <w:p>
            <w:pPr>
              <w:spacing w:after="0"/>
              <w:rPr>
                <w:sz w:val="23"/>
                <w:szCs w:val="2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6,463</w:t>
            </w:r>
          </w:p>
        </w:tc>
        <w:tc>
          <w:tcPr>
            <w:tcW w:w="18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(4,794)</w:t>
            </w:r>
          </w:p>
        </w:tc>
        <w:tc>
          <w:tcPr>
            <w:tcW w:w="100" w:type="dxa"/>
            <w:vAlign w:val="bottom"/>
            <w:tcBorders>
              <w:bottom w:val="single" w:sz="8" w:color="EBFBFF"/>
            </w:tcBorders>
            <w:shd w:val="clear" w:color="auto" w:fill="EBFBFF"/>
          </w:tcPr>
          <w:p>
            <w:pPr>
              <w:spacing w:after="0"/>
              <w:rPr>
                <w:sz w:val="23"/>
                <w:szCs w:val="23"/>
                <w:color w:val="auto"/>
              </w:rPr>
            </w:pPr>
          </w:p>
        </w:tc>
        <w:tc>
          <w:tcPr>
            <w:tcW w:w="300" w:type="dxa"/>
            <w:vAlign w:val="bottom"/>
            <w:tcBorders>
              <w:bottom w:val="single" w:sz="8" w:color="EBFBFF"/>
            </w:tcBorders>
            <w:shd w:val="clear" w:color="auto" w:fill="EBFBFF"/>
          </w:tcPr>
          <w:p>
            <w:pPr>
              <w:spacing w:after="0"/>
              <w:rPr>
                <w:sz w:val="23"/>
                <w:szCs w:val="2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5,617</w:t>
            </w:r>
          </w:p>
        </w:tc>
        <w:tc>
          <w:tcPr>
            <w:tcW w:w="180" w:type="dxa"/>
            <w:vAlign w:val="bottom"/>
            <w:tcBorders>
              <w:bottom w:val="single" w:sz="8" w:color="EBFBFF"/>
            </w:tcBorders>
            <w:shd w:val="clear" w:color="auto" w:fill="EBFBFF"/>
          </w:tcPr>
          <w:p>
            <w:pPr>
              <w:spacing w:after="0"/>
              <w:rPr>
                <w:sz w:val="23"/>
                <w:szCs w:val="23"/>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419</w:t>
            </w:r>
          </w:p>
        </w:tc>
        <w:tc>
          <w:tcPr>
            <w:tcW w:w="20" w:type="dxa"/>
            <w:vAlign w:val="bottom"/>
          </w:tcPr>
          <w:p>
            <w:pPr>
              <w:spacing w:after="0"/>
              <w:rPr>
                <w:sz w:val="23"/>
                <w:szCs w:val="23"/>
                <w:color w:val="auto"/>
              </w:rPr>
            </w:pPr>
          </w:p>
        </w:tc>
      </w:tr>
      <w:tr>
        <w:trPr>
          <w:trHeight w:val="213"/>
        </w:trPr>
        <w:tc>
          <w:tcPr>
            <w:tcW w:w="6600" w:type="dxa"/>
            <w:vAlign w:val="bottom"/>
          </w:tcPr>
          <w:p>
            <w:pPr>
              <w:ind w:left="240"/>
              <w:spacing w:after="0" w:line="213" w:lineRule="exact"/>
              <w:rPr>
                <w:sz w:val="20"/>
                <w:szCs w:val="20"/>
                <w:color w:val="auto"/>
              </w:rPr>
            </w:pPr>
            <w:r>
              <w:rPr>
                <w:rFonts w:ascii="Calibri" w:cs="Calibri" w:eastAsia="Calibri" w:hAnsi="Calibri"/>
                <w:sz w:val="18"/>
                <w:szCs w:val="18"/>
                <w:color w:val="51555C"/>
              </w:rPr>
              <w:t>Accumulated other comprehensive loss balance, end of period</w:t>
            </w:r>
          </w:p>
        </w:tc>
        <w:tc>
          <w:tcPr>
            <w:tcW w:w="300" w:type="dxa"/>
            <w:vAlign w:val="bottom"/>
            <w:tcBorders>
              <w:top w:val="single" w:sz="8" w:color="51555C"/>
            </w:tcBorders>
          </w:tcPr>
          <w:p>
            <w:pPr>
              <w:spacing w:after="0"/>
              <w:rPr>
                <w:sz w:val="18"/>
                <w:szCs w:val="18"/>
                <w:color w:val="auto"/>
              </w:rPr>
            </w:pPr>
          </w:p>
        </w:tc>
        <w:tc>
          <w:tcPr>
            <w:tcW w:w="8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(4,229)</w:t>
            </w:r>
          </w:p>
        </w:tc>
        <w:tc>
          <w:tcPr>
            <w:tcW w:w="180" w:type="dxa"/>
            <w:vAlign w:val="bottom"/>
            <w:tcBorders>
              <w:top w:val="single" w:sz="8" w:color="51555C"/>
            </w:tcBorders>
          </w:tcPr>
          <w:p>
            <w:pPr>
              <w:spacing w:after="0"/>
              <w:rPr>
                <w:sz w:val="18"/>
                <w:szCs w:val="18"/>
                <w:color w:val="auto"/>
              </w:rPr>
            </w:pPr>
          </w:p>
        </w:tc>
        <w:tc>
          <w:tcPr>
            <w:tcW w:w="9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(14,476)</w:t>
            </w:r>
          </w:p>
        </w:tc>
        <w:tc>
          <w:tcPr>
            <w:tcW w:w="100" w:type="dxa"/>
            <w:vAlign w:val="bottom"/>
          </w:tcPr>
          <w:p>
            <w:pPr>
              <w:spacing w:after="0"/>
              <w:rPr>
                <w:sz w:val="18"/>
                <w:szCs w:val="18"/>
                <w:color w:val="auto"/>
              </w:rPr>
            </w:pPr>
          </w:p>
        </w:tc>
        <w:tc>
          <w:tcPr>
            <w:tcW w:w="300" w:type="dxa"/>
            <w:vAlign w:val="bottom"/>
            <w:tcBorders>
              <w:top w:val="single" w:sz="8" w:color="51555C"/>
            </w:tcBorders>
          </w:tcPr>
          <w:p>
            <w:pPr>
              <w:spacing w:after="0"/>
              <w:rPr>
                <w:sz w:val="18"/>
                <w:szCs w:val="18"/>
                <w:color w:val="auto"/>
              </w:rPr>
            </w:pPr>
          </w:p>
        </w:tc>
        <w:tc>
          <w:tcPr>
            <w:tcW w:w="8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(4,229)</w:t>
            </w:r>
          </w:p>
        </w:tc>
        <w:tc>
          <w:tcPr>
            <w:tcW w:w="180" w:type="dxa"/>
            <w:vAlign w:val="bottom"/>
            <w:tcBorders>
              <w:top w:val="single" w:sz="8" w:color="51555C"/>
            </w:tcBorders>
          </w:tcPr>
          <w:p>
            <w:pPr>
              <w:spacing w:after="0"/>
              <w:rPr>
                <w:sz w:val="18"/>
                <w:szCs w:val="18"/>
                <w:color w:val="auto"/>
              </w:rPr>
            </w:pPr>
          </w:p>
        </w:tc>
        <w:tc>
          <w:tcPr>
            <w:tcW w:w="9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(14,476)</w:t>
            </w:r>
          </w:p>
        </w:tc>
        <w:tc>
          <w:tcPr>
            <w:tcW w:w="20" w:type="dxa"/>
            <w:vAlign w:val="bottom"/>
          </w:tcPr>
          <w:p>
            <w:pPr>
              <w:spacing w:after="0"/>
              <w:rPr>
                <w:sz w:val="18"/>
                <w:szCs w:val="18"/>
                <w:color w:val="auto"/>
              </w:rPr>
            </w:pPr>
          </w:p>
        </w:tc>
      </w:tr>
      <w:tr>
        <w:trPr>
          <w:trHeight w:val="50"/>
        </w:trPr>
        <w:tc>
          <w:tcPr>
            <w:tcW w:w="6600" w:type="dxa"/>
            <w:vAlign w:val="bottom"/>
            <w:tcBorders>
              <w:bottom w:val="single" w:sz="8" w:color="EBFBFF"/>
            </w:tcBorders>
          </w:tcPr>
          <w:p>
            <w:pPr>
              <w:spacing w:after="0"/>
              <w:rPr>
                <w:sz w:val="4"/>
                <w:szCs w:val="4"/>
                <w:color w:val="auto"/>
              </w:rPr>
            </w:pPr>
          </w:p>
        </w:tc>
        <w:tc>
          <w:tcPr>
            <w:tcW w:w="300" w:type="dxa"/>
            <w:vAlign w:val="bottom"/>
            <w:tcBorders>
              <w:bottom w:val="single" w:sz="8" w:color="51555C"/>
            </w:tcBorders>
          </w:tcPr>
          <w:p>
            <w:pPr>
              <w:spacing w:after="0"/>
              <w:rPr>
                <w:sz w:val="4"/>
                <w:szCs w:val="4"/>
                <w:color w:val="auto"/>
              </w:rPr>
            </w:pPr>
          </w:p>
        </w:tc>
        <w:tc>
          <w:tcPr>
            <w:tcW w:w="820" w:type="dxa"/>
            <w:vAlign w:val="bottom"/>
            <w:tcBorders>
              <w:bottom w:val="single" w:sz="8" w:color="51555C"/>
            </w:tcBorders>
          </w:tcPr>
          <w:p>
            <w:pPr>
              <w:spacing w:after="0"/>
              <w:rPr>
                <w:sz w:val="4"/>
                <w:szCs w:val="4"/>
                <w:color w:val="auto"/>
              </w:rPr>
            </w:pPr>
          </w:p>
        </w:tc>
        <w:tc>
          <w:tcPr>
            <w:tcW w:w="18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300" w:type="dxa"/>
            <w:vAlign w:val="bottom"/>
            <w:tcBorders>
              <w:bottom w:val="single" w:sz="8" w:color="51555C"/>
            </w:tcBorders>
          </w:tcPr>
          <w:p>
            <w:pPr>
              <w:spacing w:after="0"/>
              <w:rPr>
                <w:sz w:val="4"/>
                <w:szCs w:val="4"/>
                <w:color w:val="auto"/>
              </w:rPr>
            </w:pPr>
          </w:p>
        </w:tc>
        <w:tc>
          <w:tcPr>
            <w:tcW w:w="820" w:type="dxa"/>
            <w:vAlign w:val="bottom"/>
            <w:tcBorders>
              <w:bottom w:val="single" w:sz="8" w:color="51555C"/>
            </w:tcBorders>
          </w:tcPr>
          <w:p>
            <w:pPr>
              <w:spacing w:after="0"/>
              <w:rPr>
                <w:sz w:val="4"/>
                <w:szCs w:val="4"/>
                <w:color w:val="auto"/>
              </w:rPr>
            </w:pPr>
          </w:p>
        </w:tc>
        <w:tc>
          <w:tcPr>
            <w:tcW w:w="180" w:type="dxa"/>
            <w:vAlign w:val="bottom"/>
            <w:tcBorders>
              <w:bottom w:val="single" w:sz="8" w:color="51555C"/>
            </w:tcBorders>
          </w:tcPr>
          <w:p>
            <w:pPr>
              <w:spacing w:after="0"/>
              <w:rPr>
                <w:sz w:val="4"/>
                <w:szCs w:val="4"/>
                <w:color w:val="auto"/>
              </w:rPr>
            </w:pPr>
          </w:p>
        </w:tc>
        <w:tc>
          <w:tcPr>
            <w:tcW w:w="9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660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b w:val="1"/>
                <w:bCs w:val="1"/>
                <w:color w:val="51555C"/>
              </w:rPr>
              <w:t>Accumulated other comprehensive (loss) income, end of period</w:t>
            </w:r>
          </w:p>
        </w:tc>
        <w:tc>
          <w:tcPr>
            <w:tcW w:w="300" w:type="dxa"/>
            <w:vAlign w:val="bottom"/>
            <w:tcBorders>
              <w:bottom w:val="single" w:sz="8" w:color="EBFBFF"/>
            </w:tcBorders>
            <w:shd w:val="clear" w:color="auto" w:fill="EBFBFF"/>
          </w:tcPr>
          <w:p>
            <w:pPr>
              <w:jc w:val="right"/>
              <w:ind w:right="110"/>
              <w:spacing w:after="0" w:line="213" w:lineRule="exact"/>
              <w:rPr>
                <w:sz w:val="20"/>
                <w:szCs w:val="20"/>
                <w:color w:val="auto"/>
              </w:rPr>
            </w:pPr>
            <w:r>
              <w:rPr>
                <w:rFonts w:ascii="Calibri" w:cs="Calibri" w:eastAsia="Calibri" w:hAnsi="Calibri"/>
                <w:sz w:val="18"/>
                <w:szCs w:val="18"/>
                <w:color w:val="51555C"/>
                <w:w w:val="87"/>
              </w:rPr>
              <w:t>$</w:t>
            </w:r>
          </w:p>
        </w:tc>
        <w:tc>
          <w:tcPr>
            <w:tcW w:w="8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(6,887)</w:t>
            </w:r>
          </w:p>
        </w:tc>
        <w:tc>
          <w:tcPr>
            <w:tcW w:w="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right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8,141</w:t>
            </w:r>
          </w:p>
        </w:tc>
        <w:tc>
          <w:tcPr>
            <w:tcW w:w="400" w:type="dxa"/>
            <w:vAlign w:val="bottom"/>
            <w:tcBorders>
              <w:bottom w:val="single" w:sz="8" w:color="EBFBFF"/>
            </w:tcBorders>
            <w:gridSpan w:val="2"/>
            <w:shd w:val="clear" w:color="auto" w:fill="EBFBFF"/>
          </w:tcPr>
          <w:p>
            <w:pPr>
              <w:jc w:val="right"/>
              <w:ind w:right="110"/>
              <w:spacing w:after="0" w:line="213" w:lineRule="exact"/>
              <w:rPr>
                <w:sz w:val="20"/>
                <w:szCs w:val="20"/>
                <w:color w:val="auto"/>
              </w:rPr>
            </w:pPr>
            <w:r>
              <w:rPr>
                <w:rFonts w:ascii="Calibri" w:cs="Calibri" w:eastAsia="Calibri" w:hAnsi="Calibri"/>
                <w:sz w:val="18"/>
                <w:szCs w:val="18"/>
                <w:color w:val="51555C"/>
              </w:rPr>
              <w:t>$</w:t>
            </w:r>
          </w:p>
        </w:tc>
        <w:tc>
          <w:tcPr>
            <w:tcW w:w="8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(6,887)</w:t>
            </w:r>
          </w:p>
        </w:tc>
        <w:tc>
          <w:tcPr>
            <w:tcW w:w="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w:t>
            </w:r>
          </w:p>
        </w:tc>
        <w:tc>
          <w:tcPr>
            <w:tcW w:w="9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8,141</w:t>
            </w:r>
          </w:p>
        </w:tc>
        <w:tc>
          <w:tcPr>
            <w:tcW w:w="20" w:type="dxa"/>
            <w:vAlign w:val="bottom"/>
          </w:tcPr>
          <w:p>
            <w:pPr>
              <w:spacing w:after="0"/>
              <w:rPr>
                <w:sz w:val="21"/>
                <w:szCs w:val="21"/>
                <w:color w:val="auto"/>
              </w:rPr>
            </w:pPr>
          </w:p>
        </w:tc>
      </w:tr>
      <w:tr>
        <w:trPr>
          <w:trHeight w:val="20"/>
        </w:trPr>
        <w:tc>
          <w:tcPr>
            <w:tcW w:w="660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820" w:type="dxa"/>
            <w:vAlign w:val="bottom"/>
            <w:shd w:val="clear" w:color="auto" w:fill="0CD973"/>
          </w:tcPr>
          <w:p>
            <w:pPr>
              <w:spacing w:after="0" w:line="20" w:lineRule="exact"/>
              <w:rPr>
                <w:sz w:val="1"/>
                <w:szCs w:val="1"/>
                <w:color w:val="auto"/>
              </w:rPr>
            </w:pPr>
          </w:p>
        </w:tc>
        <w:tc>
          <w:tcPr>
            <w:tcW w:w="180" w:type="dxa"/>
            <w:vAlign w:val="bottom"/>
            <w:shd w:val="clear" w:color="auto" w:fill="0CD973"/>
          </w:tcPr>
          <w:p>
            <w:pPr>
              <w:spacing w:after="0" w:line="20" w:lineRule="exact"/>
              <w:rPr>
                <w:sz w:val="1"/>
                <w:szCs w:val="1"/>
                <w:color w:val="auto"/>
              </w:rPr>
            </w:pPr>
          </w:p>
        </w:tc>
        <w:tc>
          <w:tcPr>
            <w:tcW w:w="980" w:type="dxa"/>
            <w:vAlign w:val="bottom"/>
            <w:tcBorders>
              <w:right w:val="single" w:sz="8" w:color="0CD973"/>
            </w:tcBorders>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820" w:type="dxa"/>
            <w:vAlign w:val="bottom"/>
            <w:shd w:val="clear" w:color="auto" w:fill="0CD973"/>
          </w:tcPr>
          <w:p>
            <w:pPr>
              <w:spacing w:after="0" w:line="20" w:lineRule="exact"/>
              <w:rPr>
                <w:sz w:val="1"/>
                <w:szCs w:val="1"/>
                <w:color w:val="auto"/>
              </w:rPr>
            </w:pPr>
          </w:p>
        </w:tc>
        <w:tc>
          <w:tcPr>
            <w:tcW w:w="18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-2956560</wp:posOffset>
            </wp:positionV>
            <wp:extent cx="29571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29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12. Revenue Recogniton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Transacton price allocated to the remaining performance obligatons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of September 30, 2024, approximately $1.2 billion of revenue under contract is expected to be recognized from remaining performance obligatons. We expect to recognize revenue on approximately 55% of these remaining performance obligatons over the next 12 months, with the remainder recognized thereafer.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238760</wp:posOffset>
            </wp:positionV>
            <wp:extent cx="65976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23</w:t>
            </w:r>
          </w:p>
        </w:tc>
      </w:tr>
      <w:tr>
        <w:trPr>
          <w:trHeight w:val="364"/>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applied the practcal expedient in ASC 606-10-50-14 and have excluded the value of unsatsfed performance obligatons for contracts for which we recognize revenue at the amount to which we have the right to invoice for services performed (transactonal revenue).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Contract balances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Our contract assets as of September 30, 2024 and December 31, 2023 were insignifcant. Our closing balances of deferred revenue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4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1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44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170"/>
        </w:trPr>
        <w:tc>
          <w:tcPr>
            <w:tcW w:w="79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(in thousands)</w:t>
            </w:r>
          </w:p>
        </w:tc>
        <w:tc>
          <w:tcPr>
            <w:tcW w:w="440" w:type="dxa"/>
            <w:vAlign w:val="bottom"/>
            <w:shd w:val="clear" w:color="auto" w:fill="004054"/>
          </w:tcPr>
          <w:p>
            <w:pPr>
              <w:spacing w:after="0"/>
              <w:rPr>
                <w:sz w:val="14"/>
                <w:szCs w:val="14"/>
                <w:color w:val="auto"/>
              </w:rPr>
            </w:pPr>
          </w:p>
        </w:tc>
        <w:tc>
          <w:tcPr>
            <w:tcW w:w="1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440" w:type="dxa"/>
            <w:vAlign w:val="bottom"/>
            <w:shd w:val="clear" w:color="auto" w:fill="004054"/>
          </w:tcPr>
          <w:p>
            <w:pPr>
              <w:spacing w:after="0"/>
              <w:rPr>
                <w:sz w:val="14"/>
                <w:szCs w:val="14"/>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4"/>
                <w:szCs w:val="14"/>
                <w:color w:val="auto"/>
              </w:rPr>
            </w:pPr>
          </w:p>
        </w:tc>
      </w:tr>
      <w:tr>
        <w:trPr>
          <w:trHeight w:val="74"/>
        </w:trPr>
        <w:tc>
          <w:tcPr>
            <w:tcW w:w="794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122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Total deferred revenue</w:t>
            </w:r>
          </w:p>
        </w:tc>
        <w:tc>
          <w:tcPr>
            <w:tcW w:w="440" w:type="dxa"/>
            <w:vAlign w:val="bottom"/>
            <w:tcBorders>
              <w:bottom w:val="single" w:sz="8" w:color="EBFBFF"/>
            </w:tcBorders>
            <w:shd w:val="clear" w:color="auto" w:fill="EBFBFF"/>
          </w:tcPr>
          <w:p>
            <w:pPr>
              <w:jc w:val="right"/>
              <w:ind w:right="230"/>
              <w:spacing w:after="0"/>
              <w:rPr>
                <w:sz w:val="20"/>
                <w:szCs w:val="20"/>
                <w:color w:val="auto"/>
              </w:rPr>
            </w:pPr>
            <w:r>
              <w:rPr>
                <w:rFonts w:ascii="Calibri" w:cs="Calibri" w:eastAsia="Calibri" w:hAnsi="Calibri"/>
                <w:sz w:val="18"/>
                <w:szCs w:val="18"/>
                <w:color w:val="51555C"/>
              </w:rPr>
              <w:t>$</w:t>
            </w:r>
          </w:p>
        </w:tc>
        <w:tc>
          <w:tcPr>
            <w:tcW w:w="1220" w:type="dxa"/>
            <w:vAlign w:val="bottom"/>
            <w:tcBorders>
              <w:bottom w:val="single" w:sz="8" w:color="EBFBFF"/>
            </w:tcBorders>
            <w:shd w:val="clear" w:color="auto" w:fill="EBFBFF"/>
          </w:tcPr>
          <w:p>
            <w:pPr>
              <w:jc w:val="right"/>
              <w:ind w:right="2"/>
              <w:spacing w:after="0"/>
              <w:rPr>
                <w:sz w:val="20"/>
                <w:szCs w:val="20"/>
                <w:color w:val="auto"/>
              </w:rPr>
            </w:pPr>
            <w:r>
              <w:rPr>
                <w:rFonts w:ascii="Calibri" w:cs="Calibri" w:eastAsia="Calibri" w:hAnsi="Calibri"/>
                <w:sz w:val="18"/>
                <w:szCs w:val="18"/>
                <w:color w:val="51555C"/>
              </w:rPr>
              <w:t>413,259</w:t>
            </w:r>
          </w:p>
        </w:tc>
        <w:tc>
          <w:tcPr>
            <w:tcW w:w="440" w:type="dxa"/>
            <w:vAlign w:val="bottom"/>
            <w:tcBorders>
              <w:bottom w:val="single" w:sz="8" w:color="EBFBFF"/>
            </w:tcBorders>
            <w:shd w:val="clear" w:color="auto" w:fill="EBFBFF"/>
          </w:tcPr>
          <w:p>
            <w:pPr>
              <w:jc w:val="right"/>
              <w:ind w:right="250"/>
              <w:spacing w:after="0"/>
              <w:rPr>
                <w:sz w:val="20"/>
                <w:szCs w:val="20"/>
                <w:color w:val="auto"/>
              </w:rPr>
            </w:pPr>
            <w:r>
              <w:rPr>
                <w:rFonts w:ascii="Calibri" w:cs="Calibri" w:eastAsia="Calibri" w:hAnsi="Calibri"/>
                <w:sz w:val="18"/>
                <w:szCs w:val="18"/>
                <w:color w:val="51555C"/>
                <w:w w:val="87"/>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394,927</w:t>
            </w:r>
          </w:p>
        </w:tc>
        <w:tc>
          <w:tcPr>
            <w:tcW w:w="20" w:type="dxa"/>
            <w:vAlign w:val="bottom"/>
          </w:tcPr>
          <w:p>
            <w:pPr>
              <w:spacing w:after="0"/>
              <w:rPr>
                <w:sz w:val="21"/>
                <w:szCs w:val="21"/>
                <w:color w:val="auto"/>
              </w:rPr>
            </w:pPr>
          </w:p>
        </w:tc>
      </w:tr>
      <w:tr>
        <w:trPr>
          <w:trHeight w:val="20"/>
        </w:trPr>
        <w:tc>
          <w:tcPr>
            <w:tcW w:w="794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122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increase in deferred revenue during the nine months ended September 30, 2024 was primarily due to the impact of our contract pricing initatves within the Social Sector, as well as a seasonal increase in customer contract billings and renewals. Historically, due to the tming of customer budget cycles, we have an increase in customer contract renewals at or near the beginning of our third quarter. Generally, our lowest balance of deferred revenue during the year is at the end of our frst quarter. The amount of revenue recognized during the nine months ended September 30, 2024 that was included in the deferred revenue balance at the beginning of the period was approximately $321 million. The amount of revenue recognized during the nine months ended September 30, 2024 from performance obligatons satsfed in prior periods was insignifcant.</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Disaggregaton of revenue</w:t>
      </w:r>
    </w:p>
    <w:p>
      <w:pPr>
        <w:spacing w:after="0" w:line="163" w:lineRule="exact"/>
        <w:rPr>
          <w:sz w:val="20"/>
          <w:szCs w:val="20"/>
          <w:color w:val="auto"/>
        </w:rPr>
      </w:pPr>
    </w:p>
    <w:p>
      <w:pPr>
        <w:jc w:val="both"/>
        <w:ind w:right="20"/>
        <w:spacing w:after="0" w:line="258" w:lineRule="auto"/>
        <w:rPr>
          <w:sz w:val="20"/>
          <w:szCs w:val="20"/>
          <w:color w:val="auto"/>
        </w:rPr>
      </w:pPr>
      <w:r>
        <w:rPr>
          <w:rFonts w:ascii="Calibri" w:cs="Calibri" w:eastAsia="Calibri" w:hAnsi="Calibri"/>
          <w:sz w:val="17"/>
          <w:szCs w:val="17"/>
          <w:color w:val="51555C"/>
        </w:rPr>
        <w:t>We sell our cloud solutons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40" w:type="dxa"/>
            <w:vAlign w:val="bottom"/>
            <w:shd w:val="clear" w:color="auto" w:fill="004054"/>
          </w:tcPr>
          <w:p>
            <w:pPr>
              <w:spacing w:after="0"/>
              <w:rPr>
                <w:sz w:val="16"/>
                <w:szCs w:val="16"/>
                <w:color w:val="auto"/>
              </w:rPr>
            </w:pPr>
          </w:p>
        </w:tc>
        <w:tc>
          <w:tcPr>
            <w:tcW w:w="560" w:type="dxa"/>
            <w:vAlign w:val="bottom"/>
            <w:shd w:val="clear" w:color="auto" w:fill="004054"/>
          </w:tcPr>
          <w:p>
            <w:pPr>
              <w:spacing w:after="0"/>
              <w:rPr>
                <w:sz w:val="16"/>
                <w:szCs w:val="16"/>
                <w:color w:val="auto"/>
              </w:rPr>
            </w:pPr>
          </w:p>
        </w:tc>
        <w:tc>
          <w:tcPr>
            <w:tcW w:w="110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142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Three months ended</w:t>
            </w:r>
          </w:p>
        </w:tc>
        <w:tc>
          <w:tcPr>
            <w:tcW w:w="80" w:type="dxa"/>
            <w:vAlign w:val="bottom"/>
          </w:tcPr>
          <w:p>
            <w:pPr>
              <w:spacing w:after="0"/>
              <w:rPr>
                <w:sz w:val="16"/>
                <w:szCs w:val="16"/>
                <w:color w:val="auto"/>
              </w:rPr>
            </w:pPr>
          </w:p>
        </w:tc>
        <w:tc>
          <w:tcPr>
            <w:tcW w:w="560" w:type="dxa"/>
            <w:vAlign w:val="bottom"/>
            <w:shd w:val="clear" w:color="auto" w:fill="004054"/>
          </w:tcPr>
          <w:p>
            <w:pPr>
              <w:spacing w:after="0"/>
              <w:rPr>
                <w:sz w:val="16"/>
                <w:szCs w:val="16"/>
                <w:color w:val="auto"/>
              </w:rPr>
            </w:pPr>
          </w:p>
        </w:tc>
        <w:tc>
          <w:tcPr>
            <w:tcW w:w="110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c>
          <w:tcPr>
            <w:tcW w:w="20" w:type="dxa"/>
            <w:vAlign w:val="bottom"/>
            <w:shd w:val="clear" w:color="auto" w:fill="004054"/>
          </w:tcPr>
          <w:p>
            <w:pPr>
              <w:spacing w:after="0"/>
              <w:rPr>
                <w:sz w:val="16"/>
                <w:szCs w:val="16"/>
                <w:color w:val="auto"/>
              </w:rPr>
            </w:pPr>
          </w:p>
        </w:tc>
      </w:tr>
      <w:tr>
        <w:trPr>
          <w:trHeight w:val="170"/>
        </w:trPr>
        <w:tc>
          <w:tcPr>
            <w:tcW w:w="4540" w:type="dxa"/>
            <w:vAlign w:val="bottom"/>
            <w:shd w:val="clear" w:color="auto" w:fill="004054"/>
          </w:tcPr>
          <w:p>
            <w:pPr>
              <w:spacing w:after="0"/>
              <w:rPr>
                <w:sz w:val="14"/>
                <w:szCs w:val="14"/>
                <w:color w:val="auto"/>
              </w:rPr>
            </w:pPr>
          </w:p>
        </w:tc>
        <w:tc>
          <w:tcPr>
            <w:tcW w:w="560" w:type="dxa"/>
            <w:vAlign w:val="bottom"/>
            <w:shd w:val="clear" w:color="auto" w:fill="004054"/>
          </w:tcPr>
          <w:p>
            <w:pPr>
              <w:spacing w:after="0"/>
              <w:rPr>
                <w:sz w:val="14"/>
                <w:szCs w:val="14"/>
                <w:color w:val="auto"/>
              </w:rPr>
            </w:pPr>
          </w:p>
        </w:tc>
        <w:tc>
          <w:tcPr>
            <w:tcW w:w="110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42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80" w:type="dxa"/>
            <w:vAlign w:val="bottom"/>
          </w:tcPr>
          <w:p>
            <w:pPr>
              <w:spacing w:after="0"/>
              <w:rPr>
                <w:sz w:val="14"/>
                <w:szCs w:val="14"/>
                <w:color w:val="auto"/>
              </w:rPr>
            </w:pPr>
          </w:p>
        </w:tc>
        <w:tc>
          <w:tcPr>
            <w:tcW w:w="560" w:type="dxa"/>
            <w:vAlign w:val="bottom"/>
            <w:shd w:val="clear" w:color="auto" w:fill="004054"/>
          </w:tcPr>
          <w:p>
            <w:pPr>
              <w:spacing w:after="0"/>
              <w:rPr>
                <w:sz w:val="14"/>
                <w:szCs w:val="14"/>
                <w:color w:val="auto"/>
              </w:rPr>
            </w:pPr>
          </w:p>
        </w:tc>
        <w:tc>
          <w:tcPr>
            <w:tcW w:w="1100" w:type="dxa"/>
            <w:vAlign w:val="bottom"/>
            <w:shd w:val="clear" w:color="auto" w:fill="004054"/>
          </w:tcPr>
          <w:p>
            <w:pPr>
              <w:spacing w:after="0"/>
              <w:rPr>
                <w:sz w:val="14"/>
                <w:szCs w:val="14"/>
                <w:color w:val="auto"/>
              </w:rPr>
            </w:pPr>
          </w:p>
        </w:tc>
        <w:tc>
          <w:tcPr>
            <w:tcW w:w="28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20" w:type="dxa"/>
            <w:vAlign w:val="bottom"/>
            <w:shd w:val="clear" w:color="auto" w:fill="004054"/>
          </w:tcPr>
          <w:p>
            <w:pPr>
              <w:spacing w:after="0"/>
              <w:rPr>
                <w:sz w:val="14"/>
                <w:szCs w:val="14"/>
                <w:color w:val="auto"/>
              </w:rPr>
            </w:pPr>
          </w:p>
        </w:tc>
      </w:tr>
      <w:tr>
        <w:trPr>
          <w:trHeight w:val="243"/>
        </w:trPr>
        <w:tc>
          <w:tcPr>
            <w:tcW w:w="45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60" w:type="dxa"/>
            <w:vAlign w:val="bottom"/>
            <w:shd w:val="clear" w:color="auto" w:fill="004054"/>
          </w:tcPr>
          <w:p>
            <w:pPr>
              <w:spacing w:after="0"/>
              <w:rPr>
                <w:sz w:val="21"/>
                <w:szCs w:val="21"/>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40" w:type="dxa"/>
            <w:vAlign w:val="bottom"/>
            <w:shd w:val="clear" w:color="auto" w:fill="004054"/>
          </w:tcPr>
          <w:p>
            <w:pPr>
              <w:spacing w:after="0"/>
              <w:rPr>
                <w:sz w:val="21"/>
                <w:szCs w:val="21"/>
                <w:color w:val="auto"/>
              </w:rPr>
            </w:pPr>
          </w:p>
        </w:tc>
        <w:tc>
          <w:tcPr>
            <w:tcW w:w="142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80" w:type="dxa"/>
            <w:vAlign w:val="bottom"/>
          </w:tcPr>
          <w:p>
            <w:pPr>
              <w:spacing w:after="0"/>
              <w:rPr>
                <w:sz w:val="21"/>
                <w:szCs w:val="21"/>
                <w:color w:val="auto"/>
              </w:rPr>
            </w:pPr>
          </w:p>
        </w:tc>
        <w:tc>
          <w:tcPr>
            <w:tcW w:w="560" w:type="dxa"/>
            <w:vAlign w:val="bottom"/>
            <w:shd w:val="clear" w:color="auto" w:fill="004054"/>
          </w:tcPr>
          <w:p>
            <w:pPr>
              <w:spacing w:after="0"/>
              <w:rPr>
                <w:sz w:val="21"/>
                <w:szCs w:val="21"/>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80" w:type="dxa"/>
            <w:vAlign w:val="bottom"/>
            <w:shd w:val="clear" w:color="auto" w:fill="004054"/>
          </w:tcPr>
          <w:p>
            <w:pPr>
              <w:spacing w:after="0"/>
              <w:rPr>
                <w:sz w:val="21"/>
                <w:szCs w:val="21"/>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21"/>
                <w:szCs w:val="21"/>
                <w:color w:val="auto"/>
              </w:rPr>
            </w:pPr>
          </w:p>
        </w:tc>
      </w:tr>
      <w:tr>
        <w:trPr>
          <w:trHeight w:val="60"/>
        </w:trPr>
        <w:tc>
          <w:tcPr>
            <w:tcW w:w="4540" w:type="dxa"/>
            <w:vAlign w:val="bottom"/>
            <w:tcBorders>
              <w:bottom w:val="single" w:sz="8" w:color="004054"/>
            </w:tcBorders>
            <w:shd w:val="clear" w:color="auto" w:fill="004054"/>
          </w:tcPr>
          <w:p>
            <w:pPr>
              <w:spacing w:after="0"/>
              <w:rPr>
                <w:sz w:val="5"/>
                <w:szCs w:val="5"/>
                <w:color w:val="auto"/>
              </w:rPr>
            </w:pPr>
          </w:p>
        </w:tc>
        <w:tc>
          <w:tcPr>
            <w:tcW w:w="560" w:type="dxa"/>
            <w:vAlign w:val="bottom"/>
            <w:tcBorders>
              <w:bottom w:val="single" w:sz="8" w:color="004054"/>
            </w:tcBorders>
            <w:shd w:val="clear" w:color="auto" w:fill="004054"/>
          </w:tcPr>
          <w:p>
            <w:pPr>
              <w:spacing w:after="0"/>
              <w:rPr>
                <w:sz w:val="5"/>
                <w:szCs w:val="5"/>
                <w:color w:val="auto"/>
              </w:rPr>
            </w:pPr>
          </w:p>
        </w:tc>
        <w:tc>
          <w:tcPr>
            <w:tcW w:w="1100" w:type="dxa"/>
            <w:vAlign w:val="bottom"/>
            <w:tcBorders>
              <w:bottom w:val="single" w:sz="8" w:color="004054"/>
            </w:tcBorders>
            <w:shd w:val="clear" w:color="auto" w:fill="004054"/>
          </w:tcPr>
          <w:p>
            <w:pPr>
              <w:spacing w:after="0"/>
              <w:rPr>
                <w:sz w:val="5"/>
                <w:szCs w:val="5"/>
                <w:color w:val="auto"/>
              </w:rPr>
            </w:pPr>
          </w:p>
        </w:tc>
        <w:tc>
          <w:tcPr>
            <w:tcW w:w="240" w:type="dxa"/>
            <w:vAlign w:val="bottom"/>
            <w:tcBorders>
              <w:bottom w:val="single" w:sz="8" w:color="004054"/>
            </w:tcBorders>
            <w:shd w:val="clear" w:color="auto" w:fill="004054"/>
          </w:tcPr>
          <w:p>
            <w:pPr>
              <w:spacing w:after="0"/>
              <w:rPr>
                <w:sz w:val="5"/>
                <w:szCs w:val="5"/>
                <w:color w:val="auto"/>
              </w:rPr>
            </w:pPr>
          </w:p>
        </w:tc>
        <w:tc>
          <w:tcPr>
            <w:tcW w:w="1420" w:type="dxa"/>
            <w:vAlign w:val="bottom"/>
            <w:tcBorders>
              <w:bottom w:val="single" w:sz="8" w:color="004054"/>
              <w:right w:val="single" w:sz="8" w:color="004054"/>
            </w:tcBorders>
            <w:shd w:val="clear" w:color="auto" w:fill="004054"/>
          </w:tcPr>
          <w:p>
            <w:pPr>
              <w:spacing w:after="0"/>
              <w:rPr>
                <w:sz w:val="5"/>
                <w:szCs w:val="5"/>
                <w:color w:val="auto"/>
              </w:rPr>
            </w:pPr>
          </w:p>
        </w:tc>
        <w:tc>
          <w:tcPr>
            <w:tcW w:w="80" w:type="dxa"/>
            <w:vAlign w:val="bottom"/>
            <w:tcBorders>
              <w:bottom w:val="single" w:sz="8" w:color="EBFBFF"/>
            </w:tcBorders>
          </w:tcPr>
          <w:p>
            <w:pPr>
              <w:spacing w:after="0"/>
              <w:rPr>
                <w:sz w:val="5"/>
                <w:szCs w:val="5"/>
                <w:color w:val="auto"/>
              </w:rPr>
            </w:pPr>
          </w:p>
        </w:tc>
        <w:tc>
          <w:tcPr>
            <w:tcW w:w="560" w:type="dxa"/>
            <w:vAlign w:val="bottom"/>
            <w:tcBorders>
              <w:bottom w:val="single" w:sz="8" w:color="004054"/>
            </w:tcBorders>
            <w:shd w:val="clear" w:color="auto" w:fill="004054"/>
          </w:tcPr>
          <w:p>
            <w:pPr>
              <w:spacing w:after="0"/>
              <w:rPr>
                <w:sz w:val="5"/>
                <w:szCs w:val="5"/>
                <w:color w:val="auto"/>
              </w:rPr>
            </w:pPr>
          </w:p>
        </w:tc>
        <w:tc>
          <w:tcPr>
            <w:tcW w:w="1100" w:type="dxa"/>
            <w:vAlign w:val="bottom"/>
            <w:tcBorders>
              <w:bottom w:val="single" w:sz="8" w:color="004054"/>
            </w:tcBorders>
            <w:shd w:val="clear" w:color="auto" w:fill="004054"/>
          </w:tcPr>
          <w:p>
            <w:pPr>
              <w:spacing w:after="0"/>
              <w:rPr>
                <w:sz w:val="5"/>
                <w:szCs w:val="5"/>
                <w:color w:val="auto"/>
              </w:rPr>
            </w:pPr>
          </w:p>
        </w:tc>
        <w:tc>
          <w:tcPr>
            <w:tcW w:w="280" w:type="dxa"/>
            <w:vAlign w:val="bottom"/>
            <w:tcBorders>
              <w:bottom w:val="single" w:sz="8" w:color="004054"/>
            </w:tcBorders>
            <w:shd w:val="clear" w:color="auto" w:fill="004054"/>
          </w:tcPr>
          <w:p>
            <w:pPr>
              <w:spacing w:after="0"/>
              <w:rPr>
                <w:sz w:val="5"/>
                <w:szCs w:val="5"/>
                <w:color w:val="auto"/>
              </w:rPr>
            </w:pPr>
          </w:p>
        </w:tc>
        <w:tc>
          <w:tcPr>
            <w:tcW w:w="136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r>
      <w:tr>
        <w:trPr>
          <w:trHeight w:val="243"/>
        </w:trPr>
        <w:tc>
          <w:tcPr>
            <w:tcW w:w="454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United States</w:t>
            </w:r>
          </w:p>
        </w:tc>
        <w:tc>
          <w:tcPr>
            <w:tcW w:w="560" w:type="dxa"/>
            <w:vAlign w:val="bottom"/>
            <w:tcBorders>
              <w:bottom w:val="single" w:sz="8" w:color="EBFBFF"/>
            </w:tcBorders>
            <w:shd w:val="clear" w:color="auto" w:fill="EBFBFF"/>
          </w:tcPr>
          <w:p>
            <w:pPr>
              <w:jc w:val="right"/>
              <w:ind w:right="350"/>
              <w:spacing w:after="0" w:line="213" w:lineRule="exact"/>
              <w:rPr>
                <w:sz w:val="20"/>
                <w:szCs w:val="20"/>
                <w:color w:val="auto"/>
              </w:rPr>
            </w:pPr>
            <w:r>
              <w:rPr>
                <w:rFonts w:ascii="Calibri" w:cs="Calibri" w:eastAsia="Calibri" w:hAnsi="Calibri"/>
                <w:sz w:val="18"/>
                <w:szCs w:val="18"/>
                <w:color w:val="51555C"/>
              </w:rPr>
              <w:t>$</w:t>
            </w:r>
          </w:p>
        </w:tc>
        <w:tc>
          <w:tcPr>
            <w:tcW w:w="11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238,661</w:t>
            </w:r>
          </w:p>
        </w:tc>
        <w:tc>
          <w:tcPr>
            <w:tcW w:w="240" w:type="dxa"/>
            <w:vAlign w:val="bottom"/>
            <w:tcBorders>
              <w:bottom w:val="single" w:sz="8" w:color="EBFBFF"/>
            </w:tcBorders>
            <w:shd w:val="clear" w:color="auto" w:fill="EBFBFF"/>
          </w:tcPr>
          <w:p>
            <w:pPr>
              <w:jc w:val="right"/>
              <w:ind w:right="50"/>
              <w:spacing w:after="0" w:line="213" w:lineRule="exact"/>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right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237,877</w:t>
            </w:r>
          </w:p>
        </w:tc>
        <w:tc>
          <w:tcPr>
            <w:tcW w:w="640" w:type="dxa"/>
            <w:vAlign w:val="bottom"/>
            <w:tcBorders>
              <w:bottom w:val="single" w:sz="8" w:color="EBFBFF"/>
            </w:tcBorders>
            <w:gridSpan w:val="2"/>
            <w:shd w:val="clear" w:color="auto" w:fill="EBFBFF"/>
          </w:tcPr>
          <w:p>
            <w:pPr>
              <w:jc w:val="right"/>
              <w:ind w:right="350"/>
              <w:spacing w:after="0" w:line="213" w:lineRule="exact"/>
              <w:rPr>
                <w:sz w:val="20"/>
                <w:szCs w:val="20"/>
                <w:color w:val="auto"/>
              </w:rPr>
            </w:pPr>
            <w:r>
              <w:rPr>
                <w:rFonts w:ascii="Calibri" w:cs="Calibri" w:eastAsia="Calibri" w:hAnsi="Calibri"/>
                <w:sz w:val="18"/>
                <w:szCs w:val="18"/>
                <w:color w:val="51555C"/>
              </w:rPr>
              <w:t>$</w:t>
            </w:r>
          </w:p>
        </w:tc>
        <w:tc>
          <w:tcPr>
            <w:tcW w:w="11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718,601</w:t>
            </w:r>
          </w:p>
        </w:tc>
        <w:tc>
          <w:tcPr>
            <w:tcW w:w="280" w:type="dxa"/>
            <w:vAlign w:val="bottom"/>
            <w:tcBorders>
              <w:bottom w:val="single" w:sz="8" w:color="EBFBFF"/>
            </w:tcBorders>
            <w:shd w:val="clear" w:color="auto" w:fill="EBFBFF"/>
          </w:tcPr>
          <w:p>
            <w:pPr>
              <w:jc w:val="right"/>
              <w:ind w:right="90"/>
              <w:spacing w:after="0" w:line="213" w:lineRule="exact"/>
              <w:rPr>
                <w:sz w:val="20"/>
                <w:szCs w:val="20"/>
                <w:color w:val="auto"/>
              </w:rPr>
            </w:pPr>
            <w:r>
              <w:rPr>
                <w:rFonts w:ascii="Calibri" w:cs="Calibri" w:eastAsia="Calibri" w:hAnsi="Calibri"/>
                <w:sz w:val="18"/>
                <w:szCs w:val="18"/>
                <w:color w:val="51555C"/>
                <w:w w:val="87"/>
              </w:rPr>
              <w:t>$</w:t>
            </w:r>
          </w:p>
        </w:tc>
        <w:tc>
          <w:tcPr>
            <w:tcW w:w="13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688,290</w:t>
            </w:r>
          </w:p>
        </w:tc>
        <w:tc>
          <w:tcPr>
            <w:tcW w:w="20" w:type="dxa"/>
            <w:vAlign w:val="bottom"/>
          </w:tcPr>
          <w:p>
            <w:pPr>
              <w:spacing w:after="0"/>
              <w:rPr>
                <w:sz w:val="21"/>
                <w:szCs w:val="21"/>
                <w:color w:val="auto"/>
              </w:rPr>
            </w:pPr>
          </w:p>
        </w:tc>
      </w:tr>
      <w:tr>
        <w:trPr>
          <w:trHeight w:val="220"/>
        </w:trPr>
        <w:tc>
          <w:tcPr>
            <w:tcW w:w="4540" w:type="dxa"/>
            <w:vAlign w:val="bottom"/>
          </w:tcPr>
          <w:p>
            <w:pPr>
              <w:ind w:left="20"/>
              <w:spacing w:after="0"/>
              <w:rPr>
                <w:sz w:val="20"/>
                <w:szCs w:val="20"/>
                <w:color w:val="auto"/>
              </w:rPr>
            </w:pPr>
            <w:r>
              <w:rPr>
                <w:rFonts w:ascii="Calibri" w:cs="Calibri" w:eastAsia="Calibri" w:hAnsi="Calibri"/>
                <w:sz w:val="18"/>
                <w:szCs w:val="18"/>
                <w:color w:val="51555C"/>
              </w:rPr>
              <w:t>United Kingdom</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51555C"/>
              </w:rPr>
              <w:t>29,846</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Calibri" w:cs="Calibri" w:eastAsia="Calibri" w:hAnsi="Calibri"/>
                <w:sz w:val="18"/>
                <w:szCs w:val="18"/>
                <w:color w:val="51555C"/>
              </w:rPr>
              <w:t>25,694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51555C"/>
              </w:rPr>
              <w:t>85,955</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color w:val="51555C"/>
              </w:rPr>
              <w:t>79,976</w:t>
            </w:r>
          </w:p>
        </w:tc>
        <w:tc>
          <w:tcPr>
            <w:tcW w:w="20" w:type="dxa"/>
            <w:vAlign w:val="bottom"/>
          </w:tcPr>
          <w:p>
            <w:pPr>
              <w:spacing w:after="0"/>
              <w:rPr>
                <w:sz w:val="19"/>
                <w:szCs w:val="19"/>
                <w:color w:val="auto"/>
              </w:rPr>
            </w:pPr>
          </w:p>
        </w:tc>
      </w:tr>
      <w:tr>
        <w:trPr>
          <w:trHeight w:val="50"/>
        </w:trPr>
        <w:tc>
          <w:tcPr>
            <w:tcW w:w="4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5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Other countries</w:t>
            </w:r>
          </w:p>
        </w:tc>
        <w:tc>
          <w:tcPr>
            <w:tcW w:w="56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18,220</w:t>
            </w:r>
          </w:p>
        </w:tc>
        <w:tc>
          <w:tcPr>
            <w:tcW w:w="240" w:type="dxa"/>
            <w:vAlign w:val="bottom"/>
            <w:tcBorders>
              <w:bottom w:val="single" w:sz="8" w:color="EBFBFF"/>
            </w:tcBorders>
            <w:shd w:val="clear" w:color="auto" w:fill="EBFBFF"/>
          </w:tcPr>
          <w:p>
            <w:pPr>
              <w:spacing w:after="0"/>
              <w:rPr>
                <w:sz w:val="23"/>
                <w:szCs w:val="23"/>
                <w:color w:val="auto"/>
              </w:rPr>
            </w:pPr>
          </w:p>
        </w:tc>
        <w:tc>
          <w:tcPr>
            <w:tcW w:w="142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14,055</w:t>
            </w:r>
          </w:p>
        </w:tc>
        <w:tc>
          <w:tcPr>
            <w:tcW w:w="80" w:type="dxa"/>
            <w:vAlign w:val="bottom"/>
            <w:tcBorders>
              <w:bottom w:val="single" w:sz="8" w:color="EBFBFF"/>
            </w:tcBorders>
            <w:shd w:val="clear" w:color="auto" w:fill="EBFBFF"/>
          </w:tcPr>
          <w:p>
            <w:pPr>
              <w:spacing w:after="0"/>
              <w:rPr>
                <w:sz w:val="23"/>
                <w:szCs w:val="23"/>
                <w:color w:val="auto"/>
              </w:rPr>
            </w:pPr>
          </w:p>
        </w:tc>
        <w:tc>
          <w:tcPr>
            <w:tcW w:w="56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48,707</w:t>
            </w:r>
          </w:p>
        </w:tc>
        <w:tc>
          <w:tcPr>
            <w:tcW w:w="280" w:type="dxa"/>
            <w:vAlign w:val="bottom"/>
            <w:tcBorders>
              <w:bottom w:val="single" w:sz="8" w:color="EBFBFF"/>
            </w:tcBorders>
            <w:shd w:val="clear" w:color="auto" w:fill="EBFBFF"/>
          </w:tcPr>
          <w:p>
            <w:pPr>
              <w:spacing w:after="0"/>
              <w:rPr>
                <w:sz w:val="23"/>
                <w:szCs w:val="23"/>
                <w:color w:val="auto"/>
              </w:rPr>
            </w:pPr>
          </w:p>
        </w:tc>
        <w:tc>
          <w:tcPr>
            <w:tcW w:w="13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42,155</w:t>
            </w:r>
          </w:p>
        </w:tc>
        <w:tc>
          <w:tcPr>
            <w:tcW w:w="20" w:type="dxa"/>
            <w:vAlign w:val="bottom"/>
          </w:tcPr>
          <w:p>
            <w:pPr>
              <w:spacing w:after="0"/>
              <w:rPr>
                <w:sz w:val="23"/>
                <w:szCs w:val="23"/>
                <w:color w:val="auto"/>
              </w:rPr>
            </w:pPr>
          </w:p>
        </w:tc>
      </w:tr>
      <w:tr>
        <w:trPr>
          <w:trHeight w:val="213"/>
        </w:trPr>
        <w:tc>
          <w:tcPr>
            <w:tcW w:w="4540" w:type="dxa"/>
            <w:vAlign w:val="bottom"/>
          </w:tcPr>
          <w:p>
            <w:pPr>
              <w:ind w:left="140"/>
              <w:spacing w:after="0" w:line="199" w:lineRule="exact"/>
              <w:rPr>
                <w:sz w:val="20"/>
                <w:szCs w:val="20"/>
                <w:color w:val="auto"/>
              </w:rPr>
            </w:pPr>
            <w:r>
              <w:rPr>
                <w:rFonts w:ascii="Calibri" w:cs="Calibri" w:eastAsia="Calibri" w:hAnsi="Calibri"/>
                <w:sz w:val="18"/>
                <w:szCs w:val="18"/>
                <w:color w:val="51555C"/>
              </w:rPr>
              <w:t>Total revenue</w:t>
            </w:r>
          </w:p>
        </w:tc>
        <w:tc>
          <w:tcPr>
            <w:tcW w:w="560" w:type="dxa"/>
            <w:vAlign w:val="bottom"/>
            <w:tcBorders>
              <w:top w:val="single" w:sz="8" w:color="51555C"/>
            </w:tcBorders>
          </w:tcPr>
          <w:p>
            <w:pPr>
              <w:jc w:val="right"/>
              <w:ind w:right="350"/>
              <w:spacing w:after="0" w:line="213" w:lineRule="exact"/>
              <w:rPr>
                <w:sz w:val="20"/>
                <w:szCs w:val="20"/>
                <w:color w:val="auto"/>
              </w:rPr>
            </w:pPr>
            <w:r>
              <w:rPr>
                <w:rFonts w:ascii="Calibri" w:cs="Calibri" w:eastAsia="Calibri" w:hAnsi="Calibri"/>
                <w:sz w:val="18"/>
                <w:szCs w:val="18"/>
                <w:color w:val="51555C"/>
              </w:rPr>
              <w:t>$</w:t>
            </w:r>
          </w:p>
        </w:tc>
        <w:tc>
          <w:tcPr>
            <w:tcW w:w="11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286,727</w:t>
            </w:r>
          </w:p>
        </w:tc>
        <w:tc>
          <w:tcPr>
            <w:tcW w:w="240" w:type="dxa"/>
            <w:vAlign w:val="bottom"/>
            <w:tcBorders>
              <w:top w:val="single" w:sz="8" w:color="51555C"/>
            </w:tcBorders>
          </w:tcPr>
          <w:p>
            <w:pPr>
              <w:jc w:val="right"/>
              <w:ind w:right="50"/>
              <w:spacing w:after="0" w:line="213" w:lineRule="exact"/>
              <w:rPr>
                <w:sz w:val="20"/>
                <w:szCs w:val="20"/>
                <w:color w:val="auto"/>
              </w:rPr>
            </w:pPr>
            <w:r>
              <w:rPr>
                <w:rFonts w:ascii="Calibri" w:cs="Calibri" w:eastAsia="Calibri" w:hAnsi="Calibri"/>
                <w:sz w:val="18"/>
                <w:szCs w:val="18"/>
                <w:color w:val="51555C"/>
                <w:w w:val="87"/>
              </w:rPr>
              <w:t>$</w:t>
            </w:r>
          </w:p>
        </w:tc>
        <w:tc>
          <w:tcPr>
            <w:tcW w:w="14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277,626</w:t>
            </w:r>
          </w:p>
        </w:tc>
        <w:tc>
          <w:tcPr>
            <w:tcW w:w="80" w:type="dxa"/>
            <w:vAlign w:val="bottom"/>
          </w:tcPr>
          <w:p>
            <w:pPr>
              <w:spacing w:after="0"/>
              <w:rPr>
                <w:sz w:val="18"/>
                <w:szCs w:val="18"/>
                <w:color w:val="auto"/>
              </w:rPr>
            </w:pPr>
          </w:p>
        </w:tc>
        <w:tc>
          <w:tcPr>
            <w:tcW w:w="560" w:type="dxa"/>
            <w:vAlign w:val="bottom"/>
            <w:tcBorders>
              <w:top w:val="single" w:sz="8" w:color="51555C"/>
            </w:tcBorders>
          </w:tcPr>
          <w:p>
            <w:pPr>
              <w:jc w:val="right"/>
              <w:ind w:right="350"/>
              <w:spacing w:after="0" w:line="213" w:lineRule="exact"/>
              <w:rPr>
                <w:sz w:val="20"/>
                <w:szCs w:val="20"/>
                <w:color w:val="auto"/>
              </w:rPr>
            </w:pPr>
            <w:r>
              <w:rPr>
                <w:rFonts w:ascii="Calibri" w:cs="Calibri" w:eastAsia="Calibri" w:hAnsi="Calibri"/>
                <w:sz w:val="18"/>
                <w:szCs w:val="18"/>
                <w:color w:val="51555C"/>
              </w:rPr>
              <w:t>$</w:t>
            </w:r>
          </w:p>
        </w:tc>
        <w:tc>
          <w:tcPr>
            <w:tcW w:w="11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853,263</w:t>
            </w:r>
          </w:p>
        </w:tc>
        <w:tc>
          <w:tcPr>
            <w:tcW w:w="280" w:type="dxa"/>
            <w:vAlign w:val="bottom"/>
            <w:tcBorders>
              <w:top w:val="single" w:sz="8" w:color="51555C"/>
            </w:tcBorders>
          </w:tcPr>
          <w:p>
            <w:pPr>
              <w:jc w:val="right"/>
              <w:ind w:right="90"/>
              <w:spacing w:after="0" w:line="213" w:lineRule="exact"/>
              <w:rPr>
                <w:sz w:val="20"/>
                <w:szCs w:val="20"/>
                <w:color w:val="auto"/>
              </w:rPr>
            </w:pPr>
            <w:r>
              <w:rPr>
                <w:rFonts w:ascii="Calibri" w:cs="Calibri" w:eastAsia="Calibri" w:hAnsi="Calibri"/>
                <w:sz w:val="18"/>
                <w:szCs w:val="18"/>
                <w:color w:val="51555C"/>
                <w:w w:val="87"/>
              </w:rPr>
              <w:t>$</w:t>
            </w:r>
          </w:p>
        </w:tc>
        <w:tc>
          <w:tcPr>
            <w:tcW w:w="13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810,421</w:t>
            </w:r>
          </w:p>
        </w:tc>
        <w:tc>
          <w:tcPr>
            <w:tcW w:w="20" w:type="dxa"/>
            <w:vAlign w:val="bottom"/>
          </w:tcPr>
          <w:p>
            <w:pPr>
              <w:spacing w:after="0"/>
              <w:rPr>
                <w:sz w:val="18"/>
                <w:szCs w:val="18"/>
                <w:color w:val="auto"/>
              </w:rPr>
            </w:pPr>
          </w:p>
        </w:tc>
      </w:tr>
      <w:tr>
        <w:trPr>
          <w:trHeight w:val="50"/>
        </w:trPr>
        <w:tc>
          <w:tcPr>
            <w:tcW w:w="4540" w:type="dxa"/>
            <w:vAlign w:val="bottom"/>
            <w:tcBorders>
              <w:bottom w:val="single" w:sz="8" w:color="0CD973"/>
            </w:tcBorders>
          </w:tcPr>
          <w:p>
            <w:pPr>
              <w:spacing w:after="0"/>
              <w:rPr>
                <w:sz w:val="4"/>
                <w:szCs w:val="4"/>
                <w:color w:val="auto"/>
              </w:rPr>
            </w:pPr>
          </w:p>
        </w:tc>
        <w:tc>
          <w:tcPr>
            <w:tcW w:w="560" w:type="dxa"/>
            <w:vAlign w:val="bottom"/>
            <w:tcBorders>
              <w:bottom w:val="single" w:sz="8" w:color="0CD973"/>
            </w:tcBorders>
          </w:tcPr>
          <w:p>
            <w:pPr>
              <w:spacing w:after="0"/>
              <w:rPr>
                <w:sz w:val="4"/>
                <w:szCs w:val="4"/>
                <w:color w:val="auto"/>
              </w:rPr>
            </w:pPr>
          </w:p>
        </w:tc>
        <w:tc>
          <w:tcPr>
            <w:tcW w:w="1100" w:type="dxa"/>
            <w:vAlign w:val="bottom"/>
            <w:tcBorders>
              <w:bottom w:val="single" w:sz="8" w:color="0CD973"/>
            </w:tcBorders>
          </w:tcPr>
          <w:p>
            <w:pPr>
              <w:spacing w:after="0"/>
              <w:rPr>
                <w:sz w:val="4"/>
                <w:szCs w:val="4"/>
                <w:color w:val="auto"/>
              </w:rPr>
            </w:pPr>
          </w:p>
        </w:tc>
        <w:tc>
          <w:tcPr>
            <w:tcW w:w="240" w:type="dxa"/>
            <w:vAlign w:val="bottom"/>
            <w:tcBorders>
              <w:bottom w:val="single" w:sz="8" w:color="0CD973"/>
            </w:tcBorders>
          </w:tcPr>
          <w:p>
            <w:pPr>
              <w:spacing w:after="0"/>
              <w:rPr>
                <w:sz w:val="4"/>
                <w:szCs w:val="4"/>
                <w:color w:val="auto"/>
              </w:rPr>
            </w:pPr>
          </w:p>
        </w:tc>
        <w:tc>
          <w:tcPr>
            <w:tcW w:w="1420" w:type="dxa"/>
            <w:vAlign w:val="bottom"/>
            <w:tcBorders>
              <w:bottom w:val="single" w:sz="8" w:color="0CD973"/>
            </w:tcBorders>
          </w:tcPr>
          <w:p>
            <w:pPr>
              <w:spacing w:after="0"/>
              <w:rPr>
                <w:sz w:val="4"/>
                <w:szCs w:val="4"/>
                <w:color w:val="auto"/>
              </w:rPr>
            </w:pPr>
          </w:p>
        </w:tc>
        <w:tc>
          <w:tcPr>
            <w:tcW w:w="80" w:type="dxa"/>
            <w:vAlign w:val="bottom"/>
            <w:tcBorders>
              <w:bottom w:val="single" w:sz="8" w:color="0CD973"/>
            </w:tcBorders>
          </w:tcPr>
          <w:p>
            <w:pPr>
              <w:spacing w:after="0"/>
              <w:rPr>
                <w:sz w:val="4"/>
                <w:szCs w:val="4"/>
                <w:color w:val="auto"/>
              </w:rPr>
            </w:pPr>
          </w:p>
        </w:tc>
        <w:tc>
          <w:tcPr>
            <w:tcW w:w="560" w:type="dxa"/>
            <w:vAlign w:val="bottom"/>
            <w:tcBorders>
              <w:bottom w:val="single" w:sz="8" w:color="0CD973"/>
            </w:tcBorders>
          </w:tcPr>
          <w:p>
            <w:pPr>
              <w:spacing w:after="0"/>
              <w:rPr>
                <w:sz w:val="4"/>
                <w:szCs w:val="4"/>
                <w:color w:val="auto"/>
              </w:rPr>
            </w:pPr>
          </w:p>
        </w:tc>
        <w:tc>
          <w:tcPr>
            <w:tcW w:w="1100" w:type="dxa"/>
            <w:vAlign w:val="bottom"/>
            <w:tcBorders>
              <w:bottom w:val="single" w:sz="8" w:color="0CD973"/>
            </w:tcBorders>
          </w:tcPr>
          <w:p>
            <w:pPr>
              <w:spacing w:after="0"/>
              <w:rPr>
                <w:sz w:val="4"/>
                <w:szCs w:val="4"/>
                <w:color w:val="auto"/>
              </w:rPr>
            </w:pPr>
          </w:p>
        </w:tc>
        <w:tc>
          <w:tcPr>
            <w:tcW w:w="280" w:type="dxa"/>
            <w:vAlign w:val="bottom"/>
            <w:tcBorders>
              <w:bottom w:val="single" w:sz="8" w:color="0CD973"/>
            </w:tcBorders>
          </w:tcPr>
          <w:p>
            <w:pPr>
              <w:spacing w:after="0"/>
              <w:rPr>
                <w:sz w:val="4"/>
                <w:szCs w:val="4"/>
                <w:color w:val="auto"/>
              </w:rPr>
            </w:pPr>
          </w:p>
        </w:tc>
        <w:tc>
          <w:tcPr>
            <w:tcW w:w="136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-864870</wp:posOffset>
            </wp:positionV>
            <wp:extent cx="42602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2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Social Sector and Corporate Sector market groups comprised our go-to-market organizatons as of September 30, 2024. The following is a descripton of each market group as of that date:</w:t>
      </w:r>
    </w:p>
    <w:p>
      <w:pPr>
        <w:spacing w:after="0" w:line="110" w:lineRule="exact"/>
        <w:rPr>
          <w:sz w:val="20"/>
          <w:szCs w:val="20"/>
          <w:color w:val="auto"/>
        </w:rPr>
      </w:pPr>
    </w:p>
    <w:p>
      <w:pPr>
        <w:ind w:left="660" w:right="20" w:hanging="328"/>
        <w:spacing w:after="0" w:line="235" w:lineRule="auto"/>
        <w:tabs>
          <w:tab w:leader="none" w:pos="653" w:val="left"/>
        </w:tabs>
        <w:numPr>
          <w:ilvl w:val="0"/>
          <w:numId w:val="8"/>
        </w:numPr>
        <w:rPr>
          <w:rFonts w:ascii="Calibri" w:cs="Calibri" w:eastAsia="Calibri" w:hAnsi="Calibri"/>
          <w:sz w:val="18"/>
          <w:szCs w:val="18"/>
          <w:color w:val="51555C"/>
        </w:rPr>
      </w:pPr>
      <w:r>
        <w:rPr>
          <w:rFonts w:ascii="Calibri" w:cs="Calibri" w:eastAsia="Calibri" w:hAnsi="Calibri"/>
          <w:sz w:val="18"/>
          <w:szCs w:val="18"/>
          <w:color w:val="51555C"/>
        </w:rPr>
        <w:t>The Social Sector market group focuses on sales to customers and prospects in the social sector, such as nonprofts, foundatons, educaton insttutons, healthcare organizatons and other not-for-proft enttes globally, and includes JustGiving; and</w:t>
      </w:r>
    </w:p>
    <w:p>
      <w:pPr>
        <w:spacing w:after="0" w:line="109" w:lineRule="exact"/>
        <w:rPr>
          <w:rFonts w:ascii="Calibri" w:cs="Calibri" w:eastAsia="Calibri" w:hAnsi="Calibri"/>
          <w:sz w:val="18"/>
          <w:szCs w:val="18"/>
          <w:color w:val="51555C"/>
        </w:rPr>
      </w:pPr>
    </w:p>
    <w:p>
      <w:pPr>
        <w:ind w:left="660" w:right="20" w:hanging="328"/>
        <w:spacing w:after="0" w:line="235" w:lineRule="auto"/>
        <w:tabs>
          <w:tab w:leader="none" w:pos="653" w:val="left"/>
        </w:tabs>
        <w:numPr>
          <w:ilvl w:val="0"/>
          <w:numId w:val="8"/>
        </w:numPr>
        <w:rPr>
          <w:rFonts w:ascii="Calibri" w:cs="Calibri" w:eastAsia="Calibri" w:hAnsi="Calibri"/>
          <w:sz w:val="18"/>
          <w:szCs w:val="18"/>
          <w:color w:val="51555C"/>
        </w:rPr>
      </w:pPr>
      <w:r>
        <w:rPr>
          <w:rFonts w:ascii="Calibri" w:cs="Calibri" w:eastAsia="Calibri" w:hAnsi="Calibri"/>
          <w:sz w:val="18"/>
          <w:szCs w:val="18"/>
          <w:color w:val="51555C"/>
        </w:rPr>
        <w:t>The Corporate Sector market group focuses on sales to customers and prospects in the corporate sector globally, and includes EVERFI and YourCause.</w:t>
      </w:r>
    </w:p>
    <w:p>
      <w:pPr>
        <w:spacing w:after="0" w:line="338"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24</w:t>
      </w:r>
      <w:r>
        <w:rPr>
          <w:sz w:val="20"/>
          <w:szCs w:val="20"/>
          <w:color w:val="auto"/>
        </w:rPr>
        <w:tab/>
      </w:r>
      <w:r>
        <w:rPr>
          <w:sz w:val="1"/>
          <w:szCs w:val="1"/>
          <w:color w:val="auto"/>
        </w:rPr>
        <w:drawing>
          <wp:inline distT="0" distB="0" distL="0" distR="0">
            <wp:extent cx="651510" cy="17145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Condensed Consolidated Financial Statements</w:t>
      </w:r>
    </w:p>
    <w:p>
      <w:pPr>
        <w:jc w:val="center"/>
        <w:ind w:right="20"/>
        <w:spacing w:after="0" w:line="236"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presents our revenue by market group:</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40" w:type="dxa"/>
            <w:vAlign w:val="bottom"/>
            <w:shd w:val="clear" w:color="auto" w:fill="004054"/>
          </w:tcPr>
          <w:p>
            <w:pPr>
              <w:spacing w:after="0"/>
              <w:rPr>
                <w:sz w:val="16"/>
                <w:szCs w:val="16"/>
                <w:color w:val="auto"/>
              </w:rPr>
            </w:pPr>
          </w:p>
        </w:tc>
        <w:tc>
          <w:tcPr>
            <w:tcW w:w="560" w:type="dxa"/>
            <w:vAlign w:val="bottom"/>
            <w:shd w:val="clear" w:color="auto" w:fill="004054"/>
          </w:tcPr>
          <w:p>
            <w:pPr>
              <w:spacing w:after="0"/>
              <w:rPr>
                <w:sz w:val="16"/>
                <w:szCs w:val="16"/>
                <w:color w:val="auto"/>
              </w:rPr>
            </w:pPr>
          </w:p>
        </w:tc>
        <w:tc>
          <w:tcPr>
            <w:tcW w:w="110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142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Three months ended</w:t>
            </w:r>
          </w:p>
        </w:tc>
        <w:tc>
          <w:tcPr>
            <w:tcW w:w="80" w:type="dxa"/>
            <w:vAlign w:val="bottom"/>
          </w:tcPr>
          <w:p>
            <w:pPr>
              <w:spacing w:after="0"/>
              <w:rPr>
                <w:sz w:val="16"/>
                <w:szCs w:val="16"/>
                <w:color w:val="auto"/>
              </w:rPr>
            </w:pPr>
          </w:p>
        </w:tc>
        <w:tc>
          <w:tcPr>
            <w:tcW w:w="560" w:type="dxa"/>
            <w:vAlign w:val="bottom"/>
            <w:shd w:val="clear" w:color="auto" w:fill="004054"/>
          </w:tcPr>
          <w:p>
            <w:pPr>
              <w:spacing w:after="0"/>
              <w:rPr>
                <w:sz w:val="16"/>
                <w:szCs w:val="16"/>
                <w:color w:val="auto"/>
              </w:rPr>
            </w:pPr>
          </w:p>
        </w:tc>
        <w:tc>
          <w:tcPr>
            <w:tcW w:w="110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c>
          <w:tcPr>
            <w:tcW w:w="20" w:type="dxa"/>
            <w:vAlign w:val="bottom"/>
            <w:shd w:val="clear" w:color="auto" w:fill="004054"/>
          </w:tcPr>
          <w:p>
            <w:pPr>
              <w:spacing w:after="0"/>
              <w:rPr>
                <w:sz w:val="16"/>
                <w:szCs w:val="16"/>
                <w:color w:val="auto"/>
              </w:rPr>
            </w:pPr>
          </w:p>
        </w:tc>
      </w:tr>
      <w:tr>
        <w:trPr>
          <w:trHeight w:val="170"/>
        </w:trPr>
        <w:tc>
          <w:tcPr>
            <w:tcW w:w="4540" w:type="dxa"/>
            <w:vAlign w:val="bottom"/>
            <w:shd w:val="clear" w:color="auto" w:fill="004054"/>
          </w:tcPr>
          <w:p>
            <w:pPr>
              <w:spacing w:after="0"/>
              <w:rPr>
                <w:sz w:val="14"/>
                <w:szCs w:val="14"/>
                <w:color w:val="auto"/>
              </w:rPr>
            </w:pPr>
          </w:p>
        </w:tc>
        <w:tc>
          <w:tcPr>
            <w:tcW w:w="560" w:type="dxa"/>
            <w:vAlign w:val="bottom"/>
            <w:shd w:val="clear" w:color="auto" w:fill="004054"/>
          </w:tcPr>
          <w:p>
            <w:pPr>
              <w:spacing w:after="0"/>
              <w:rPr>
                <w:sz w:val="14"/>
                <w:szCs w:val="14"/>
                <w:color w:val="auto"/>
              </w:rPr>
            </w:pPr>
          </w:p>
        </w:tc>
        <w:tc>
          <w:tcPr>
            <w:tcW w:w="110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42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80" w:type="dxa"/>
            <w:vAlign w:val="bottom"/>
          </w:tcPr>
          <w:p>
            <w:pPr>
              <w:spacing w:after="0"/>
              <w:rPr>
                <w:sz w:val="14"/>
                <w:szCs w:val="14"/>
                <w:color w:val="auto"/>
              </w:rPr>
            </w:pPr>
          </w:p>
        </w:tc>
        <w:tc>
          <w:tcPr>
            <w:tcW w:w="560" w:type="dxa"/>
            <w:vAlign w:val="bottom"/>
            <w:shd w:val="clear" w:color="auto" w:fill="004054"/>
          </w:tcPr>
          <w:p>
            <w:pPr>
              <w:spacing w:after="0"/>
              <w:rPr>
                <w:sz w:val="14"/>
                <w:szCs w:val="14"/>
                <w:color w:val="auto"/>
              </w:rPr>
            </w:pPr>
          </w:p>
        </w:tc>
        <w:tc>
          <w:tcPr>
            <w:tcW w:w="1100" w:type="dxa"/>
            <w:vAlign w:val="bottom"/>
            <w:shd w:val="clear" w:color="auto" w:fill="004054"/>
          </w:tcPr>
          <w:p>
            <w:pPr>
              <w:spacing w:after="0"/>
              <w:rPr>
                <w:sz w:val="14"/>
                <w:szCs w:val="14"/>
                <w:color w:val="auto"/>
              </w:rPr>
            </w:pPr>
          </w:p>
        </w:tc>
        <w:tc>
          <w:tcPr>
            <w:tcW w:w="28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20" w:type="dxa"/>
            <w:vAlign w:val="bottom"/>
            <w:shd w:val="clear" w:color="auto" w:fill="004054"/>
          </w:tcPr>
          <w:p>
            <w:pPr>
              <w:spacing w:after="0"/>
              <w:rPr>
                <w:sz w:val="14"/>
                <w:szCs w:val="14"/>
                <w:color w:val="auto"/>
              </w:rPr>
            </w:pPr>
          </w:p>
        </w:tc>
      </w:tr>
      <w:tr>
        <w:trPr>
          <w:trHeight w:val="243"/>
        </w:trPr>
        <w:tc>
          <w:tcPr>
            <w:tcW w:w="45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60" w:type="dxa"/>
            <w:vAlign w:val="bottom"/>
            <w:shd w:val="clear" w:color="auto" w:fill="004054"/>
          </w:tcPr>
          <w:p>
            <w:pPr>
              <w:spacing w:after="0"/>
              <w:rPr>
                <w:sz w:val="21"/>
                <w:szCs w:val="21"/>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40" w:type="dxa"/>
            <w:vAlign w:val="bottom"/>
            <w:shd w:val="clear" w:color="auto" w:fill="004054"/>
          </w:tcPr>
          <w:p>
            <w:pPr>
              <w:spacing w:after="0"/>
              <w:rPr>
                <w:sz w:val="21"/>
                <w:szCs w:val="21"/>
                <w:color w:val="auto"/>
              </w:rPr>
            </w:pPr>
          </w:p>
        </w:tc>
        <w:tc>
          <w:tcPr>
            <w:tcW w:w="142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80" w:type="dxa"/>
            <w:vAlign w:val="bottom"/>
          </w:tcPr>
          <w:p>
            <w:pPr>
              <w:spacing w:after="0"/>
              <w:rPr>
                <w:sz w:val="21"/>
                <w:szCs w:val="21"/>
                <w:color w:val="auto"/>
              </w:rPr>
            </w:pPr>
          </w:p>
        </w:tc>
        <w:tc>
          <w:tcPr>
            <w:tcW w:w="560" w:type="dxa"/>
            <w:vAlign w:val="bottom"/>
            <w:shd w:val="clear" w:color="auto" w:fill="004054"/>
          </w:tcPr>
          <w:p>
            <w:pPr>
              <w:spacing w:after="0"/>
              <w:rPr>
                <w:sz w:val="21"/>
                <w:szCs w:val="21"/>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80" w:type="dxa"/>
            <w:vAlign w:val="bottom"/>
            <w:shd w:val="clear" w:color="auto" w:fill="004054"/>
          </w:tcPr>
          <w:p>
            <w:pPr>
              <w:spacing w:after="0"/>
              <w:rPr>
                <w:sz w:val="21"/>
                <w:szCs w:val="21"/>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21"/>
                <w:szCs w:val="21"/>
                <w:color w:val="auto"/>
              </w:rPr>
            </w:pPr>
          </w:p>
        </w:tc>
      </w:tr>
      <w:tr>
        <w:trPr>
          <w:trHeight w:val="60"/>
        </w:trPr>
        <w:tc>
          <w:tcPr>
            <w:tcW w:w="4540" w:type="dxa"/>
            <w:vAlign w:val="bottom"/>
            <w:tcBorders>
              <w:bottom w:val="single" w:sz="8" w:color="004054"/>
            </w:tcBorders>
            <w:shd w:val="clear" w:color="auto" w:fill="004054"/>
          </w:tcPr>
          <w:p>
            <w:pPr>
              <w:spacing w:after="0"/>
              <w:rPr>
                <w:sz w:val="5"/>
                <w:szCs w:val="5"/>
                <w:color w:val="auto"/>
              </w:rPr>
            </w:pPr>
          </w:p>
        </w:tc>
        <w:tc>
          <w:tcPr>
            <w:tcW w:w="560" w:type="dxa"/>
            <w:vAlign w:val="bottom"/>
            <w:tcBorders>
              <w:bottom w:val="single" w:sz="8" w:color="004054"/>
            </w:tcBorders>
            <w:shd w:val="clear" w:color="auto" w:fill="004054"/>
          </w:tcPr>
          <w:p>
            <w:pPr>
              <w:spacing w:after="0"/>
              <w:rPr>
                <w:sz w:val="5"/>
                <w:szCs w:val="5"/>
                <w:color w:val="auto"/>
              </w:rPr>
            </w:pPr>
          </w:p>
        </w:tc>
        <w:tc>
          <w:tcPr>
            <w:tcW w:w="1100" w:type="dxa"/>
            <w:vAlign w:val="bottom"/>
            <w:tcBorders>
              <w:bottom w:val="single" w:sz="8" w:color="004054"/>
            </w:tcBorders>
            <w:shd w:val="clear" w:color="auto" w:fill="004054"/>
          </w:tcPr>
          <w:p>
            <w:pPr>
              <w:spacing w:after="0"/>
              <w:rPr>
                <w:sz w:val="5"/>
                <w:szCs w:val="5"/>
                <w:color w:val="auto"/>
              </w:rPr>
            </w:pPr>
          </w:p>
        </w:tc>
        <w:tc>
          <w:tcPr>
            <w:tcW w:w="240" w:type="dxa"/>
            <w:vAlign w:val="bottom"/>
            <w:tcBorders>
              <w:bottom w:val="single" w:sz="8" w:color="004054"/>
            </w:tcBorders>
            <w:shd w:val="clear" w:color="auto" w:fill="004054"/>
          </w:tcPr>
          <w:p>
            <w:pPr>
              <w:spacing w:after="0"/>
              <w:rPr>
                <w:sz w:val="5"/>
                <w:szCs w:val="5"/>
                <w:color w:val="auto"/>
              </w:rPr>
            </w:pPr>
          </w:p>
        </w:tc>
        <w:tc>
          <w:tcPr>
            <w:tcW w:w="1420" w:type="dxa"/>
            <w:vAlign w:val="bottom"/>
            <w:tcBorders>
              <w:bottom w:val="single" w:sz="8" w:color="004054"/>
              <w:right w:val="single" w:sz="8" w:color="004054"/>
            </w:tcBorders>
            <w:shd w:val="clear" w:color="auto" w:fill="004054"/>
          </w:tcPr>
          <w:p>
            <w:pPr>
              <w:spacing w:after="0"/>
              <w:rPr>
                <w:sz w:val="5"/>
                <w:szCs w:val="5"/>
                <w:color w:val="auto"/>
              </w:rPr>
            </w:pPr>
          </w:p>
        </w:tc>
        <w:tc>
          <w:tcPr>
            <w:tcW w:w="80" w:type="dxa"/>
            <w:vAlign w:val="bottom"/>
            <w:tcBorders>
              <w:bottom w:val="single" w:sz="8" w:color="EBFBFF"/>
            </w:tcBorders>
          </w:tcPr>
          <w:p>
            <w:pPr>
              <w:spacing w:after="0"/>
              <w:rPr>
                <w:sz w:val="5"/>
                <w:szCs w:val="5"/>
                <w:color w:val="auto"/>
              </w:rPr>
            </w:pPr>
          </w:p>
        </w:tc>
        <w:tc>
          <w:tcPr>
            <w:tcW w:w="560" w:type="dxa"/>
            <w:vAlign w:val="bottom"/>
            <w:tcBorders>
              <w:bottom w:val="single" w:sz="8" w:color="004054"/>
            </w:tcBorders>
            <w:shd w:val="clear" w:color="auto" w:fill="004054"/>
          </w:tcPr>
          <w:p>
            <w:pPr>
              <w:spacing w:after="0"/>
              <w:rPr>
                <w:sz w:val="5"/>
                <w:szCs w:val="5"/>
                <w:color w:val="auto"/>
              </w:rPr>
            </w:pPr>
          </w:p>
        </w:tc>
        <w:tc>
          <w:tcPr>
            <w:tcW w:w="1100" w:type="dxa"/>
            <w:vAlign w:val="bottom"/>
            <w:tcBorders>
              <w:bottom w:val="single" w:sz="8" w:color="004054"/>
            </w:tcBorders>
            <w:shd w:val="clear" w:color="auto" w:fill="004054"/>
          </w:tcPr>
          <w:p>
            <w:pPr>
              <w:spacing w:after="0"/>
              <w:rPr>
                <w:sz w:val="5"/>
                <w:szCs w:val="5"/>
                <w:color w:val="auto"/>
              </w:rPr>
            </w:pPr>
          </w:p>
        </w:tc>
        <w:tc>
          <w:tcPr>
            <w:tcW w:w="280" w:type="dxa"/>
            <w:vAlign w:val="bottom"/>
            <w:tcBorders>
              <w:bottom w:val="single" w:sz="8" w:color="004054"/>
            </w:tcBorders>
            <w:shd w:val="clear" w:color="auto" w:fill="004054"/>
          </w:tcPr>
          <w:p>
            <w:pPr>
              <w:spacing w:after="0"/>
              <w:rPr>
                <w:sz w:val="5"/>
                <w:szCs w:val="5"/>
                <w:color w:val="auto"/>
              </w:rPr>
            </w:pPr>
          </w:p>
        </w:tc>
        <w:tc>
          <w:tcPr>
            <w:tcW w:w="136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r>
      <w:tr>
        <w:trPr>
          <w:trHeight w:val="243"/>
        </w:trPr>
        <w:tc>
          <w:tcPr>
            <w:tcW w:w="454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Social Sector</w:t>
            </w:r>
          </w:p>
        </w:tc>
        <w:tc>
          <w:tcPr>
            <w:tcW w:w="560" w:type="dxa"/>
            <w:vAlign w:val="bottom"/>
            <w:tcBorders>
              <w:bottom w:val="single" w:sz="8" w:color="EBFBFF"/>
            </w:tcBorders>
            <w:shd w:val="clear" w:color="auto" w:fill="EBFBFF"/>
          </w:tcPr>
          <w:p>
            <w:pPr>
              <w:jc w:val="right"/>
              <w:ind w:right="350"/>
              <w:spacing w:after="0" w:line="213" w:lineRule="exact"/>
              <w:rPr>
                <w:sz w:val="20"/>
                <w:szCs w:val="20"/>
                <w:color w:val="auto"/>
              </w:rPr>
            </w:pPr>
            <w:r>
              <w:rPr>
                <w:rFonts w:ascii="Calibri" w:cs="Calibri" w:eastAsia="Calibri" w:hAnsi="Calibri"/>
                <w:sz w:val="18"/>
                <w:szCs w:val="18"/>
                <w:color w:val="51555C"/>
              </w:rPr>
              <w:t>$</w:t>
            </w:r>
          </w:p>
        </w:tc>
        <w:tc>
          <w:tcPr>
            <w:tcW w:w="11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255,210</w:t>
            </w:r>
          </w:p>
        </w:tc>
        <w:tc>
          <w:tcPr>
            <w:tcW w:w="240" w:type="dxa"/>
            <w:vAlign w:val="bottom"/>
            <w:tcBorders>
              <w:bottom w:val="single" w:sz="8" w:color="EBFBFF"/>
            </w:tcBorders>
            <w:shd w:val="clear" w:color="auto" w:fill="EBFBFF"/>
          </w:tcPr>
          <w:p>
            <w:pPr>
              <w:jc w:val="right"/>
              <w:ind w:right="50"/>
              <w:spacing w:after="0" w:line="213" w:lineRule="exact"/>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right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239,512</w:t>
            </w:r>
          </w:p>
        </w:tc>
        <w:tc>
          <w:tcPr>
            <w:tcW w:w="640" w:type="dxa"/>
            <w:vAlign w:val="bottom"/>
            <w:tcBorders>
              <w:bottom w:val="single" w:sz="8" w:color="EBFBFF"/>
            </w:tcBorders>
            <w:gridSpan w:val="2"/>
            <w:shd w:val="clear" w:color="auto" w:fill="EBFBFF"/>
          </w:tcPr>
          <w:p>
            <w:pPr>
              <w:jc w:val="right"/>
              <w:ind w:right="440"/>
              <w:spacing w:after="0" w:line="213" w:lineRule="exact"/>
              <w:rPr>
                <w:sz w:val="20"/>
                <w:szCs w:val="20"/>
                <w:color w:val="auto"/>
              </w:rPr>
            </w:pPr>
            <w:r>
              <w:rPr>
                <w:rFonts w:ascii="Calibri" w:cs="Calibri" w:eastAsia="Calibri" w:hAnsi="Calibri"/>
                <w:sz w:val="18"/>
                <w:szCs w:val="18"/>
                <w:color w:val="51555C"/>
              </w:rPr>
              <w:t>$</w:t>
            </w:r>
          </w:p>
        </w:tc>
        <w:tc>
          <w:tcPr>
            <w:tcW w:w="11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751,818</w:t>
            </w:r>
          </w:p>
        </w:tc>
        <w:tc>
          <w:tcPr>
            <w:tcW w:w="280" w:type="dxa"/>
            <w:vAlign w:val="bottom"/>
            <w:tcBorders>
              <w:bottom w:val="single" w:sz="8" w:color="EBFBFF"/>
            </w:tcBorders>
            <w:shd w:val="clear" w:color="auto" w:fill="EBFBFF"/>
          </w:tcPr>
          <w:p>
            <w:pPr>
              <w:jc w:val="right"/>
              <w:ind w:right="90"/>
              <w:spacing w:after="0" w:line="213" w:lineRule="exact"/>
              <w:rPr>
                <w:sz w:val="20"/>
                <w:szCs w:val="20"/>
                <w:color w:val="auto"/>
              </w:rPr>
            </w:pPr>
            <w:r>
              <w:rPr>
                <w:rFonts w:ascii="Calibri" w:cs="Calibri" w:eastAsia="Calibri" w:hAnsi="Calibri"/>
                <w:sz w:val="18"/>
                <w:szCs w:val="18"/>
                <w:color w:val="51555C"/>
                <w:w w:val="87"/>
              </w:rPr>
              <w:t>$</w:t>
            </w:r>
          </w:p>
        </w:tc>
        <w:tc>
          <w:tcPr>
            <w:tcW w:w="13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696,790</w:t>
            </w:r>
          </w:p>
        </w:tc>
        <w:tc>
          <w:tcPr>
            <w:tcW w:w="20" w:type="dxa"/>
            <w:vAlign w:val="bottom"/>
          </w:tcPr>
          <w:p>
            <w:pPr>
              <w:spacing w:after="0"/>
              <w:rPr>
                <w:sz w:val="21"/>
                <w:szCs w:val="21"/>
                <w:color w:val="auto"/>
              </w:rPr>
            </w:pPr>
          </w:p>
        </w:tc>
      </w:tr>
      <w:tr>
        <w:trPr>
          <w:trHeight w:val="274"/>
        </w:trPr>
        <w:tc>
          <w:tcPr>
            <w:tcW w:w="4540" w:type="dxa"/>
            <w:vAlign w:val="bottom"/>
          </w:tcPr>
          <w:p>
            <w:pPr>
              <w:ind w:left="20"/>
              <w:spacing w:after="0"/>
              <w:rPr>
                <w:sz w:val="20"/>
                <w:szCs w:val="20"/>
                <w:color w:val="auto"/>
              </w:rPr>
            </w:pPr>
            <w:r>
              <w:rPr>
                <w:rFonts w:ascii="Calibri" w:cs="Calibri" w:eastAsia="Calibri" w:hAnsi="Calibri"/>
                <w:sz w:val="18"/>
                <w:szCs w:val="18"/>
                <w:color w:val="51555C"/>
              </w:rPr>
              <w:t>Corporate Sector</w:t>
            </w:r>
          </w:p>
        </w:tc>
        <w:tc>
          <w:tcPr>
            <w:tcW w:w="5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51555C"/>
              </w:rPr>
              <w:t>31,517</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Calibri" w:cs="Calibri" w:eastAsia="Calibri" w:hAnsi="Calibri"/>
                <w:sz w:val="18"/>
                <w:szCs w:val="18"/>
                <w:color w:val="51555C"/>
              </w:rPr>
              <w:t>38,114</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51555C"/>
              </w:rPr>
              <w:t>101,445</w:t>
            </w:r>
          </w:p>
        </w:tc>
        <w:tc>
          <w:tcPr>
            <w:tcW w:w="2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color w:val="51555C"/>
              </w:rPr>
              <w:t>113,631</w:t>
            </w:r>
          </w:p>
        </w:tc>
        <w:tc>
          <w:tcPr>
            <w:tcW w:w="20" w:type="dxa"/>
            <w:vAlign w:val="bottom"/>
          </w:tcPr>
          <w:p>
            <w:pPr>
              <w:spacing w:after="0"/>
              <w:rPr>
                <w:sz w:val="23"/>
                <w:szCs w:val="23"/>
                <w:color w:val="auto"/>
              </w:rPr>
            </w:pPr>
          </w:p>
        </w:tc>
      </w:tr>
      <w:tr>
        <w:trPr>
          <w:trHeight w:val="50"/>
        </w:trPr>
        <w:tc>
          <w:tcPr>
            <w:tcW w:w="4540" w:type="dxa"/>
            <w:vAlign w:val="bottom"/>
            <w:tcBorders>
              <w:bottom w:val="single" w:sz="8" w:color="EBFBFF"/>
            </w:tcBorders>
          </w:tcPr>
          <w:p>
            <w:pPr>
              <w:spacing w:after="0"/>
              <w:rPr>
                <w:sz w:val="4"/>
                <w:szCs w:val="4"/>
                <w:color w:val="auto"/>
              </w:rPr>
            </w:pPr>
          </w:p>
        </w:tc>
        <w:tc>
          <w:tcPr>
            <w:tcW w:w="560" w:type="dxa"/>
            <w:vAlign w:val="bottom"/>
            <w:tcBorders>
              <w:bottom w:val="single" w:sz="8" w:color="51555C"/>
            </w:tcBorders>
          </w:tcPr>
          <w:p>
            <w:pPr>
              <w:spacing w:after="0"/>
              <w:rPr>
                <w:sz w:val="4"/>
                <w:szCs w:val="4"/>
                <w:color w:val="auto"/>
              </w:rPr>
            </w:pPr>
          </w:p>
        </w:tc>
        <w:tc>
          <w:tcPr>
            <w:tcW w:w="1100" w:type="dxa"/>
            <w:vAlign w:val="bottom"/>
            <w:tcBorders>
              <w:bottom w:val="single" w:sz="8" w:color="51555C"/>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420" w:type="dxa"/>
            <w:vAlign w:val="bottom"/>
            <w:tcBorders>
              <w:bottom w:val="single" w:sz="8" w:color="51555C"/>
            </w:tcBorders>
          </w:tcPr>
          <w:p>
            <w:pPr>
              <w:spacing w:after="0"/>
              <w:rPr>
                <w:sz w:val="4"/>
                <w:szCs w:val="4"/>
                <w:color w:val="auto"/>
              </w:rPr>
            </w:pPr>
          </w:p>
        </w:tc>
        <w:tc>
          <w:tcPr>
            <w:tcW w:w="80" w:type="dxa"/>
            <w:vAlign w:val="bottom"/>
            <w:tcBorders>
              <w:bottom w:val="single" w:sz="8" w:color="EBFBFF"/>
            </w:tcBorders>
          </w:tcPr>
          <w:p>
            <w:pPr>
              <w:spacing w:after="0"/>
              <w:rPr>
                <w:sz w:val="4"/>
                <w:szCs w:val="4"/>
                <w:color w:val="auto"/>
              </w:rPr>
            </w:pPr>
          </w:p>
        </w:tc>
        <w:tc>
          <w:tcPr>
            <w:tcW w:w="560" w:type="dxa"/>
            <w:vAlign w:val="bottom"/>
            <w:tcBorders>
              <w:bottom w:val="single" w:sz="8" w:color="51555C"/>
            </w:tcBorders>
          </w:tcPr>
          <w:p>
            <w:pPr>
              <w:spacing w:after="0"/>
              <w:rPr>
                <w:sz w:val="4"/>
                <w:szCs w:val="4"/>
                <w:color w:val="auto"/>
              </w:rPr>
            </w:pPr>
          </w:p>
        </w:tc>
        <w:tc>
          <w:tcPr>
            <w:tcW w:w="1100" w:type="dxa"/>
            <w:vAlign w:val="bottom"/>
            <w:tcBorders>
              <w:bottom w:val="single" w:sz="8" w:color="51555C"/>
            </w:tcBorders>
          </w:tcPr>
          <w:p>
            <w:pPr>
              <w:spacing w:after="0"/>
              <w:rPr>
                <w:sz w:val="4"/>
                <w:szCs w:val="4"/>
                <w:color w:val="auto"/>
              </w:rPr>
            </w:pPr>
          </w:p>
        </w:tc>
        <w:tc>
          <w:tcPr>
            <w:tcW w:w="280" w:type="dxa"/>
            <w:vAlign w:val="bottom"/>
            <w:tcBorders>
              <w:bottom w:val="single" w:sz="8" w:color="51555C"/>
            </w:tcBorders>
          </w:tcPr>
          <w:p>
            <w:pPr>
              <w:spacing w:after="0"/>
              <w:rPr>
                <w:sz w:val="4"/>
                <w:szCs w:val="4"/>
                <w:color w:val="auto"/>
              </w:rPr>
            </w:pPr>
          </w:p>
        </w:tc>
        <w:tc>
          <w:tcPr>
            <w:tcW w:w="13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454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Total revenue</w:t>
            </w:r>
          </w:p>
        </w:tc>
        <w:tc>
          <w:tcPr>
            <w:tcW w:w="560" w:type="dxa"/>
            <w:vAlign w:val="bottom"/>
            <w:tcBorders>
              <w:bottom w:val="single" w:sz="8" w:color="EBFBFF"/>
            </w:tcBorders>
            <w:shd w:val="clear" w:color="auto" w:fill="EBFBFF"/>
          </w:tcPr>
          <w:p>
            <w:pPr>
              <w:jc w:val="right"/>
              <w:ind w:right="350"/>
              <w:spacing w:after="0" w:line="213" w:lineRule="exact"/>
              <w:rPr>
                <w:sz w:val="20"/>
                <w:szCs w:val="20"/>
                <w:color w:val="auto"/>
              </w:rPr>
            </w:pPr>
            <w:r>
              <w:rPr>
                <w:rFonts w:ascii="Calibri" w:cs="Calibri" w:eastAsia="Calibri" w:hAnsi="Calibri"/>
                <w:sz w:val="18"/>
                <w:szCs w:val="18"/>
                <w:color w:val="51555C"/>
              </w:rPr>
              <w:t>$</w:t>
            </w:r>
          </w:p>
        </w:tc>
        <w:tc>
          <w:tcPr>
            <w:tcW w:w="11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286,727</w:t>
            </w:r>
          </w:p>
        </w:tc>
        <w:tc>
          <w:tcPr>
            <w:tcW w:w="240" w:type="dxa"/>
            <w:vAlign w:val="bottom"/>
            <w:tcBorders>
              <w:bottom w:val="single" w:sz="8" w:color="EBFBFF"/>
            </w:tcBorders>
            <w:shd w:val="clear" w:color="auto" w:fill="EBFBFF"/>
          </w:tcPr>
          <w:p>
            <w:pPr>
              <w:jc w:val="right"/>
              <w:ind w:right="50"/>
              <w:spacing w:after="0" w:line="213" w:lineRule="exact"/>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right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277,626</w:t>
            </w:r>
          </w:p>
        </w:tc>
        <w:tc>
          <w:tcPr>
            <w:tcW w:w="640" w:type="dxa"/>
            <w:vAlign w:val="bottom"/>
            <w:tcBorders>
              <w:bottom w:val="single" w:sz="8" w:color="EBFBFF"/>
            </w:tcBorders>
            <w:gridSpan w:val="2"/>
            <w:shd w:val="clear" w:color="auto" w:fill="EBFBFF"/>
          </w:tcPr>
          <w:p>
            <w:pPr>
              <w:jc w:val="right"/>
              <w:ind w:right="440"/>
              <w:spacing w:after="0" w:line="213" w:lineRule="exact"/>
              <w:rPr>
                <w:sz w:val="20"/>
                <w:szCs w:val="20"/>
                <w:color w:val="auto"/>
              </w:rPr>
            </w:pPr>
            <w:r>
              <w:rPr>
                <w:rFonts w:ascii="Calibri" w:cs="Calibri" w:eastAsia="Calibri" w:hAnsi="Calibri"/>
                <w:sz w:val="18"/>
                <w:szCs w:val="18"/>
                <w:color w:val="51555C"/>
              </w:rPr>
              <w:t>$</w:t>
            </w:r>
          </w:p>
        </w:tc>
        <w:tc>
          <w:tcPr>
            <w:tcW w:w="11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853,263</w:t>
            </w:r>
          </w:p>
        </w:tc>
        <w:tc>
          <w:tcPr>
            <w:tcW w:w="280" w:type="dxa"/>
            <w:vAlign w:val="bottom"/>
            <w:tcBorders>
              <w:bottom w:val="single" w:sz="8" w:color="EBFBFF"/>
            </w:tcBorders>
            <w:shd w:val="clear" w:color="auto" w:fill="EBFBFF"/>
          </w:tcPr>
          <w:p>
            <w:pPr>
              <w:jc w:val="right"/>
              <w:ind w:right="90"/>
              <w:spacing w:after="0" w:line="213" w:lineRule="exact"/>
              <w:rPr>
                <w:sz w:val="20"/>
                <w:szCs w:val="20"/>
                <w:color w:val="auto"/>
              </w:rPr>
            </w:pPr>
            <w:r>
              <w:rPr>
                <w:rFonts w:ascii="Calibri" w:cs="Calibri" w:eastAsia="Calibri" w:hAnsi="Calibri"/>
                <w:sz w:val="18"/>
                <w:szCs w:val="18"/>
                <w:color w:val="51555C"/>
                <w:w w:val="87"/>
              </w:rPr>
              <w:t>$</w:t>
            </w:r>
          </w:p>
        </w:tc>
        <w:tc>
          <w:tcPr>
            <w:tcW w:w="13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810,421</w:t>
            </w:r>
          </w:p>
        </w:tc>
        <w:tc>
          <w:tcPr>
            <w:tcW w:w="20" w:type="dxa"/>
            <w:vAlign w:val="bottom"/>
          </w:tcPr>
          <w:p>
            <w:pPr>
              <w:spacing w:after="0"/>
              <w:rPr>
                <w:sz w:val="22"/>
                <w:szCs w:val="22"/>
                <w:color w:val="auto"/>
              </w:rPr>
            </w:pPr>
          </w:p>
        </w:tc>
      </w:tr>
      <w:tr>
        <w:trPr>
          <w:trHeight w:val="429"/>
        </w:trPr>
        <w:tc>
          <w:tcPr>
            <w:tcW w:w="4540" w:type="dxa"/>
            <w:vAlign w:val="bottom"/>
            <w:tcBorders>
              <w:top w:val="single" w:sz="8" w:color="0CD973"/>
            </w:tcBorders>
          </w:tcPr>
          <w:p>
            <w:pPr>
              <w:spacing w:after="0"/>
              <w:rPr>
                <w:sz w:val="20"/>
                <w:szCs w:val="20"/>
                <w:color w:val="auto"/>
              </w:rPr>
            </w:pPr>
            <w:r>
              <w:rPr>
                <w:rFonts w:ascii="Calibri" w:cs="Calibri" w:eastAsia="Calibri" w:hAnsi="Calibri"/>
                <w:sz w:val="18"/>
                <w:szCs w:val="18"/>
                <w:color w:val="51555C"/>
              </w:rPr>
              <w:t>The following table presents our recurring revenue by type:</w:t>
            </w:r>
          </w:p>
        </w:tc>
        <w:tc>
          <w:tcPr>
            <w:tcW w:w="560" w:type="dxa"/>
            <w:vAlign w:val="bottom"/>
            <w:tcBorders>
              <w:top w:val="single" w:sz="8" w:color="0CD973"/>
            </w:tcBorders>
          </w:tcPr>
          <w:p>
            <w:pPr>
              <w:spacing w:after="0"/>
              <w:rPr>
                <w:sz w:val="24"/>
                <w:szCs w:val="24"/>
                <w:color w:val="auto"/>
              </w:rPr>
            </w:pPr>
          </w:p>
        </w:tc>
        <w:tc>
          <w:tcPr>
            <w:tcW w:w="1100" w:type="dxa"/>
            <w:vAlign w:val="bottom"/>
            <w:tcBorders>
              <w:top w:val="single" w:sz="8" w:color="0CD973"/>
            </w:tcBorders>
          </w:tcPr>
          <w:p>
            <w:pPr>
              <w:spacing w:after="0"/>
              <w:rPr>
                <w:sz w:val="24"/>
                <w:szCs w:val="24"/>
                <w:color w:val="auto"/>
              </w:rPr>
            </w:pPr>
          </w:p>
        </w:tc>
        <w:tc>
          <w:tcPr>
            <w:tcW w:w="240" w:type="dxa"/>
            <w:vAlign w:val="bottom"/>
            <w:tcBorders>
              <w:top w:val="single" w:sz="8" w:color="0CD973"/>
            </w:tcBorders>
          </w:tcPr>
          <w:p>
            <w:pPr>
              <w:spacing w:after="0"/>
              <w:rPr>
                <w:sz w:val="24"/>
                <w:szCs w:val="24"/>
                <w:color w:val="auto"/>
              </w:rPr>
            </w:pPr>
          </w:p>
        </w:tc>
        <w:tc>
          <w:tcPr>
            <w:tcW w:w="1420" w:type="dxa"/>
            <w:vAlign w:val="bottom"/>
            <w:tcBorders>
              <w:top w:val="single" w:sz="8" w:color="0CD973"/>
            </w:tcBorders>
          </w:tcPr>
          <w:p>
            <w:pPr>
              <w:spacing w:after="0"/>
              <w:rPr>
                <w:sz w:val="24"/>
                <w:szCs w:val="24"/>
                <w:color w:val="auto"/>
              </w:rPr>
            </w:pPr>
          </w:p>
        </w:tc>
        <w:tc>
          <w:tcPr>
            <w:tcW w:w="80" w:type="dxa"/>
            <w:vAlign w:val="bottom"/>
            <w:tcBorders>
              <w:top w:val="single" w:sz="8" w:color="0CD973"/>
            </w:tcBorders>
          </w:tcPr>
          <w:p>
            <w:pPr>
              <w:spacing w:after="0"/>
              <w:rPr>
                <w:sz w:val="24"/>
                <w:szCs w:val="24"/>
                <w:color w:val="auto"/>
              </w:rPr>
            </w:pPr>
          </w:p>
        </w:tc>
        <w:tc>
          <w:tcPr>
            <w:tcW w:w="560" w:type="dxa"/>
            <w:vAlign w:val="bottom"/>
            <w:tcBorders>
              <w:top w:val="single" w:sz="8" w:color="0CD973"/>
            </w:tcBorders>
          </w:tcPr>
          <w:p>
            <w:pPr>
              <w:spacing w:after="0"/>
              <w:rPr>
                <w:sz w:val="24"/>
                <w:szCs w:val="24"/>
                <w:color w:val="auto"/>
              </w:rPr>
            </w:pPr>
          </w:p>
        </w:tc>
        <w:tc>
          <w:tcPr>
            <w:tcW w:w="1100" w:type="dxa"/>
            <w:vAlign w:val="bottom"/>
            <w:tcBorders>
              <w:top w:val="single" w:sz="8" w:color="0CD973"/>
            </w:tcBorders>
          </w:tcPr>
          <w:p>
            <w:pPr>
              <w:spacing w:after="0"/>
              <w:rPr>
                <w:sz w:val="24"/>
                <w:szCs w:val="24"/>
                <w:color w:val="auto"/>
              </w:rPr>
            </w:pPr>
          </w:p>
        </w:tc>
        <w:tc>
          <w:tcPr>
            <w:tcW w:w="280" w:type="dxa"/>
            <w:vAlign w:val="bottom"/>
            <w:tcBorders>
              <w:top w:val="single" w:sz="8" w:color="0CD973"/>
            </w:tcBorders>
          </w:tcPr>
          <w:p>
            <w:pPr>
              <w:spacing w:after="0"/>
              <w:rPr>
                <w:sz w:val="24"/>
                <w:szCs w:val="24"/>
                <w:color w:val="auto"/>
              </w:rPr>
            </w:pPr>
          </w:p>
        </w:tc>
        <w:tc>
          <w:tcPr>
            <w:tcW w:w="136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4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3"/>
        </w:trPr>
        <w:tc>
          <w:tcPr>
            <w:tcW w:w="4540" w:type="dxa"/>
            <w:vAlign w:val="bottom"/>
            <w:shd w:val="clear" w:color="auto" w:fill="004054"/>
          </w:tcPr>
          <w:p>
            <w:pPr>
              <w:spacing w:after="0"/>
              <w:rPr>
                <w:sz w:val="15"/>
                <w:szCs w:val="15"/>
                <w:color w:val="auto"/>
              </w:rPr>
            </w:pPr>
          </w:p>
        </w:tc>
        <w:tc>
          <w:tcPr>
            <w:tcW w:w="560" w:type="dxa"/>
            <w:vAlign w:val="bottom"/>
            <w:shd w:val="clear" w:color="auto" w:fill="004054"/>
          </w:tcPr>
          <w:p>
            <w:pPr>
              <w:spacing w:after="0"/>
              <w:rPr>
                <w:sz w:val="15"/>
                <w:szCs w:val="15"/>
                <w:color w:val="auto"/>
              </w:rPr>
            </w:pPr>
          </w:p>
        </w:tc>
        <w:tc>
          <w:tcPr>
            <w:tcW w:w="1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42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Three months ended</w:t>
            </w:r>
          </w:p>
        </w:tc>
        <w:tc>
          <w:tcPr>
            <w:tcW w:w="80" w:type="dxa"/>
            <w:vAlign w:val="bottom"/>
          </w:tcPr>
          <w:p>
            <w:pPr>
              <w:spacing w:after="0"/>
              <w:rPr>
                <w:sz w:val="15"/>
                <w:szCs w:val="15"/>
                <w:color w:val="auto"/>
              </w:rPr>
            </w:pPr>
          </w:p>
        </w:tc>
        <w:tc>
          <w:tcPr>
            <w:tcW w:w="560" w:type="dxa"/>
            <w:vAlign w:val="bottom"/>
            <w:shd w:val="clear" w:color="auto" w:fill="004054"/>
          </w:tcPr>
          <w:p>
            <w:pPr>
              <w:spacing w:after="0"/>
              <w:rPr>
                <w:sz w:val="15"/>
                <w:szCs w:val="15"/>
                <w:color w:val="auto"/>
              </w:rPr>
            </w:pPr>
          </w:p>
        </w:tc>
        <w:tc>
          <w:tcPr>
            <w:tcW w:w="1100" w:type="dxa"/>
            <w:vAlign w:val="bottom"/>
            <w:shd w:val="clear" w:color="auto" w:fill="004054"/>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c>
          <w:tcPr>
            <w:tcW w:w="20" w:type="dxa"/>
            <w:vAlign w:val="bottom"/>
            <w:shd w:val="clear" w:color="auto" w:fill="004054"/>
          </w:tcPr>
          <w:p>
            <w:pPr>
              <w:spacing w:after="0"/>
              <w:rPr>
                <w:sz w:val="15"/>
                <w:szCs w:val="15"/>
                <w:color w:val="auto"/>
              </w:rPr>
            </w:pPr>
          </w:p>
        </w:tc>
      </w:tr>
      <w:tr>
        <w:trPr>
          <w:trHeight w:val="176"/>
        </w:trPr>
        <w:tc>
          <w:tcPr>
            <w:tcW w:w="4540" w:type="dxa"/>
            <w:vAlign w:val="bottom"/>
            <w:shd w:val="clear" w:color="auto" w:fill="004054"/>
          </w:tcPr>
          <w:p>
            <w:pPr>
              <w:spacing w:after="0"/>
              <w:rPr>
                <w:sz w:val="15"/>
                <w:szCs w:val="15"/>
                <w:color w:val="auto"/>
              </w:rPr>
            </w:pPr>
          </w:p>
        </w:tc>
        <w:tc>
          <w:tcPr>
            <w:tcW w:w="560" w:type="dxa"/>
            <w:vAlign w:val="bottom"/>
            <w:shd w:val="clear" w:color="auto" w:fill="004054"/>
          </w:tcPr>
          <w:p>
            <w:pPr>
              <w:spacing w:after="0"/>
              <w:rPr>
                <w:sz w:val="15"/>
                <w:szCs w:val="15"/>
                <w:color w:val="auto"/>
              </w:rPr>
            </w:pPr>
          </w:p>
        </w:tc>
        <w:tc>
          <w:tcPr>
            <w:tcW w:w="1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42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80" w:type="dxa"/>
            <w:vAlign w:val="bottom"/>
          </w:tcPr>
          <w:p>
            <w:pPr>
              <w:spacing w:after="0"/>
              <w:rPr>
                <w:sz w:val="15"/>
                <w:szCs w:val="15"/>
                <w:color w:val="auto"/>
              </w:rPr>
            </w:pPr>
          </w:p>
        </w:tc>
        <w:tc>
          <w:tcPr>
            <w:tcW w:w="560" w:type="dxa"/>
            <w:vAlign w:val="bottom"/>
            <w:shd w:val="clear" w:color="auto" w:fill="004054"/>
          </w:tcPr>
          <w:p>
            <w:pPr>
              <w:spacing w:after="0"/>
              <w:rPr>
                <w:sz w:val="15"/>
                <w:szCs w:val="15"/>
                <w:color w:val="auto"/>
              </w:rPr>
            </w:pPr>
          </w:p>
        </w:tc>
        <w:tc>
          <w:tcPr>
            <w:tcW w:w="1100" w:type="dxa"/>
            <w:vAlign w:val="bottom"/>
            <w:shd w:val="clear" w:color="auto" w:fill="004054"/>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20" w:type="dxa"/>
            <w:vAlign w:val="bottom"/>
            <w:shd w:val="clear" w:color="auto" w:fill="004054"/>
          </w:tcPr>
          <w:p>
            <w:pPr>
              <w:spacing w:after="0"/>
              <w:rPr>
                <w:sz w:val="15"/>
                <w:szCs w:val="15"/>
                <w:color w:val="auto"/>
              </w:rPr>
            </w:pPr>
          </w:p>
        </w:tc>
      </w:tr>
      <w:tr>
        <w:trPr>
          <w:trHeight w:val="243"/>
        </w:trPr>
        <w:tc>
          <w:tcPr>
            <w:tcW w:w="45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60" w:type="dxa"/>
            <w:vAlign w:val="bottom"/>
            <w:shd w:val="clear" w:color="auto" w:fill="004054"/>
          </w:tcPr>
          <w:p>
            <w:pPr>
              <w:spacing w:after="0"/>
              <w:rPr>
                <w:sz w:val="21"/>
                <w:szCs w:val="21"/>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40" w:type="dxa"/>
            <w:vAlign w:val="bottom"/>
            <w:shd w:val="clear" w:color="auto" w:fill="004054"/>
          </w:tcPr>
          <w:p>
            <w:pPr>
              <w:spacing w:after="0"/>
              <w:rPr>
                <w:sz w:val="21"/>
                <w:szCs w:val="21"/>
                <w:color w:val="auto"/>
              </w:rPr>
            </w:pPr>
          </w:p>
        </w:tc>
        <w:tc>
          <w:tcPr>
            <w:tcW w:w="142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80" w:type="dxa"/>
            <w:vAlign w:val="bottom"/>
          </w:tcPr>
          <w:p>
            <w:pPr>
              <w:spacing w:after="0"/>
              <w:rPr>
                <w:sz w:val="21"/>
                <w:szCs w:val="21"/>
                <w:color w:val="auto"/>
              </w:rPr>
            </w:pPr>
          </w:p>
        </w:tc>
        <w:tc>
          <w:tcPr>
            <w:tcW w:w="560" w:type="dxa"/>
            <w:vAlign w:val="bottom"/>
            <w:shd w:val="clear" w:color="auto" w:fill="004054"/>
          </w:tcPr>
          <w:p>
            <w:pPr>
              <w:spacing w:after="0"/>
              <w:rPr>
                <w:sz w:val="21"/>
                <w:szCs w:val="21"/>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80" w:type="dxa"/>
            <w:vAlign w:val="bottom"/>
            <w:shd w:val="clear" w:color="auto" w:fill="004054"/>
          </w:tcPr>
          <w:p>
            <w:pPr>
              <w:spacing w:after="0"/>
              <w:rPr>
                <w:sz w:val="21"/>
                <w:szCs w:val="21"/>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21"/>
                <w:szCs w:val="21"/>
                <w:color w:val="auto"/>
              </w:rPr>
            </w:pPr>
          </w:p>
        </w:tc>
      </w:tr>
      <w:tr>
        <w:trPr>
          <w:trHeight w:val="60"/>
        </w:trPr>
        <w:tc>
          <w:tcPr>
            <w:tcW w:w="4540" w:type="dxa"/>
            <w:vAlign w:val="bottom"/>
            <w:tcBorders>
              <w:bottom w:val="single" w:sz="8" w:color="004054"/>
            </w:tcBorders>
            <w:shd w:val="clear" w:color="auto" w:fill="004054"/>
          </w:tcPr>
          <w:p>
            <w:pPr>
              <w:spacing w:after="0"/>
              <w:rPr>
                <w:sz w:val="5"/>
                <w:szCs w:val="5"/>
                <w:color w:val="auto"/>
              </w:rPr>
            </w:pPr>
          </w:p>
        </w:tc>
        <w:tc>
          <w:tcPr>
            <w:tcW w:w="560" w:type="dxa"/>
            <w:vAlign w:val="bottom"/>
            <w:tcBorders>
              <w:bottom w:val="single" w:sz="8" w:color="004054"/>
            </w:tcBorders>
            <w:shd w:val="clear" w:color="auto" w:fill="004054"/>
          </w:tcPr>
          <w:p>
            <w:pPr>
              <w:spacing w:after="0"/>
              <w:rPr>
                <w:sz w:val="5"/>
                <w:szCs w:val="5"/>
                <w:color w:val="auto"/>
              </w:rPr>
            </w:pPr>
          </w:p>
        </w:tc>
        <w:tc>
          <w:tcPr>
            <w:tcW w:w="1100" w:type="dxa"/>
            <w:vAlign w:val="bottom"/>
            <w:tcBorders>
              <w:bottom w:val="single" w:sz="8" w:color="004054"/>
            </w:tcBorders>
            <w:shd w:val="clear" w:color="auto" w:fill="004054"/>
          </w:tcPr>
          <w:p>
            <w:pPr>
              <w:spacing w:after="0"/>
              <w:rPr>
                <w:sz w:val="5"/>
                <w:szCs w:val="5"/>
                <w:color w:val="auto"/>
              </w:rPr>
            </w:pPr>
          </w:p>
        </w:tc>
        <w:tc>
          <w:tcPr>
            <w:tcW w:w="240" w:type="dxa"/>
            <w:vAlign w:val="bottom"/>
            <w:tcBorders>
              <w:bottom w:val="single" w:sz="8" w:color="004054"/>
            </w:tcBorders>
            <w:shd w:val="clear" w:color="auto" w:fill="004054"/>
          </w:tcPr>
          <w:p>
            <w:pPr>
              <w:spacing w:after="0"/>
              <w:rPr>
                <w:sz w:val="5"/>
                <w:szCs w:val="5"/>
                <w:color w:val="auto"/>
              </w:rPr>
            </w:pPr>
          </w:p>
        </w:tc>
        <w:tc>
          <w:tcPr>
            <w:tcW w:w="1420" w:type="dxa"/>
            <w:vAlign w:val="bottom"/>
            <w:tcBorders>
              <w:bottom w:val="single" w:sz="8" w:color="004054"/>
              <w:right w:val="single" w:sz="8" w:color="004054"/>
            </w:tcBorders>
            <w:shd w:val="clear" w:color="auto" w:fill="004054"/>
          </w:tcPr>
          <w:p>
            <w:pPr>
              <w:spacing w:after="0"/>
              <w:rPr>
                <w:sz w:val="5"/>
                <w:szCs w:val="5"/>
                <w:color w:val="auto"/>
              </w:rPr>
            </w:pPr>
          </w:p>
        </w:tc>
        <w:tc>
          <w:tcPr>
            <w:tcW w:w="80" w:type="dxa"/>
            <w:vAlign w:val="bottom"/>
            <w:tcBorders>
              <w:bottom w:val="single" w:sz="8" w:color="EBFBFF"/>
            </w:tcBorders>
          </w:tcPr>
          <w:p>
            <w:pPr>
              <w:spacing w:after="0"/>
              <w:rPr>
                <w:sz w:val="5"/>
                <w:szCs w:val="5"/>
                <w:color w:val="auto"/>
              </w:rPr>
            </w:pPr>
          </w:p>
        </w:tc>
        <w:tc>
          <w:tcPr>
            <w:tcW w:w="560" w:type="dxa"/>
            <w:vAlign w:val="bottom"/>
            <w:tcBorders>
              <w:bottom w:val="single" w:sz="8" w:color="004054"/>
            </w:tcBorders>
            <w:shd w:val="clear" w:color="auto" w:fill="004054"/>
          </w:tcPr>
          <w:p>
            <w:pPr>
              <w:spacing w:after="0"/>
              <w:rPr>
                <w:sz w:val="5"/>
                <w:szCs w:val="5"/>
                <w:color w:val="auto"/>
              </w:rPr>
            </w:pPr>
          </w:p>
        </w:tc>
        <w:tc>
          <w:tcPr>
            <w:tcW w:w="1100" w:type="dxa"/>
            <w:vAlign w:val="bottom"/>
            <w:tcBorders>
              <w:bottom w:val="single" w:sz="8" w:color="004054"/>
            </w:tcBorders>
            <w:shd w:val="clear" w:color="auto" w:fill="004054"/>
          </w:tcPr>
          <w:p>
            <w:pPr>
              <w:spacing w:after="0"/>
              <w:rPr>
                <w:sz w:val="5"/>
                <w:szCs w:val="5"/>
                <w:color w:val="auto"/>
              </w:rPr>
            </w:pPr>
          </w:p>
        </w:tc>
        <w:tc>
          <w:tcPr>
            <w:tcW w:w="280" w:type="dxa"/>
            <w:vAlign w:val="bottom"/>
            <w:tcBorders>
              <w:bottom w:val="single" w:sz="8" w:color="004054"/>
            </w:tcBorders>
            <w:shd w:val="clear" w:color="auto" w:fill="004054"/>
          </w:tcPr>
          <w:p>
            <w:pPr>
              <w:spacing w:after="0"/>
              <w:rPr>
                <w:sz w:val="5"/>
                <w:szCs w:val="5"/>
                <w:color w:val="auto"/>
              </w:rPr>
            </w:pPr>
          </w:p>
        </w:tc>
        <w:tc>
          <w:tcPr>
            <w:tcW w:w="136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r>
      <w:tr>
        <w:trPr>
          <w:trHeight w:val="243"/>
        </w:trPr>
        <w:tc>
          <w:tcPr>
            <w:tcW w:w="454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Contractual recurring</w:t>
            </w:r>
          </w:p>
        </w:tc>
        <w:tc>
          <w:tcPr>
            <w:tcW w:w="560" w:type="dxa"/>
            <w:vAlign w:val="bottom"/>
            <w:tcBorders>
              <w:bottom w:val="single" w:sz="8" w:color="EBFBFF"/>
            </w:tcBorders>
            <w:shd w:val="clear" w:color="auto" w:fill="EBFBFF"/>
          </w:tcPr>
          <w:p>
            <w:pPr>
              <w:jc w:val="right"/>
              <w:ind w:right="350"/>
              <w:spacing w:after="0" w:line="213" w:lineRule="exact"/>
              <w:rPr>
                <w:sz w:val="20"/>
                <w:szCs w:val="20"/>
                <w:color w:val="auto"/>
              </w:rPr>
            </w:pPr>
            <w:r>
              <w:rPr>
                <w:rFonts w:ascii="Calibri" w:cs="Calibri" w:eastAsia="Calibri" w:hAnsi="Calibri"/>
                <w:sz w:val="18"/>
                <w:szCs w:val="18"/>
                <w:color w:val="51555C"/>
              </w:rPr>
              <w:t>$</w:t>
            </w:r>
          </w:p>
        </w:tc>
        <w:tc>
          <w:tcPr>
            <w:tcW w:w="11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194,798</w:t>
            </w:r>
          </w:p>
        </w:tc>
        <w:tc>
          <w:tcPr>
            <w:tcW w:w="240" w:type="dxa"/>
            <w:vAlign w:val="bottom"/>
            <w:tcBorders>
              <w:bottom w:val="single" w:sz="8" w:color="EBFBFF"/>
            </w:tcBorders>
            <w:shd w:val="clear" w:color="auto" w:fill="EBFBFF"/>
          </w:tcPr>
          <w:p>
            <w:pPr>
              <w:jc w:val="right"/>
              <w:ind w:right="50"/>
              <w:spacing w:after="0" w:line="213" w:lineRule="exact"/>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right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189,174</w:t>
            </w:r>
          </w:p>
        </w:tc>
        <w:tc>
          <w:tcPr>
            <w:tcW w:w="640" w:type="dxa"/>
            <w:vAlign w:val="bottom"/>
            <w:tcBorders>
              <w:bottom w:val="single" w:sz="8" w:color="EBFBFF"/>
            </w:tcBorders>
            <w:gridSpan w:val="2"/>
            <w:shd w:val="clear" w:color="auto" w:fill="EBFBFF"/>
          </w:tcPr>
          <w:p>
            <w:pPr>
              <w:jc w:val="right"/>
              <w:ind w:right="440"/>
              <w:spacing w:after="0" w:line="213" w:lineRule="exact"/>
              <w:rPr>
                <w:sz w:val="20"/>
                <w:szCs w:val="20"/>
                <w:color w:val="auto"/>
              </w:rPr>
            </w:pPr>
            <w:r>
              <w:rPr>
                <w:rFonts w:ascii="Calibri" w:cs="Calibri" w:eastAsia="Calibri" w:hAnsi="Calibri"/>
                <w:sz w:val="18"/>
                <w:szCs w:val="18"/>
                <w:color w:val="51555C"/>
              </w:rPr>
              <w:t>$</w:t>
            </w:r>
          </w:p>
        </w:tc>
        <w:tc>
          <w:tcPr>
            <w:tcW w:w="11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579,195</w:t>
            </w:r>
          </w:p>
        </w:tc>
        <w:tc>
          <w:tcPr>
            <w:tcW w:w="280" w:type="dxa"/>
            <w:vAlign w:val="bottom"/>
            <w:tcBorders>
              <w:bottom w:val="single" w:sz="8" w:color="EBFBFF"/>
            </w:tcBorders>
            <w:shd w:val="clear" w:color="auto" w:fill="EBFBFF"/>
          </w:tcPr>
          <w:p>
            <w:pPr>
              <w:jc w:val="right"/>
              <w:ind w:right="90"/>
              <w:spacing w:after="0" w:line="213" w:lineRule="exact"/>
              <w:rPr>
                <w:sz w:val="20"/>
                <w:szCs w:val="20"/>
                <w:color w:val="auto"/>
              </w:rPr>
            </w:pPr>
            <w:r>
              <w:rPr>
                <w:rFonts w:ascii="Calibri" w:cs="Calibri" w:eastAsia="Calibri" w:hAnsi="Calibri"/>
                <w:sz w:val="18"/>
                <w:szCs w:val="18"/>
                <w:color w:val="51555C"/>
                <w:w w:val="87"/>
              </w:rPr>
              <w:t>$</w:t>
            </w:r>
          </w:p>
        </w:tc>
        <w:tc>
          <w:tcPr>
            <w:tcW w:w="13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548,012</w:t>
            </w:r>
          </w:p>
        </w:tc>
        <w:tc>
          <w:tcPr>
            <w:tcW w:w="20" w:type="dxa"/>
            <w:vAlign w:val="bottom"/>
          </w:tcPr>
          <w:p>
            <w:pPr>
              <w:spacing w:after="0"/>
              <w:rPr>
                <w:sz w:val="21"/>
                <w:szCs w:val="21"/>
                <w:color w:val="auto"/>
              </w:rPr>
            </w:pPr>
          </w:p>
        </w:tc>
      </w:tr>
      <w:tr>
        <w:trPr>
          <w:trHeight w:val="220"/>
        </w:trPr>
        <w:tc>
          <w:tcPr>
            <w:tcW w:w="4540" w:type="dxa"/>
            <w:vAlign w:val="bottom"/>
          </w:tcPr>
          <w:p>
            <w:pPr>
              <w:ind w:left="20"/>
              <w:spacing w:after="0"/>
              <w:rPr>
                <w:sz w:val="20"/>
                <w:szCs w:val="20"/>
                <w:color w:val="auto"/>
              </w:rPr>
            </w:pPr>
            <w:r>
              <w:rPr>
                <w:rFonts w:ascii="Calibri" w:cs="Calibri" w:eastAsia="Calibri" w:hAnsi="Calibri"/>
                <w:sz w:val="18"/>
                <w:szCs w:val="18"/>
                <w:color w:val="51555C"/>
              </w:rPr>
              <w:t>Transactonal recurring</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51555C"/>
              </w:rPr>
              <w:t>85,220</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Calibri" w:cs="Calibri" w:eastAsia="Calibri" w:hAnsi="Calibri"/>
                <w:sz w:val="18"/>
                <w:szCs w:val="18"/>
                <w:color w:val="51555C"/>
              </w:rPr>
              <w:t>79,827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Calibri" w:cs="Calibri" w:eastAsia="Calibri" w:hAnsi="Calibri"/>
                <w:sz w:val="18"/>
                <w:szCs w:val="18"/>
                <w:color w:val="51555C"/>
              </w:rPr>
              <w:t>253,717</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color w:val="51555C"/>
              </w:rPr>
              <w:t>236,127</w:t>
            </w:r>
          </w:p>
        </w:tc>
        <w:tc>
          <w:tcPr>
            <w:tcW w:w="20" w:type="dxa"/>
            <w:vAlign w:val="bottom"/>
          </w:tcPr>
          <w:p>
            <w:pPr>
              <w:spacing w:after="0"/>
              <w:rPr>
                <w:sz w:val="19"/>
                <w:szCs w:val="19"/>
                <w:color w:val="auto"/>
              </w:rPr>
            </w:pPr>
          </w:p>
        </w:tc>
      </w:tr>
      <w:tr>
        <w:trPr>
          <w:trHeight w:val="50"/>
        </w:trPr>
        <w:tc>
          <w:tcPr>
            <w:tcW w:w="4540" w:type="dxa"/>
            <w:vAlign w:val="bottom"/>
            <w:tcBorders>
              <w:bottom w:val="single" w:sz="8" w:color="EBFBFF"/>
            </w:tcBorders>
          </w:tcPr>
          <w:p>
            <w:pPr>
              <w:spacing w:after="0"/>
              <w:rPr>
                <w:sz w:val="4"/>
                <w:szCs w:val="4"/>
                <w:color w:val="auto"/>
              </w:rPr>
            </w:pPr>
          </w:p>
        </w:tc>
        <w:tc>
          <w:tcPr>
            <w:tcW w:w="560" w:type="dxa"/>
            <w:vAlign w:val="bottom"/>
            <w:tcBorders>
              <w:bottom w:val="single" w:sz="8" w:color="51555C"/>
            </w:tcBorders>
          </w:tcPr>
          <w:p>
            <w:pPr>
              <w:spacing w:after="0"/>
              <w:rPr>
                <w:sz w:val="4"/>
                <w:szCs w:val="4"/>
                <w:color w:val="auto"/>
              </w:rPr>
            </w:pPr>
          </w:p>
        </w:tc>
        <w:tc>
          <w:tcPr>
            <w:tcW w:w="1100" w:type="dxa"/>
            <w:vAlign w:val="bottom"/>
            <w:tcBorders>
              <w:bottom w:val="single" w:sz="8" w:color="51555C"/>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420" w:type="dxa"/>
            <w:vAlign w:val="bottom"/>
            <w:tcBorders>
              <w:bottom w:val="single" w:sz="8" w:color="51555C"/>
            </w:tcBorders>
          </w:tcPr>
          <w:p>
            <w:pPr>
              <w:spacing w:after="0"/>
              <w:rPr>
                <w:sz w:val="4"/>
                <w:szCs w:val="4"/>
                <w:color w:val="auto"/>
              </w:rPr>
            </w:pPr>
          </w:p>
        </w:tc>
        <w:tc>
          <w:tcPr>
            <w:tcW w:w="80" w:type="dxa"/>
            <w:vAlign w:val="bottom"/>
            <w:tcBorders>
              <w:bottom w:val="single" w:sz="8" w:color="EBFBFF"/>
            </w:tcBorders>
          </w:tcPr>
          <w:p>
            <w:pPr>
              <w:spacing w:after="0"/>
              <w:rPr>
                <w:sz w:val="4"/>
                <w:szCs w:val="4"/>
                <w:color w:val="auto"/>
              </w:rPr>
            </w:pPr>
          </w:p>
        </w:tc>
        <w:tc>
          <w:tcPr>
            <w:tcW w:w="560" w:type="dxa"/>
            <w:vAlign w:val="bottom"/>
            <w:tcBorders>
              <w:bottom w:val="single" w:sz="8" w:color="51555C"/>
            </w:tcBorders>
          </w:tcPr>
          <w:p>
            <w:pPr>
              <w:spacing w:after="0"/>
              <w:rPr>
                <w:sz w:val="4"/>
                <w:szCs w:val="4"/>
                <w:color w:val="auto"/>
              </w:rPr>
            </w:pPr>
          </w:p>
        </w:tc>
        <w:tc>
          <w:tcPr>
            <w:tcW w:w="1100" w:type="dxa"/>
            <w:vAlign w:val="bottom"/>
            <w:tcBorders>
              <w:bottom w:val="single" w:sz="8" w:color="51555C"/>
            </w:tcBorders>
          </w:tcPr>
          <w:p>
            <w:pPr>
              <w:spacing w:after="0"/>
              <w:rPr>
                <w:sz w:val="4"/>
                <w:szCs w:val="4"/>
                <w:color w:val="auto"/>
              </w:rPr>
            </w:pPr>
          </w:p>
        </w:tc>
        <w:tc>
          <w:tcPr>
            <w:tcW w:w="280" w:type="dxa"/>
            <w:vAlign w:val="bottom"/>
            <w:tcBorders>
              <w:bottom w:val="single" w:sz="8" w:color="51555C"/>
            </w:tcBorders>
          </w:tcPr>
          <w:p>
            <w:pPr>
              <w:spacing w:after="0"/>
              <w:rPr>
                <w:sz w:val="4"/>
                <w:szCs w:val="4"/>
                <w:color w:val="auto"/>
              </w:rPr>
            </w:pPr>
          </w:p>
        </w:tc>
        <w:tc>
          <w:tcPr>
            <w:tcW w:w="13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454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Total recurring revenue</w:t>
            </w:r>
          </w:p>
        </w:tc>
        <w:tc>
          <w:tcPr>
            <w:tcW w:w="560" w:type="dxa"/>
            <w:vAlign w:val="bottom"/>
            <w:tcBorders>
              <w:bottom w:val="single" w:sz="8" w:color="EBFBFF"/>
            </w:tcBorders>
            <w:shd w:val="clear" w:color="auto" w:fill="EBFBFF"/>
          </w:tcPr>
          <w:p>
            <w:pPr>
              <w:jc w:val="right"/>
              <w:ind w:right="350"/>
              <w:spacing w:after="0" w:line="213" w:lineRule="exact"/>
              <w:rPr>
                <w:sz w:val="20"/>
                <w:szCs w:val="20"/>
                <w:color w:val="auto"/>
              </w:rPr>
            </w:pPr>
            <w:r>
              <w:rPr>
                <w:rFonts w:ascii="Calibri" w:cs="Calibri" w:eastAsia="Calibri" w:hAnsi="Calibri"/>
                <w:sz w:val="18"/>
                <w:szCs w:val="18"/>
                <w:color w:val="51555C"/>
              </w:rPr>
              <w:t>$</w:t>
            </w:r>
          </w:p>
        </w:tc>
        <w:tc>
          <w:tcPr>
            <w:tcW w:w="11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280,018</w:t>
            </w:r>
          </w:p>
        </w:tc>
        <w:tc>
          <w:tcPr>
            <w:tcW w:w="240" w:type="dxa"/>
            <w:vAlign w:val="bottom"/>
            <w:tcBorders>
              <w:bottom w:val="single" w:sz="8" w:color="EBFBFF"/>
            </w:tcBorders>
            <w:shd w:val="clear" w:color="auto" w:fill="EBFBFF"/>
          </w:tcPr>
          <w:p>
            <w:pPr>
              <w:jc w:val="right"/>
              <w:ind w:right="50"/>
              <w:spacing w:after="0" w:line="213" w:lineRule="exact"/>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right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269,001</w:t>
            </w:r>
          </w:p>
        </w:tc>
        <w:tc>
          <w:tcPr>
            <w:tcW w:w="640" w:type="dxa"/>
            <w:vAlign w:val="bottom"/>
            <w:tcBorders>
              <w:bottom w:val="single" w:sz="8" w:color="EBFBFF"/>
            </w:tcBorders>
            <w:gridSpan w:val="2"/>
            <w:shd w:val="clear" w:color="auto" w:fill="EBFBFF"/>
          </w:tcPr>
          <w:p>
            <w:pPr>
              <w:jc w:val="right"/>
              <w:ind w:right="440"/>
              <w:spacing w:after="0" w:line="213" w:lineRule="exact"/>
              <w:rPr>
                <w:sz w:val="20"/>
                <w:szCs w:val="20"/>
                <w:color w:val="auto"/>
              </w:rPr>
            </w:pPr>
            <w:r>
              <w:rPr>
                <w:rFonts w:ascii="Calibri" w:cs="Calibri" w:eastAsia="Calibri" w:hAnsi="Calibri"/>
                <w:sz w:val="18"/>
                <w:szCs w:val="18"/>
                <w:color w:val="51555C"/>
              </w:rPr>
              <w:t>$</w:t>
            </w:r>
          </w:p>
        </w:tc>
        <w:tc>
          <w:tcPr>
            <w:tcW w:w="11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832,912</w:t>
            </w:r>
          </w:p>
        </w:tc>
        <w:tc>
          <w:tcPr>
            <w:tcW w:w="280" w:type="dxa"/>
            <w:vAlign w:val="bottom"/>
            <w:tcBorders>
              <w:bottom w:val="single" w:sz="8" w:color="EBFBFF"/>
            </w:tcBorders>
            <w:shd w:val="clear" w:color="auto" w:fill="EBFBFF"/>
          </w:tcPr>
          <w:p>
            <w:pPr>
              <w:jc w:val="right"/>
              <w:ind w:right="90"/>
              <w:spacing w:after="0" w:line="213" w:lineRule="exact"/>
              <w:rPr>
                <w:sz w:val="20"/>
                <w:szCs w:val="20"/>
                <w:color w:val="auto"/>
              </w:rPr>
            </w:pPr>
            <w:r>
              <w:rPr>
                <w:rFonts w:ascii="Calibri" w:cs="Calibri" w:eastAsia="Calibri" w:hAnsi="Calibri"/>
                <w:sz w:val="18"/>
                <w:szCs w:val="18"/>
                <w:color w:val="51555C"/>
                <w:w w:val="87"/>
              </w:rPr>
              <w:t>$</w:t>
            </w:r>
          </w:p>
        </w:tc>
        <w:tc>
          <w:tcPr>
            <w:tcW w:w="13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784,139</w:t>
            </w:r>
          </w:p>
        </w:tc>
        <w:tc>
          <w:tcPr>
            <w:tcW w:w="20" w:type="dxa"/>
            <w:vAlign w:val="bottom"/>
          </w:tcPr>
          <w:p>
            <w:pPr>
              <w:spacing w:after="0"/>
              <w:rPr>
                <w:sz w:val="21"/>
                <w:szCs w:val="21"/>
                <w:color w:val="auto"/>
              </w:rPr>
            </w:pPr>
          </w:p>
        </w:tc>
      </w:tr>
      <w:tr>
        <w:trPr>
          <w:trHeight w:val="20"/>
        </w:trPr>
        <w:tc>
          <w:tcPr>
            <w:tcW w:w="454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110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420" w:type="dxa"/>
            <w:vAlign w:val="bottom"/>
            <w:tcBorders>
              <w:right w:val="single" w:sz="8" w:color="0CD973"/>
            </w:tcBorders>
            <w:shd w:val="clear" w:color="auto" w:fill="0CD973"/>
          </w:tcPr>
          <w:p>
            <w:pPr>
              <w:spacing w:after="0" w:line="20" w:lineRule="exact"/>
              <w:rPr>
                <w:sz w:val="1"/>
                <w:szCs w:val="1"/>
                <w:color w:val="auto"/>
              </w:rPr>
            </w:pPr>
          </w:p>
        </w:tc>
        <w:tc>
          <w:tcPr>
            <w:tcW w:w="8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110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-2031365</wp:posOffset>
            </wp:positionV>
            <wp:extent cx="42602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60215"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-694055</wp:posOffset>
            </wp:positionV>
            <wp:extent cx="42602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60215" cy="8890"/>
                    </a:xfrm>
                    <a:prstGeom prst="rect">
                      <a:avLst/>
                    </a:prstGeom>
                    <a:noFill/>
                  </pic:spPr>
                </pic:pic>
              </a:graphicData>
            </a:graphic>
          </wp:anchor>
        </w:drawing>
      </w:r>
    </w:p>
    <w:p>
      <w:pPr>
        <w:spacing w:after="0" w:line="236" w:lineRule="exact"/>
        <w:rPr>
          <w:sz w:val="20"/>
          <w:szCs w:val="20"/>
          <w:color w:val="auto"/>
        </w:rPr>
      </w:pPr>
    </w:p>
    <w:p>
      <w:pPr>
        <w:ind w:left="40"/>
        <w:spacing w:after="0"/>
        <w:rPr>
          <w:sz w:val="20"/>
          <w:szCs w:val="20"/>
          <w:color w:val="auto"/>
        </w:rPr>
      </w:pPr>
      <w:r>
        <w:rPr>
          <w:rFonts w:ascii="Calibri" w:cs="Calibri" w:eastAsia="Calibri" w:hAnsi="Calibri"/>
          <w:sz w:val="22"/>
          <w:szCs w:val="22"/>
          <w:b w:val="1"/>
          <w:bCs w:val="1"/>
          <w:color w:val="006880"/>
        </w:rPr>
        <w:t>13.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151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ASR Transacton Setlement</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On October 29, 2024, we setled the previously announced ASR Transacton described in Note 11. In connecton with the setlement of the ASR Transacton, we received approximately 490,000 shares of our common stock, in additon to the 2.1 million shares received in March 2024. No cash was exchanged as part of the setlement of the ASR Transacton.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238760</wp:posOffset>
            </wp:positionV>
            <wp:extent cx="65976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25</w:t>
            </w:r>
          </w:p>
        </w:tc>
      </w:tr>
      <w:tr>
        <w:trPr>
          <w:trHeight w:val="364"/>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Calibri" w:cs="Calibri" w:eastAsia="Calibri" w:hAnsi="Calibri"/>
          <w:sz w:val="29"/>
          <w:szCs w:val="29"/>
          <w:b w:val="1"/>
          <w:bCs w:val="1"/>
          <w:color w:val="004054"/>
        </w:rPr>
        <w:t>ITEM 2. MANAGEMENT'S DISCUSSION AND ANALYSIS OF FINANCIAL CONDITION AND RESULTS OF OPERATIONS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The following discussion and analysis of our fnancial conditon and results of operatons should be read in conjuncton with our unaudited, condensed consolidated fnancial statements and related notes included elsewhere in this Quarterly Report on Form 10-Q. The following discussion and analysis presents fnancial informaton denominated in millions of dollars which can lead to diferences from rounding when compared to similar informaton contained in the unaudited, condensed consolidated fnancial statements and related notes which are primarily denominated in thousands of dollars.</w:t>
      </w:r>
    </w:p>
    <w:p>
      <w:pPr>
        <w:spacing w:after="0" w:line="257"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Executve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the leading sofware provider exclusively dedicated to powering social impact. Serving the nonproft and educaton sectors, companies commited to social responsibility and individual change makers, our essental sofware is built to accelerate impact in fundraising, nonproft fnancial management, digital giving, grantmaking, corporate social responsibility and educaton management. A remote-frst company, we have operatons in the United States, Australia, Canada, Costa Rica, India and the United Kingdom, supportng users in 100+ countries.</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revenue is primarily generated from the following sources: (i) charging for the use of our sofware solutons in cloud and hosted environments; (ii) providing payment and transacton services; and (iii) providing Impact-as-a-Service™ digital educatonal content.</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Business Update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company has made signifcant strides over the past several years by executng on our fve-point operatng plan. We have extended our positon as the world's leading provider of sofware to power social impact through product innovaton to beter serve the very specifc needs of non-proft customers, successfully implemented key revenue initatves to enhance the predictability of our growth, all while maintaining keen atenton to cost management and cash fow. As a result of this work, we have grown revenue, signifcantly improved our proftability, driven sustained EPS growth and generated signifcant cash fow, which we have used, in part, to fuel a material stock repurchase program, that was expanded and replenished to $800 million in July 2024.</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We believe Blackbaud is a compelling investment with multple opportunites for strong stockholder returns.</w:t>
      </w:r>
    </w:p>
    <w:p>
      <w:pPr>
        <w:spacing w:after="0" w:line="163" w:lineRule="exact"/>
        <w:rPr>
          <w:sz w:val="20"/>
          <w:szCs w:val="20"/>
          <w:color w:val="auto"/>
        </w:rPr>
      </w:pPr>
    </w:p>
    <w:p>
      <w:pPr>
        <w:ind w:left="660" w:hanging="328"/>
        <w:spacing w:after="0" w:line="235" w:lineRule="auto"/>
        <w:tabs>
          <w:tab w:leader="none" w:pos="645" w:val="left"/>
        </w:tabs>
        <w:numPr>
          <w:ilvl w:val="0"/>
          <w:numId w:val="9"/>
        </w:numPr>
        <w:rPr>
          <w:rFonts w:ascii="Calibri" w:cs="Calibri" w:eastAsia="Calibri" w:hAnsi="Calibri"/>
          <w:sz w:val="18"/>
          <w:szCs w:val="18"/>
          <w:color w:val="51555C"/>
        </w:rPr>
      </w:pPr>
      <w:r>
        <w:rPr>
          <w:rFonts w:ascii="Calibri" w:cs="Calibri" w:eastAsia="Calibri" w:hAnsi="Calibri"/>
          <w:sz w:val="18"/>
          <w:szCs w:val="18"/>
          <w:color w:val="51555C"/>
        </w:rPr>
        <w:t>As an industry leader with what we believe is the most comprehensive set of purpose-built and mission critcal sofware and services, we have an inherent ability to penetrate even further into a rich market opportunity;</w:t>
      </w:r>
    </w:p>
    <w:p>
      <w:pPr>
        <w:spacing w:after="0" w:line="163" w:lineRule="exact"/>
        <w:rPr>
          <w:rFonts w:ascii="Calibri" w:cs="Calibri" w:eastAsia="Calibri" w:hAnsi="Calibri"/>
          <w:sz w:val="18"/>
          <w:szCs w:val="18"/>
          <w:color w:val="51555C"/>
        </w:rPr>
      </w:pPr>
    </w:p>
    <w:p>
      <w:pPr>
        <w:ind w:left="660" w:hanging="328"/>
        <w:spacing w:after="0" w:line="235" w:lineRule="auto"/>
        <w:tabs>
          <w:tab w:leader="none" w:pos="645" w:val="left"/>
        </w:tabs>
        <w:numPr>
          <w:ilvl w:val="0"/>
          <w:numId w:val="9"/>
        </w:numPr>
        <w:rPr>
          <w:rFonts w:ascii="Calibri" w:cs="Calibri" w:eastAsia="Calibri" w:hAnsi="Calibri"/>
          <w:sz w:val="18"/>
          <w:szCs w:val="18"/>
          <w:color w:val="51555C"/>
        </w:rPr>
      </w:pPr>
      <w:r>
        <w:rPr>
          <w:rFonts w:ascii="Calibri" w:cs="Calibri" w:eastAsia="Calibri" w:hAnsi="Calibri"/>
          <w:sz w:val="18"/>
          <w:szCs w:val="18"/>
          <w:color w:val="51555C"/>
        </w:rPr>
        <w:t>The strength of our fnancial model allows us to contnue to aggressively invest in innovaton, which provides great value for our customers and enhances our ability to atract new customers; and</w:t>
      </w:r>
    </w:p>
    <w:p>
      <w:pPr>
        <w:spacing w:after="0" w:line="163" w:lineRule="exact"/>
        <w:rPr>
          <w:rFonts w:ascii="Calibri" w:cs="Calibri" w:eastAsia="Calibri" w:hAnsi="Calibri"/>
          <w:sz w:val="18"/>
          <w:szCs w:val="18"/>
          <w:color w:val="51555C"/>
        </w:rPr>
      </w:pPr>
    </w:p>
    <w:p>
      <w:pPr>
        <w:ind w:left="660" w:hanging="328"/>
        <w:spacing w:after="0" w:line="235" w:lineRule="auto"/>
        <w:tabs>
          <w:tab w:leader="none" w:pos="645" w:val="left"/>
        </w:tabs>
        <w:numPr>
          <w:ilvl w:val="0"/>
          <w:numId w:val="9"/>
        </w:numPr>
        <w:rPr>
          <w:rFonts w:ascii="Calibri" w:cs="Calibri" w:eastAsia="Calibri" w:hAnsi="Calibri"/>
          <w:sz w:val="18"/>
          <w:szCs w:val="18"/>
          <w:color w:val="51555C"/>
        </w:rPr>
      </w:pPr>
      <w:r>
        <w:rPr>
          <w:rFonts w:ascii="Calibri" w:cs="Calibri" w:eastAsia="Calibri" w:hAnsi="Calibri"/>
          <w:sz w:val="18"/>
          <w:szCs w:val="18"/>
          <w:color w:val="51555C"/>
        </w:rPr>
        <w:t>We generate strong cash fows and are commited to disciplined, value-maximizing capital returns. We believe that at current valuatons, Blackbaud is undervalued, and we plan to be aggressive in the repurchase of our stock to improve stockholder value.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Market Opportunity</w:t>
      </w:r>
    </w:p>
    <w:p>
      <w:pPr>
        <w:spacing w:after="0" w:line="163" w:lineRule="exact"/>
        <w:rPr>
          <w:sz w:val="20"/>
          <w:szCs w:val="20"/>
          <w:color w:val="auto"/>
        </w:rPr>
      </w:pPr>
    </w:p>
    <w:p>
      <w:pPr>
        <w:ind w:left="660" w:hanging="328"/>
        <w:spacing w:after="0" w:line="235" w:lineRule="auto"/>
        <w:tabs>
          <w:tab w:leader="none" w:pos="653" w:val="left"/>
        </w:tabs>
        <w:numPr>
          <w:ilvl w:val="0"/>
          <w:numId w:val="10"/>
        </w:numPr>
        <w:rPr>
          <w:rFonts w:ascii="Calibri" w:cs="Calibri" w:eastAsia="Calibri" w:hAnsi="Calibri"/>
          <w:sz w:val="18"/>
          <w:szCs w:val="18"/>
          <w:color w:val="51555C"/>
        </w:rPr>
      </w:pPr>
      <w:r>
        <w:rPr>
          <w:rFonts w:ascii="Calibri" w:cs="Calibri" w:eastAsia="Calibri" w:hAnsi="Calibri"/>
          <w:sz w:val="18"/>
          <w:szCs w:val="18"/>
          <w:color w:val="51555C"/>
        </w:rPr>
        <w:t>U.S. charitable giving in 2023 was over $500 billion, of which roughly $100 billion was donated, granted and invested through our Blackbaud platorms globally.</w:t>
      </w:r>
    </w:p>
    <w:p>
      <w:pPr>
        <w:spacing w:after="0" w:line="163" w:lineRule="exact"/>
        <w:rPr>
          <w:rFonts w:ascii="Calibri" w:cs="Calibri" w:eastAsia="Calibri" w:hAnsi="Calibri"/>
          <w:sz w:val="18"/>
          <w:szCs w:val="18"/>
          <w:color w:val="51555C"/>
        </w:rPr>
      </w:pPr>
    </w:p>
    <w:p>
      <w:pPr>
        <w:jc w:val="both"/>
        <w:ind w:left="660" w:hanging="328"/>
        <w:spacing w:after="0" w:line="235" w:lineRule="auto"/>
        <w:tabs>
          <w:tab w:leader="none" w:pos="653" w:val="left"/>
        </w:tabs>
        <w:numPr>
          <w:ilvl w:val="0"/>
          <w:numId w:val="10"/>
        </w:numPr>
        <w:rPr>
          <w:rFonts w:ascii="Calibri" w:cs="Calibri" w:eastAsia="Calibri" w:hAnsi="Calibri"/>
          <w:sz w:val="18"/>
          <w:szCs w:val="18"/>
          <w:color w:val="51555C"/>
        </w:rPr>
      </w:pPr>
      <w:r>
        <w:rPr>
          <w:rFonts w:ascii="Calibri" w:cs="Calibri" w:eastAsia="Calibri" w:hAnsi="Calibri"/>
          <w:sz w:val="18"/>
          <w:szCs w:val="18"/>
          <w:color w:val="51555C"/>
        </w:rPr>
        <w:t>In our Social Sector, we contnue to primarily focus on mid-sized and enterprise non-profts and, as market leader, we contnue to see great opportunites to atract new customers as well expand our oferings to our existng customers. We appreciate that our customers have choices, too. For decades, we have enjoyed being the market leader, with strong brand recogniton and signifcant breadth and depth of our product capabilites, but we are not relying on the success of our past.</w:t>
      </w:r>
    </w:p>
    <w:p>
      <w:pPr>
        <w:spacing w:after="0" w:line="339"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26</w:t>
      </w:r>
      <w:r>
        <w:rPr>
          <w:sz w:val="20"/>
          <w:szCs w:val="20"/>
          <w:color w:val="auto"/>
        </w:rPr>
        <w:tab/>
      </w:r>
      <w:r>
        <w:rPr>
          <w:sz w:val="1"/>
          <w:szCs w:val="1"/>
          <w:color w:val="auto"/>
        </w:rPr>
        <w:drawing>
          <wp:inline distT="0" distB="0" distL="0" distR="0">
            <wp:extent cx="651510" cy="1714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Investments in Innovaton</w:t>
      </w:r>
    </w:p>
    <w:p>
      <w:pPr>
        <w:spacing w:after="0" w:line="163" w:lineRule="exact"/>
        <w:rPr>
          <w:sz w:val="20"/>
          <w:szCs w:val="20"/>
          <w:color w:val="auto"/>
        </w:rPr>
      </w:pPr>
    </w:p>
    <w:p>
      <w:pPr>
        <w:jc w:val="both"/>
        <w:ind w:left="660" w:hanging="328"/>
        <w:spacing w:after="0" w:line="235" w:lineRule="auto"/>
        <w:tabs>
          <w:tab w:leader="none" w:pos="653" w:val="left"/>
        </w:tabs>
        <w:numPr>
          <w:ilvl w:val="0"/>
          <w:numId w:val="11"/>
        </w:numPr>
        <w:rPr>
          <w:rFonts w:ascii="Calibri" w:cs="Calibri" w:eastAsia="Calibri" w:hAnsi="Calibri"/>
          <w:sz w:val="18"/>
          <w:szCs w:val="18"/>
          <w:color w:val="51555C"/>
        </w:rPr>
      </w:pPr>
      <w:r>
        <w:rPr>
          <w:rFonts w:ascii="Calibri" w:cs="Calibri" w:eastAsia="Calibri" w:hAnsi="Calibri"/>
          <w:sz w:val="18"/>
          <w:szCs w:val="18"/>
          <w:color w:val="51555C"/>
        </w:rPr>
        <w:t>We contnue to invest aggressively in innovaton and partner with our developer network to produce contnuous product enhancements throughout our portolio, including generatve AI capabilites, which in turn enable our customers to raise more money while increasing operatonal efciency— ultmately allowing them to spend more tme executng on their charitable missions and less tme on administratve tasks.</w:t>
      </w:r>
    </w:p>
    <w:p>
      <w:pPr>
        <w:spacing w:after="0" w:line="164" w:lineRule="exact"/>
        <w:rPr>
          <w:rFonts w:ascii="Calibri" w:cs="Calibri" w:eastAsia="Calibri" w:hAnsi="Calibri"/>
          <w:sz w:val="18"/>
          <w:szCs w:val="18"/>
          <w:color w:val="51555C"/>
        </w:rPr>
      </w:pPr>
    </w:p>
    <w:p>
      <w:pPr>
        <w:jc w:val="both"/>
        <w:ind w:left="660" w:hanging="328"/>
        <w:spacing w:after="0" w:line="235" w:lineRule="auto"/>
        <w:tabs>
          <w:tab w:leader="none" w:pos="653" w:val="left"/>
        </w:tabs>
        <w:numPr>
          <w:ilvl w:val="0"/>
          <w:numId w:val="11"/>
        </w:numPr>
        <w:rPr>
          <w:rFonts w:ascii="Calibri" w:cs="Calibri" w:eastAsia="Calibri" w:hAnsi="Calibri"/>
          <w:sz w:val="18"/>
          <w:szCs w:val="18"/>
          <w:color w:val="51555C"/>
        </w:rPr>
      </w:pPr>
      <w:r>
        <w:rPr>
          <w:rFonts w:ascii="Calibri" w:cs="Calibri" w:eastAsia="Calibri" w:hAnsi="Calibri"/>
          <w:sz w:val="18"/>
          <w:szCs w:val="18"/>
          <w:color w:val="51555C"/>
        </w:rPr>
        <w:t>We are a natural choice for new and existng customers alike. The alternatve for our customers is a disjointed, compettve landscape where we believe other companies do not ofer the combined breadth and depth of our capabilites. These include smaller, mostly disparate point solutons that address only single aspects of the complex, comprehensive technology needs of a nonproft, or larger horizontal sofware companies that may lack the depth of nonproft-specifc functonality and ofen require complex, expensive customizaton and potentally additonal vendors to meet customer needs.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Cash Flow Generaton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the nine months of 2024, we generated $222.4 million of operatng cash fow, an increase of approximately 9.6% compared to the frst three quarters of 2023. Our robust cash fow generaton gives us confdence to contnue investment in a number of critcal areas like product innovaton and stock repurchases. In March 2024, we announced that we intend to repurchase during 2024 between 7% and 10% of our outstanding common stock as of December 31, 2023 under our stock repurchase program. During the nine months ended September 30, 2024, we repurchased 3,761,985 shares for $325.4 million, representng approximately 7.0% of the Company's common stock outstanding as of December 31, 2023. These share repurchases do not include the fnal setlement of the ASR Transacton, as discussed above. The remaining amount available to purchase stock under our stock repurchase program was $737.2 million as of September 30, 2024.</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October 29, 2024, we setled the previously announced ASR Transacton. In connecton with the setlement of the ASR Transacton, we received approximately 490,000 shares of our common stock, in additon to the 2.1 million shares received in March 2024. No cash was exchanged as part of the setlement of the ASR Transacton. We plan to contnue to be aggressive in the fourth quarter of 2024 repurchasing our stock with our goal of repurchasing up to 10% of our outstanding common stock this year. We believe there is currently no beter use of our capital than investng back into the business through product innovaton and returning capital to stockholders around these valuaton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497205</wp:posOffset>
            </wp:positionV>
            <wp:extent cx="65976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27</w:t>
            </w:r>
          </w:p>
        </w:tc>
      </w:tr>
      <w:tr>
        <w:trPr>
          <w:trHeight w:val="364"/>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51555C"/>
        </w:rPr>
        <w:t>Blackbaud, Inc.</w:t>
      </w:r>
    </w:p>
    <w:p>
      <w:pPr>
        <w:jc w:val="center"/>
        <w:ind w:right="-19"/>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Financial Summary</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40" w:type="dxa"/>
            <w:vAlign w:val="bottom"/>
            <w:gridSpan w:val="2"/>
          </w:tcPr>
          <w:p>
            <w:pPr>
              <w:jc w:val="center"/>
              <w:ind w:right="640"/>
              <w:spacing w:after="0"/>
              <w:rPr>
                <w:sz w:val="20"/>
                <w:szCs w:val="20"/>
                <w:color w:val="auto"/>
              </w:rPr>
            </w:pPr>
            <w:r>
              <w:rPr>
                <w:rFonts w:ascii="Calibri" w:cs="Calibri" w:eastAsia="Calibri" w:hAnsi="Calibri"/>
                <w:sz w:val="18"/>
                <w:szCs w:val="18"/>
                <w:i w:val="1"/>
                <w:iCs w:val="1"/>
                <w:color w:val="51555C"/>
                <w:w w:val="96"/>
              </w:rPr>
              <w:t>Total revenue ($M)</w:t>
            </w:r>
          </w:p>
        </w:tc>
        <w:tc>
          <w:tcPr>
            <w:tcW w:w="4300" w:type="dxa"/>
            <w:vAlign w:val="bottom"/>
          </w:tcPr>
          <w:p>
            <w:pPr>
              <w:jc w:val="center"/>
              <w:spacing w:after="0"/>
              <w:rPr>
                <w:sz w:val="20"/>
                <w:szCs w:val="20"/>
                <w:color w:val="auto"/>
              </w:rPr>
            </w:pPr>
            <w:r>
              <w:rPr>
                <w:rFonts w:ascii="Calibri" w:cs="Calibri" w:eastAsia="Calibri" w:hAnsi="Calibri"/>
                <w:sz w:val="18"/>
                <w:szCs w:val="18"/>
                <w:i w:val="1"/>
                <w:iCs w:val="1"/>
                <w:color w:val="51555C"/>
                <w:w w:val="99"/>
              </w:rPr>
              <w:t>Income from operatons ($M)</w:t>
            </w:r>
          </w:p>
        </w:tc>
      </w:tr>
      <w:tr>
        <w:trPr>
          <w:trHeight w:val="50"/>
        </w:trPr>
        <w:tc>
          <w:tcPr>
            <w:tcW w:w="4280" w:type="dxa"/>
            <w:vAlign w:val="bottom"/>
            <w:tcBorders>
              <w:bottom w:val="single" w:sz="8" w:color="51555C"/>
            </w:tcBorders>
          </w:tcPr>
          <w:p>
            <w:pPr>
              <w:spacing w:after="0"/>
              <w:rPr>
                <w:sz w:val="4"/>
                <w:szCs w:val="4"/>
                <w:color w:val="auto"/>
              </w:rPr>
            </w:pPr>
          </w:p>
        </w:tc>
        <w:tc>
          <w:tcPr>
            <w:tcW w:w="660" w:type="dxa"/>
            <w:vAlign w:val="bottom"/>
          </w:tcPr>
          <w:p>
            <w:pPr>
              <w:spacing w:after="0"/>
              <w:rPr>
                <w:sz w:val="4"/>
                <w:szCs w:val="4"/>
                <w:color w:val="auto"/>
              </w:rPr>
            </w:pPr>
          </w:p>
        </w:tc>
        <w:tc>
          <w:tcPr>
            <w:tcW w:w="4300" w:type="dxa"/>
            <w:vAlign w:val="bottom"/>
            <w:tcBorders>
              <w:bottom w:val="single" w:sz="8" w:color="51555C"/>
            </w:tcBorders>
          </w:tcPr>
          <w:p>
            <w:pPr>
              <w:spacing w:after="0"/>
              <w:rPr>
                <w:sz w:val="4"/>
                <w:szCs w:val="4"/>
                <w:color w:val="auto"/>
              </w:rPr>
            </w:pPr>
          </w:p>
        </w:tc>
      </w:tr>
      <w:tr>
        <w:trPr>
          <w:trHeight w:val="213"/>
        </w:trPr>
        <w:tc>
          <w:tcPr>
            <w:tcW w:w="4940" w:type="dxa"/>
            <w:vAlign w:val="bottom"/>
            <w:gridSpan w:val="2"/>
          </w:tcPr>
          <w:p>
            <w:pPr>
              <w:jc w:val="center"/>
              <w:ind w:right="640"/>
              <w:spacing w:after="0"/>
              <w:rPr>
                <w:sz w:val="20"/>
                <w:szCs w:val="20"/>
                <w:color w:val="auto"/>
              </w:rPr>
            </w:pPr>
            <w:r>
              <w:rPr>
                <w:rFonts w:ascii="Calibri" w:cs="Calibri" w:eastAsia="Calibri" w:hAnsi="Calibri"/>
                <w:sz w:val="13"/>
                <w:szCs w:val="13"/>
                <w:i w:val="1"/>
                <w:iCs w:val="1"/>
                <w:color w:val="51555C"/>
                <w:w w:val="95"/>
              </w:rPr>
              <w:t>YoY Growth (%)</w:t>
            </w:r>
          </w:p>
        </w:tc>
        <w:tc>
          <w:tcPr>
            <w:tcW w:w="4300" w:type="dxa"/>
            <w:vAlign w:val="bottom"/>
          </w:tcPr>
          <w:p>
            <w:pPr>
              <w:jc w:val="center"/>
              <w:spacing w:after="0"/>
              <w:rPr>
                <w:sz w:val="20"/>
                <w:szCs w:val="20"/>
                <w:color w:val="auto"/>
              </w:rPr>
            </w:pPr>
            <w:r>
              <w:rPr>
                <w:rFonts w:ascii="Calibri" w:cs="Calibri" w:eastAsia="Calibri" w:hAnsi="Calibri"/>
                <w:sz w:val="13"/>
                <w:szCs w:val="13"/>
                <w:i w:val="1"/>
                <w:iCs w:val="1"/>
                <w:color w:val="51555C"/>
                <w:w w:val="95"/>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186690</wp:posOffset>
            </wp:positionV>
            <wp:extent cx="5486400" cy="30175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8640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Total revenue increased by $9.1 million and $42.8 million, respectvely, during the three and nine months ended September 30, 2024, respectvely, when compared to the same periods in 2023, driven largely by the following:</w:t>
      </w:r>
    </w:p>
    <w:p>
      <w:pPr>
        <w:ind w:left="700" w:hanging="364"/>
        <w:spacing w:after="0" w:line="206" w:lineRule="auto"/>
        <w:tabs>
          <w:tab w:leader="none" w:pos="700" w:val="left"/>
        </w:tabs>
        <w:numPr>
          <w:ilvl w:val="0"/>
          <w:numId w:val="12"/>
        </w:numPr>
        <w:rPr>
          <w:rFonts w:ascii="Calibri" w:cs="Calibri" w:eastAsia="Calibri" w:hAnsi="Calibri"/>
          <w:sz w:val="36"/>
          <w:szCs w:val="36"/>
          <w:color w:val="51555C"/>
          <w:vertAlign w:val="superscript"/>
        </w:rPr>
      </w:pPr>
      <w:r>
        <w:rPr>
          <w:rFonts w:ascii="Calibri" w:cs="Calibri" w:eastAsia="Calibri" w:hAnsi="Calibri"/>
          <w:sz w:val="18"/>
          <w:szCs w:val="18"/>
          <w:color w:val="51555C"/>
        </w:rPr>
        <w:t>Growth in recurring revenue primarily related to:</w:t>
      </w:r>
    </w:p>
    <w:p>
      <w:pPr>
        <w:spacing w:after="0" w:line="92" w:lineRule="exact"/>
        <w:rPr>
          <w:rFonts w:ascii="Calibri" w:cs="Calibri" w:eastAsia="Calibri" w:hAnsi="Calibri"/>
          <w:sz w:val="36"/>
          <w:szCs w:val="36"/>
          <w:color w:val="51555C"/>
          <w:vertAlign w:val="superscript"/>
        </w:rPr>
      </w:pPr>
    </w:p>
    <w:p>
      <w:pPr>
        <w:jc w:val="both"/>
        <w:ind w:left="1340" w:right="20" w:hanging="315"/>
        <w:spacing w:after="0" w:line="222" w:lineRule="auto"/>
        <w:tabs>
          <w:tab w:leader="none" w:pos="1333" w:val="left"/>
        </w:tabs>
        <w:numPr>
          <w:ilvl w:val="1"/>
          <w:numId w:val="12"/>
        </w:numPr>
        <w:rPr>
          <w:rFonts w:ascii="Calibri" w:cs="Calibri" w:eastAsia="Calibri" w:hAnsi="Calibri"/>
          <w:sz w:val="18"/>
          <w:szCs w:val="18"/>
          <w:color w:val="51555C"/>
        </w:rPr>
      </w:pPr>
      <w:r>
        <w:rPr>
          <w:rFonts w:ascii="Calibri" w:cs="Calibri" w:eastAsia="Calibri" w:hAnsi="Calibri"/>
          <w:sz w:val="18"/>
          <w:szCs w:val="18"/>
          <w:color w:val="51555C"/>
        </w:rPr>
        <w:t>increases in contractual recurring revenue of $5.6 million and $31.2 million, respectvely, related to the impact of our 3-year contract renewal initatve and pricing within the Social Sector as well as the performance of our cloud solutons; partally ofset by decreases in revenue from EVERFI and maintenance revenue;</w:t>
      </w:r>
    </w:p>
    <w:p>
      <w:pPr>
        <w:spacing w:after="0" w:line="56" w:lineRule="exact"/>
        <w:rPr>
          <w:rFonts w:ascii="Calibri" w:cs="Calibri" w:eastAsia="Calibri" w:hAnsi="Calibri"/>
          <w:sz w:val="18"/>
          <w:szCs w:val="18"/>
          <w:color w:val="51555C"/>
        </w:rPr>
      </w:pPr>
    </w:p>
    <w:p>
      <w:pPr>
        <w:jc w:val="both"/>
        <w:ind w:left="1340" w:right="20" w:hanging="315"/>
        <w:spacing w:after="0" w:line="252" w:lineRule="auto"/>
        <w:tabs>
          <w:tab w:leader="none" w:pos="1333" w:val="left"/>
        </w:tabs>
        <w:numPr>
          <w:ilvl w:val="1"/>
          <w:numId w:val="12"/>
        </w:numPr>
        <w:rPr>
          <w:rFonts w:ascii="Calibri" w:cs="Calibri" w:eastAsia="Calibri" w:hAnsi="Calibri"/>
          <w:sz w:val="17"/>
          <w:szCs w:val="17"/>
          <w:color w:val="51555C"/>
        </w:rPr>
      </w:pPr>
      <w:r>
        <w:rPr>
          <w:rFonts w:ascii="Calibri" w:cs="Calibri" w:eastAsia="Calibri" w:hAnsi="Calibri"/>
          <w:sz w:val="17"/>
          <w:szCs w:val="17"/>
          <w:color w:val="51555C"/>
        </w:rPr>
        <w:t>increases in transactonal recurring revenue of $5.4 million and $17.6 million, respectvely, primarily due to positve results related to pricing initatves we have implemented in the past twelve months and increases in volume for our Blackbaud Tuiton Management and JustGiving solutons; also contributng to the increases in transactonal recurring revenue during the three and nine months ended September 30, 2024 were increases related to fuctuatons in foreign currency exchange rates of $0.7 million and $1.6 million, respectvely.</w:t>
      </w:r>
    </w:p>
    <w:p>
      <w:pPr>
        <w:ind w:left="700" w:hanging="348"/>
        <w:spacing w:after="0" w:line="182" w:lineRule="auto"/>
        <w:tabs>
          <w:tab w:leader="none" w:pos="700" w:val="left"/>
        </w:tabs>
        <w:numPr>
          <w:ilvl w:val="0"/>
          <w:numId w:val="13"/>
        </w:numPr>
        <w:rPr>
          <w:rFonts w:ascii="Calibri" w:cs="Calibri" w:eastAsia="Calibri" w:hAnsi="Calibri"/>
          <w:sz w:val="34"/>
          <w:szCs w:val="34"/>
          <w:color w:val="51555C"/>
          <w:vertAlign w:val="superscript"/>
        </w:rPr>
      </w:pPr>
      <w:r>
        <w:rPr>
          <w:rFonts w:ascii="Calibri" w:cs="Calibri" w:eastAsia="Calibri" w:hAnsi="Calibri"/>
          <w:sz w:val="17"/>
          <w:szCs w:val="17"/>
          <w:color w:val="51555C"/>
        </w:rPr>
        <w:t>Decreases in one-tme service and other revenue primarily related to:</w:t>
      </w:r>
    </w:p>
    <w:p>
      <w:pPr>
        <w:spacing w:after="0" w:line="91" w:lineRule="exact"/>
        <w:rPr>
          <w:rFonts w:ascii="Calibri" w:cs="Calibri" w:eastAsia="Calibri" w:hAnsi="Calibri"/>
          <w:sz w:val="34"/>
          <w:szCs w:val="34"/>
          <w:color w:val="51555C"/>
          <w:vertAlign w:val="superscript"/>
        </w:rPr>
      </w:pPr>
    </w:p>
    <w:p>
      <w:pPr>
        <w:jc w:val="both"/>
        <w:ind w:left="1340" w:right="20" w:hanging="315"/>
        <w:spacing w:after="0" w:line="222" w:lineRule="auto"/>
        <w:tabs>
          <w:tab w:leader="none" w:pos="1333" w:val="left"/>
        </w:tabs>
        <w:numPr>
          <w:ilvl w:val="1"/>
          <w:numId w:val="13"/>
        </w:numPr>
        <w:rPr>
          <w:rFonts w:ascii="Calibri" w:cs="Calibri" w:eastAsia="Calibri" w:hAnsi="Calibri"/>
          <w:sz w:val="18"/>
          <w:szCs w:val="18"/>
          <w:color w:val="51555C"/>
        </w:rPr>
      </w:pPr>
      <w:r>
        <w:rPr>
          <w:rFonts w:ascii="Calibri" w:cs="Calibri" w:eastAsia="Calibri" w:hAnsi="Calibri"/>
          <w:sz w:val="18"/>
          <w:szCs w:val="18"/>
          <w:color w:val="51555C"/>
        </w:rPr>
        <w:t>decreases in one-tme consultng revenue of $1.8 million and $5.2 million, respectvely, primarily due to decreases of $2.7 million and $5.2 million, respectvely, resultng from our sale of EVERFI Limited as discussed in Note 3 to our unaudited, condensed consolidated fnancial statements in this report.</w:t>
      </w:r>
    </w:p>
    <w:p>
      <w:pPr>
        <w:spacing w:after="0" w:line="2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previously disclosed and discussed above, we have a number of mult-year pricing initatves underway, some to bring our pricing in line with the market while others are model changes that are expected to drive greater revenue for both us and our customers. Excluding the impact from our sale of EVERFI Limited in the frst quarter of 2024, we expect that the decline in our non-strategic one-tme services and other revenue will slow in 2024 compared to the previous two years.</w:t>
      </w:r>
    </w:p>
    <w:p>
      <w:pPr>
        <w:spacing w:after="0" w:line="339"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28</w:t>
      </w:r>
      <w:r>
        <w:rPr>
          <w:sz w:val="20"/>
          <w:szCs w:val="20"/>
          <w:color w:val="auto"/>
        </w:rPr>
        <w:tab/>
      </w:r>
      <w:r>
        <w:rPr>
          <w:sz w:val="1"/>
          <w:szCs w:val="1"/>
          <w:color w:val="auto"/>
        </w:rPr>
        <w:drawing>
          <wp:inline distT="0" distB="0" distL="0" distR="0">
            <wp:extent cx="651510" cy="1714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Social Sector revenue (which represents approximately 88% of our total year-to-date revenue) increased $15.7 million, or 6.6%, and $55.0 million, or 7.9%, respectvely, during the three and nine months ended September 30, 2024, when compared to the same periods in 2023, driven primarily by the increases in contractual recurring revenue and transactonal recurring revenue discussed above. The Social Sector has proven to be very resilient as demonstrated through the last several economic downturns and the COVID-19 pandemic, and we have great confdence in the long-term trajectory of this porton of our business.</w:t>
      </w:r>
    </w:p>
    <w:p>
      <w:pPr>
        <w:spacing w:after="0" w:line="166"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51555C"/>
        </w:rPr>
        <w:t>Our Corporate Sector revenue (which represents approximately 12% of our total year-to-date revenue) decreased $6.6 million, or 17.3%, and $12.2 million, or 10.7%, respectvely, during the three and nine months ended September 30, 2024, when compared to the same periods in 2023, driven primarily by the underperformance of EVERFI and our dispositon of EVERFI Limited in March 2024 (see Note 3 to our unaudited, condensed consolidated fnancial statements in this report for more informaton). EVERFI has unique and valuable assets, including a comprehensive catalog of content, great customer relatonships and a deep talent pool. However, EVERFI has faced a number of external challenges and while we have taken decisive actons, including changes to Corporate Sector leadership and the dispositon of a non-recurring revenue component (EVERFI Limited discussed above), EVERFI contnues to be a drag on our overall performance, and we expect that to contnue. While EVERFI remains a small porton of our total revenue at approximately 8%, we are focused on achieving the best possible outcome for this business. We recently took actons to right-size EVERFI's business to beter align costs to its lower revenues, and we hired a strategic advisor to assist us in considering a range of alternatves for EVERFI, one of which includes a potental divestture of the business. This work is in early stages, and EVERFI remains well positoned to support its customers. We will contnue to provide updates as progress is made on this initatve.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236220</wp:posOffset>
            </wp:positionV>
            <wp:extent cx="659765"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29</w:t>
            </w:r>
          </w:p>
        </w:tc>
      </w:tr>
      <w:tr>
        <w:trPr>
          <w:trHeight w:val="364"/>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51555C"/>
        </w:rPr>
        <w:t>Blackbaud, Inc.</w:t>
      </w:r>
    </w:p>
    <w:p>
      <w:pPr>
        <w:jc w:val="center"/>
        <w:ind w:right="-19"/>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Income from operatons increased by $21.8 million and $84.2 million, respectvely, during the three and nine months ended September 30, 2024, respectvely, when compared to the same periods in 2023, driven largely by the following:</w:t>
      </w:r>
    </w:p>
    <w:p>
      <w:pPr>
        <w:spacing w:after="0" w:line="218" w:lineRule="exact"/>
        <w:rPr>
          <w:sz w:val="20"/>
          <w:szCs w:val="20"/>
          <w:color w:val="auto"/>
        </w:rPr>
      </w:pPr>
    </w:p>
    <w:p>
      <w:pPr>
        <w:ind w:left="700" w:right="20" w:hanging="445"/>
        <w:spacing w:after="0" w:line="235" w:lineRule="auto"/>
        <w:tabs>
          <w:tab w:leader="none" w:pos="700" w:val="left"/>
        </w:tabs>
        <w:numPr>
          <w:ilvl w:val="0"/>
          <w:numId w:val="14"/>
        </w:numPr>
        <w:rPr>
          <w:rFonts w:ascii="Calibri" w:cs="Calibri" w:eastAsia="Calibri" w:hAnsi="Calibri"/>
          <w:sz w:val="18"/>
          <w:szCs w:val="18"/>
          <w:color w:val="51555C"/>
        </w:rPr>
      </w:pPr>
      <w:r>
        <w:rPr>
          <w:rFonts w:ascii="Calibri" w:cs="Calibri" w:eastAsia="Calibri" w:hAnsi="Calibri"/>
          <w:sz w:val="18"/>
          <w:szCs w:val="18"/>
          <w:color w:val="51555C"/>
        </w:rPr>
        <w:t>Decreases in stock-based compensaton expense of $13.8 million and $19.2 million, respectvely, primarily due to overall Company performance against targets for certain performance-based equity awards, and a decrease in the grant date fair value of equity award grants</w:t>
      </w:r>
    </w:p>
    <w:p>
      <w:pPr>
        <w:ind w:left="700" w:hanging="445"/>
        <w:spacing w:after="0" w:line="181" w:lineRule="auto"/>
        <w:tabs>
          <w:tab w:leader="none" w:pos="700" w:val="left"/>
        </w:tabs>
        <w:numPr>
          <w:ilvl w:val="0"/>
          <w:numId w:val="14"/>
        </w:numPr>
        <w:rPr>
          <w:rFonts w:ascii="Calibri" w:cs="Calibri" w:eastAsia="Calibri" w:hAnsi="Calibri"/>
          <w:sz w:val="35"/>
          <w:szCs w:val="35"/>
          <w:color w:val="51555C"/>
          <w:vertAlign w:val="superscript"/>
        </w:rPr>
      </w:pPr>
      <w:r>
        <w:rPr>
          <w:rFonts w:ascii="Calibri" w:cs="Calibri" w:eastAsia="Calibri" w:hAnsi="Calibri"/>
          <w:sz w:val="18"/>
          <w:szCs w:val="18"/>
          <w:color w:val="51555C"/>
        </w:rPr>
        <w:t>Increases in total revenue, as described above</w:t>
      </w:r>
    </w:p>
    <w:p>
      <w:pPr>
        <w:spacing w:after="0" w:line="146" w:lineRule="exact"/>
        <w:rPr>
          <w:rFonts w:ascii="Calibri" w:cs="Calibri" w:eastAsia="Calibri" w:hAnsi="Calibri"/>
          <w:sz w:val="35"/>
          <w:szCs w:val="35"/>
          <w:color w:val="51555C"/>
          <w:vertAlign w:val="superscript"/>
        </w:rPr>
      </w:pPr>
    </w:p>
    <w:p>
      <w:pPr>
        <w:jc w:val="both"/>
        <w:ind w:left="700" w:right="20" w:hanging="445"/>
        <w:spacing w:after="0" w:line="196" w:lineRule="auto"/>
        <w:tabs>
          <w:tab w:leader="none" w:pos="700" w:val="left"/>
        </w:tabs>
        <w:numPr>
          <w:ilvl w:val="0"/>
          <w:numId w:val="14"/>
        </w:numPr>
        <w:rPr>
          <w:rFonts w:ascii="Calibri" w:cs="Calibri" w:eastAsia="Calibri" w:hAnsi="Calibri"/>
          <w:sz w:val="36"/>
          <w:szCs w:val="36"/>
          <w:color w:val="51555C"/>
          <w:vertAlign w:val="superscript"/>
        </w:rPr>
      </w:pPr>
      <w:r>
        <w:rPr>
          <w:rFonts w:ascii="Calibri" w:cs="Calibri" w:eastAsia="Calibri" w:hAnsi="Calibri"/>
          <w:sz w:val="18"/>
          <w:szCs w:val="18"/>
          <w:color w:val="51555C"/>
        </w:rPr>
        <w:t>Decreases in acquisiton and dispositon-related costs of $6.8 million and $2.0 million, respectvely. For the three months ended period, the decrease is primarily related to the inital noncash impairment charges against certain operatng lease right-of-use assets and property and equipment assets resultng from the sublease of porton of our Washington, DC ofce locaton during the third quarter of 2023 which did not reoccur in the third quarter of 2024. For the nine months ended period, the decrease related to the 2023 Washington, DC ofce impairment was partally ofset by an additonal impairment due to sublease, which occurred during the second quarter of 2024 and the dispositon of EVERFI Limited; see Note 5 and Note 3, respectvely, to our unaudited, condensed consolidated fnancial statements in this report for more informaton.</w:t>
      </w:r>
    </w:p>
    <w:p>
      <w:pPr>
        <w:spacing w:after="0" w:line="57" w:lineRule="exact"/>
        <w:rPr>
          <w:rFonts w:ascii="Calibri" w:cs="Calibri" w:eastAsia="Calibri" w:hAnsi="Calibri"/>
          <w:sz w:val="36"/>
          <w:szCs w:val="36"/>
          <w:color w:val="51555C"/>
          <w:vertAlign w:val="superscript"/>
        </w:rPr>
      </w:pPr>
    </w:p>
    <w:p>
      <w:pPr>
        <w:ind w:left="700" w:right="20" w:hanging="445"/>
        <w:spacing w:after="0" w:line="235" w:lineRule="auto"/>
        <w:tabs>
          <w:tab w:leader="none" w:pos="700" w:val="left"/>
        </w:tabs>
        <w:numPr>
          <w:ilvl w:val="0"/>
          <w:numId w:val="14"/>
        </w:numPr>
        <w:rPr>
          <w:rFonts w:ascii="Calibri" w:cs="Calibri" w:eastAsia="Calibri" w:hAnsi="Calibri"/>
          <w:sz w:val="18"/>
          <w:szCs w:val="18"/>
          <w:color w:val="51555C"/>
        </w:rPr>
      </w:pPr>
      <w:r>
        <w:rPr>
          <w:rFonts w:ascii="Calibri" w:cs="Calibri" w:eastAsia="Calibri" w:hAnsi="Calibri"/>
          <w:sz w:val="18"/>
          <w:szCs w:val="18"/>
          <w:color w:val="51555C"/>
        </w:rPr>
        <w:t>Decrease in employee severance costs of $5.0 million, during the nine months ended September 30, 2024, related to our prior period targeted workforce reductons</w:t>
      </w:r>
    </w:p>
    <w:p>
      <w:pPr>
        <w:spacing w:after="0" w:line="109" w:lineRule="exact"/>
        <w:rPr>
          <w:rFonts w:ascii="Calibri" w:cs="Calibri" w:eastAsia="Calibri" w:hAnsi="Calibri"/>
          <w:sz w:val="18"/>
          <w:szCs w:val="18"/>
          <w:color w:val="51555C"/>
        </w:rPr>
      </w:pPr>
    </w:p>
    <w:p>
      <w:pPr>
        <w:ind w:left="700" w:right="20" w:hanging="445"/>
        <w:spacing w:after="0" w:line="180" w:lineRule="auto"/>
        <w:tabs>
          <w:tab w:leader="none" w:pos="700" w:val="left"/>
        </w:tabs>
        <w:numPr>
          <w:ilvl w:val="0"/>
          <w:numId w:val="14"/>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Decreases in Security Incident-related expenses of $3.4 million and $35.9 million, respectvely, largely related to decreases in loss contngency accruals (see "Security Incident update" below)</w:t>
      </w:r>
    </w:p>
    <w:p>
      <w:pPr>
        <w:spacing w:after="0" w:line="109" w:lineRule="exact"/>
        <w:rPr>
          <w:rFonts w:ascii="Calibri" w:cs="Calibri" w:eastAsia="Calibri" w:hAnsi="Calibri"/>
          <w:sz w:val="31"/>
          <w:szCs w:val="31"/>
          <w:color w:val="51555C"/>
          <w:vertAlign w:val="superscript"/>
        </w:rPr>
      </w:pPr>
    </w:p>
    <w:p>
      <w:pPr>
        <w:jc w:val="both"/>
        <w:ind w:left="700" w:right="20" w:hanging="445"/>
        <w:spacing w:after="0" w:line="187" w:lineRule="auto"/>
        <w:tabs>
          <w:tab w:leader="none" w:pos="700" w:val="left"/>
        </w:tabs>
        <w:numPr>
          <w:ilvl w:val="0"/>
          <w:numId w:val="14"/>
        </w:numPr>
        <w:rPr>
          <w:rFonts w:ascii="Calibri" w:cs="Calibri" w:eastAsia="Calibri" w:hAnsi="Calibri"/>
          <w:sz w:val="34"/>
          <w:szCs w:val="34"/>
          <w:color w:val="51555C"/>
          <w:vertAlign w:val="superscript"/>
        </w:rPr>
      </w:pPr>
      <w:r>
        <w:rPr>
          <w:rFonts w:ascii="Calibri" w:cs="Calibri" w:eastAsia="Calibri" w:hAnsi="Calibri"/>
          <w:sz w:val="17"/>
          <w:szCs w:val="17"/>
          <w:color w:val="51555C"/>
        </w:rPr>
        <w:t>Decreases in commission expense of $2.8 million and $9.3 million, respectvely, primarily due to fewer sales headcount and a prospectve increase in the period of beneft over which we amortzed costs of obtaining contracts with customers from 5 to 6 years beginning in the year ending December 31, 2024</w:t>
      </w:r>
    </w:p>
    <w:p>
      <w:pPr>
        <w:spacing w:after="0" w:line="109" w:lineRule="exact"/>
        <w:rPr>
          <w:rFonts w:ascii="Calibri" w:cs="Calibri" w:eastAsia="Calibri" w:hAnsi="Calibri"/>
          <w:sz w:val="34"/>
          <w:szCs w:val="34"/>
          <w:color w:val="51555C"/>
          <w:vertAlign w:val="superscript"/>
        </w:rPr>
      </w:pPr>
    </w:p>
    <w:p>
      <w:pPr>
        <w:ind w:left="700" w:right="20" w:hanging="445"/>
        <w:spacing w:after="0" w:line="180" w:lineRule="auto"/>
        <w:tabs>
          <w:tab w:leader="none" w:pos="700" w:val="left"/>
        </w:tabs>
        <w:numPr>
          <w:ilvl w:val="0"/>
          <w:numId w:val="14"/>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 in corporate costs of $1.6 million, during the nine months ended September 30, 2024, primarily related to a decrease in bad debt expense and the release of certain accrued tax liabilites due to favorable state sales tax rulings</w:t>
      </w:r>
    </w:p>
    <w:p>
      <w:pPr>
        <w:spacing w:after="0" w:line="50" w:lineRule="exact"/>
        <w:rPr>
          <w:rFonts w:ascii="Calibri" w:cs="Calibri" w:eastAsia="Calibri" w:hAnsi="Calibri"/>
          <w:sz w:val="31"/>
          <w:szCs w:val="31"/>
          <w:color w:val="51555C"/>
          <w:vertAlign w:val="superscript"/>
        </w:rPr>
      </w:pPr>
    </w:p>
    <w:p>
      <w:pPr>
        <w:ind w:left="700" w:hanging="445"/>
        <w:spacing w:after="0"/>
        <w:tabs>
          <w:tab w:leader="none" w:pos="700" w:val="left"/>
        </w:tabs>
        <w:numPr>
          <w:ilvl w:val="0"/>
          <w:numId w:val="14"/>
        </w:numPr>
        <w:rPr>
          <w:rFonts w:ascii="Calibri" w:cs="Calibri" w:eastAsia="Calibri" w:hAnsi="Calibri"/>
          <w:sz w:val="18"/>
          <w:szCs w:val="18"/>
          <w:color w:val="51555C"/>
        </w:rPr>
      </w:pPr>
      <w:r>
        <w:rPr>
          <w:rFonts w:ascii="Calibri" w:cs="Calibri" w:eastAsia="Calibri" w:hAnsi="Calibri"/>
          <w:sz w:val="18"/>
          <w:szCs w:val="18"/>
          <w:color w:val="51555C"/>
        </w:rPr>
        <w:t>Decreases in direct costs of revenue of $0.8 million and $1.0 million, respectvely, primarily due to our sale of EVERFI Limited as discussed above</w:t>
      </w:r>
    </w:p>
    <w:p>
      <w:pPr>
        <w:spacing w:after="0" w:line="109" w:lineRule="exact"/>
        <w:rPr>
          <w:sz w:val="20"/>
          <w:szCs w:val="20"/>
          <w:color w:val="auto"/>
        </w:rPr>
      </w:pPr>
    </w:p>
    <w:p>
      <w:pPr>
        <w:ind w:left="700" w:right="20" w:hanging="445"/>
        <w:spacing w:after="0" w:line="180" w:lineRule="auto"/>
        <w:tabs>
          <w:tab w:leader="none" w:pos="700" w:val="left"/>
        </w:tabs>
        <w:numPr>
          <w:ilvl w:val="0"/>
          <w:numId w:val="15"/>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Increases in compensaton costs other than stock-based compensaton of $3.6 million and $6.5 million, respectvely, primarily due to an increase in resources dedicated to our cybersecurity program</w:t>
      </w:r>
    </w:p>
    <w:p>
      <w:pPr>
        <w:ind w:left="700" w:hanging="445"/>
        <w:spacing w:after="0" w:line="187" w:lineRule="auto"/>
        <w:tabs>
          <w:tab w:leader="none" w:pos="700" w:val="left"/>
        </w:tabs>
        <w:numPr>
          <w:ilvl w:val="0"/>
          <w:numId w:val="15"/>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Increases in third-party contractor costs of $3.2 million and $6.0 million, respectvely, largely related to enhancements to our cybersecurity program</w:t>
      </w:r>
    </w:p>
    <w:p>
      <w:pPr>
        <w:spacing w:after="0" w:line="145" w:lineRule="exact"/>
        <w:rPr>
          <w:rFonts w:ascii="Calibri" w:cs="Calibri" w:eastAsia="Calibri" w:hAnsi="Calibri"/>
          <w:sz w:val="34"/>
          <w:szCs w:val="34"/>
          <w:color w:val="51555C"/>
          <w:vertAlign w:val="superscript"/>
        </w:rPr>
      </w:pPr>
    </w:p>
    <w:p>
      <w:pPr>
        <w:jc w:val="both"/>
        <w:ind w:left="700" w:right="20" w:hanging="445"/>
        <w:spacing w:after="0"/>
        <w:tabs>
          <w:tab w:leader="none" w:pos="700" w:val="left"/>
        </w:tabs>
        <w:numPr>
          <w:ilvl w:val="0"/>
          <w:numId w:val="15"/>
        </w:numPr>
        <w:rPr>
          <w:rFonts w:ascii="Calibri" w:cs="Calibri" w:eastAsia="Calibri" w:hAnsi="Calibri"/>
          <w:sz w:val="32"/>
          <w:szCs w:val="32"/>
          <w:color w:val="51555C"/>
          <w:vertAlign w:val="superscript"/>
        </w:rPr>
      </w:pPr>
      <w:r>
        <w:rPr>
          <w:rFonts w:ascii="Calibri" w:cs="Calibri" w:eastAsia="Calibri" w:hAnsi="Calibri"/>
          <w:sz w:val="16"/>
          <w:szCs w:val="16"/>
          <w:color w:val="51555C"/>
        </w:rPr>
        <w:t>Decrease of $2.9 million, during the nine months ended September 30, 2024, due to an increase in amortzaton of capitalized sofware and content development costs and a decrease in sofware and content development costs that were required to be capitalized under the internal-use sofware guidance</w:t>
      </w:r>
    </w:p>
    <w:p>
      <w:pPr>
        <w:spacing w:after="0" w:line="134" w:lineRule="exact"/>
        <w:rPr>
          <w:rFonts w:ascii="Calibri" w:cs="Calibri" w:eastAsia="Calibri" w:hAnsi="Calibri"/>
          <w:sz w:val="32"/>
          <w:szCs w:val="32"/>
          <w:color w:val="51555C"/>
          <w:vertAlign w:val="superscript"/>
        </w:rPr>
      </w:pPr>
    </w:p>
    <w:p>
      <w:pPr>
        <w:jc w:val="both"/>
        <w:ind w:left="700" w:right="20" w:hanging="445"/>
        <w:spacing w:after="0" w:line="187" w:lineRule="auto"/>
        <w:tabs>
          <w:tab w:leader="none" w:pos="700" w:val="left"/>
        </w:tabs>
        <w:numPr>
          <w:ilvl w:val="0"/>
          <w:numId w:val="15"/>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Increases in hostng and data center costs of $1.8 million and $4.1 million, respectvely, as we contnue to migrate our cloud infrastructure to leading public cloud service providers and make investments in security; currently, we expect our cloud infrastructure migraton eforts and increased level of cybersecurity investments to contnue for the foreseeable future</w:t>
      </w:r>
    </w:p>
    <w:p>
      <w:pPr>
        <w:spacing w:after="0" w:line="109" w:lineRule="exact"/>
        <w:rPr>
          <w:rFonts w:ascii="Calibri" w:cs="Calibri" w:eastAsia="Calibri" w:hAnsi="Calibri"/>
          <w:sz w:val="34"/>
          <w:szCs w:val="34"/>
          <w:color w:val="51555C"/>
          <w:vertAlign w:val="superscript"/>
        </w:rPr>
      </w:pPr>
    </w:p>
    <w:p>
      <w:pPr>
        <w:ind w:left="700" w:right="20" w:hanging="445"/>
        <w:spacing w:after="0" w:line="180" w:lineRule="auto"/>
        <w:tabs>
          <w:tab w:leader="none" w:pos="700" w:val="left"/>
        </w:tabs>
        <w:numPr>
          <w:ilvl w:val="0"/>
          <w:numId w:val="15"/>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Increases in amortzaton of intangible assets from business combinatons of $1.7 million and $5.0 million, respectvely, as most the intangible assets we acquired with EVERFI in December 2021 are amortzed on a curve that represents the expected period of economic beneft</w:t>
      </w:r>
    </w:p>
    <w:p>
      <w:pPr>
        <w:spacing w:after="0" w:line="109" w:lineRule="exact"/>
        <w:rPr>
          <w:rFonts w:ascii="Calibri" w:cs="Calibri" w:eastAsia="Calibri" w:hAnsi="Calibri"/>
          <w:sz w:val="31"/>
          <w:szCs w:val="31"/>
          <w:color w:val="51555C"/>
          <w:vertAlign w:val="superscript"/>
        </w:rPr>
      </w:pPr>
    </w:p>
    <w:p>
      <w:pPr>
        <w:jc w:val="both"/>
        <w:ind w:left="700" w:right="20" w:hanging="445"/>
        <w:spacing w:after="0" w:line="187" w:lineRule="auto"/>
        <w:tabs>
          <w:tab w:leader="none" w:pos="700" w:val="left"/>
        </w:tabs>
        <w:numPr>
          <w:ilvl w:val="0"/>
          <w:numId w:val="15"/>
        </w:numPr>
        <w:rPr>
          <w:rFonts w:ascii="Calibri" w:cs="Calibri" w:eastAsia="Calibri" w:hAnsi="Calibri"/>
          <w:sz w:val="34"/>
          <w:szCs w:val="34"/>
          <w:color w:val="51555C"/>
          <w:vertAlign w:val="superscript"/>
        </w:rPr>
      </w:pPr>
      <w:r>
        <w:rPr>
          <w:rFonts w:ascii="Calibri" w:cs="Calibri" w:eastAsia="Calibri" w:hAnsi="Calibri"/>
          <w:sz w:val="17"/>
          <w:szCs w:val="17"/>
          <w:color w:val="51555C"/>
        </w:rPr>
        <w:t xml:space="preserve">Increases in advertsing costs of $0.8 million and $3.7 million, respectvely, primarily due to tming diferences compared to 2023 (for example, </w:t>
      </w:r>
      <w:r>
        <w:rPr>
          <w:rFonts w:ascii="Calibri" w:cs="Calibri" w:eastAsia="Calibri" w:hAnsi="Calibri"/>
          <w:sz w:val="17"/>
          <w:szCs w:val="17"/>
          <w:i w:val="1"/>
          <w:iCs w:val="1"/>
          <w:color w:val="51555C"/>
        </w:rPr>
        <w:t>bbcon®</w:t>
      </w:r>
      <w:r>
        <w:rPr>
          <w:rFonts w:ascii="Calibri" w:cs="Calibri" w:eastAsia="Calibri" w:hAnsi="Calibri"/>
          <w:sz w:val="17"/>
          <w:szCs w:val="17"/>
          <w:color w:val="51555C"/>
        </w:rPr>
        <w:t>, our annual user conference, which was held in September of 2024 and October of 2023) and, to a lesser extent, increased digital marketng</w:t>
      </w:r>
      <w:r>
        <w:rPr>
          <w:rFonts w:ascii="Calibri" w:cs="Calibri" w:eastAsia="Calibri" w:hAnsi="Calibri"/>
          <w:sz w:val="17"/>
          <w:szCs w:val="17"/>
          <w:i w:val="1"/>
          <w:iCs w:val="1"/>
          <w:color w:val="51555C"/>
        </w:rPr>
        <w:t xml:space="preserve"> </w:t>
      </w:r>
      <w:r>
        <w:rPr>
          <w:rFonts w:ascii="Calibri" w:cs="Calibri" w:eastAsia="Calibri" w:hAnsi="Calibri"/>
          <w:sz w:val="17"/>
          <w:szCs w:val="17"/>
          <w:color w:val="51555C"/>
        </w:rPr>
        <w:t>spend to drive fundraising page creaton for JustGiving</w:t>
      </w:r>
    </w:p>
    <w:p>
      <w:pPr>
        <w:spacing w:after="0" w:line="109" w:lineRule="exact"/>
        <w:rPr>
          <w:rFonts w:ascii="Calibri" w:cs="Calibri" w:eastAsia="Calibri" w:hAnsi="Calibri"/>
          <w:sz w:val="34"/>
          <w:szCs w:val="34"/>
          <w:color w:val="51555C"/>
          <w:vertAlign w:val="superscript"/>
        </w:rPr>
      </w:pPr>
    </w:p>
    <w:p>
      <w:pPr>
        <w:ind w:left="700" w:right="20" w:hanging="445"/>
        <w:spacing w:after="0" w:line="180" w:lineRule="auto"/>
        <w:tabs>
          <w:tab w:leader="none" w:pos="700" w:val="left"/>
        </w:tabs>
        <w:numPr>
          <w:ilvl w:val="0"/>
          <w:numId w:val="15"/>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Increases in transacton-based costs of $0.8 million and $3.4 million, respectvely, related to the increase in the volume of transactons for which we process payments and, to a lesser extent, increases in vendor rates</w:t>
      </w:r>
    </w:p>
    <w:p>
      <w:pPr>
        <w:ind w:left="700" w:hanging="445"/>
        <w:spacing w:after="0" w:line="181" w:lineRule="auto"/>
        <w:tabs>
          <w:tab w:leader="none" w:pos="700" w:val="left"/>
        </w:tabs>
        <w:numPr>
          <w:ilvl w:val="0"/>
          <w:numId w:val="15"/>
        </w:numPr>
        <w:rPr>
          <w:rFonts w:ascii="Calibri" w:cs="Calibri" w:eastAsia="Calibri" w:hAnsi="Calibri"/>
          <w:sz w:val="35"/>
          <w:szCs w:val="35"/>
          <w:color w:val="51555C"/>
          <w:vertAlign w:val="superscript"/>
        </w:rPr>
      </w:pPr>
      <w:r>
        <w:rPr>
          <w:rFonts w:ascii="Calibri" w:cs="Calibri" w:eastAsia="Calibri" w:hAnsi="Calibri"/>
          <w:sz w:val="18"/>
          <w:szCs w:val="18"/>
          <w:color w:val="51555C"/>
        </w:rPr>
        <w:t xml:space="preserve">Increases in travel costs of $0.8 million and $1.9 million, respectvely, primarily due to the tming of travel related to </w:t>
      </w:r>
      <w:r>
        <w:rPr>
          <w:rFonts w:ascii="Calibri" w:cs="Calibri" w:eastAsia="Calibri" w:hAnsi="Calibri"/>
          <w:sz w:val="18"/>
          <w:szCs w:val="18"/>
          <w:i w:val="1"/>
          <w:iCs w:val="1"/>
          <w:color w:val="51555C"/>
        </w:rPr>
        <w:t>bbcon</w:t>
      </w:r>
      <w:r>
        <w:rPr>
          <w:rFonts w:ascii="Calibri" w:cs="Calibri" w:eastAsia="Calibri" w:hAnsi="Calibri"/>
          <w:sz w:val="18"/>
          <w:szCs w:val="18"/>
          <w:color w:val="51555C"/>
        </w:rPr>
        <w:t xml:space="preserve"> (as discussed above)</w:t>
      </w:r>
    </w:p>
    <w:p>
      <w:pPr>
        <w:spacing w:after="0" w:line="28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We are contnuing to make critcal investments in the business in areas such as innovaton, cybersecurity, and our contnued shif of cloud infrastructure to leading public cloud service providers. Our fnancial results through the third quarter of 2024 refect some of these incremental investments.</w:t>
      </w:r>
    </w:p>
    <w:p>
      <w:pPr>
        <w:spacing w:after="0" w:line="338"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30</w:t>
      </w:r>
      <w:r>
        <w:rPr>
          <w:sz w:val="20"/>
          <w:szCs w:val="20"/>
          <w:color w:val="auto"/>
        </w:rPr>
        <w:tab/>
      </w:r>
      <w:r>
        <w:rPr>
          <w:sz w:val="1"/>
          <w:szCs w:val="1"/>
          <w:color w:val="auto"/>
        </w:rPr>
        <w:drawing>
          <wp:inline distT="0" distB="0" distL="0" distR="0">
            <wp:extent cx="651510" cy="17145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contnuously seek opportunites to optmize our portolio of solutons to focus tme and resources on innovaton that will have the greatest impact for our customers and the markets we serve, and drive the highest return on investment. To that end, we will contnue to simplify and ratonalize our portolio through product sunsets and divesttures of non-core businesses and technologies.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a remote-frst workforce company, we also contnuously evaluate opportunites to shif various business units or functons to lower-cost jurisdictons, including internatonally, and may do so if and when we determine that it would reduce costs without negatvely impactng the quality of our products and services.</w:t>
      </w:r>
    </w:p>
    <w:p>
      <w:pPr>
        <w:spacing w:after="0" w:line="214" w:lineRule="exact"/>
        <w:rPr>
          <w:sz w:val="20"/>
          <w:szCs w:val="20"/>
          <w:color w:val="auto"/>
        </w:rPr>
      </w:pPr>
    </w:p>
    <w:p>
      <w:pPr>
        <w:ind w:left="1380"/>
        <w:spacing w:after="0"/>
        <w:rPr>
          <w:sz w:val="20"/>
          <w:szCs w:val="20"/>
          <w:color w:val="auto"/>
        </w:rPr>
      </w:pPr>
      <w:r>
        <w:rPr>
          <w:rFonts w:ascii="Calibri" w:cs="Calibri" w:eastAsia="Calibri" w:hAnsi="Calibri"/>
          <w:sz w:val="18"/>
          <w:szCs w:val="18"/>
          <w:i w:val="1"/>
          <w:iCs w:val="1"/>
          <w:color w:val="51555C"/>
        </w:rPr>
        <w:t>Gross dollar retenton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7260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203200</wp:posOffset>
            </wp:positionV>
            <wp:extent cx="2280285" cy="131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8028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recurring subscripton contracts are typically for a term of three years at contract incepton. A key factor to our overall success is the renewal and expansion of our existng subscripton agreements with our customers. Management uses gross dollar retenton in analyzing our success at delightng our customers with innovatve and cloud solutons. Gross dollar retenton is defned as contracted annual recurring revenue ("CARR") divided by beginning CARR with a measurement period of twelve months. For the twelve months ended September 30, 2024, our gross dollar retenton was approximately 90%. This gross dollar retenton rate was consistent with our rate for the full year ended December 31, 2023. Excluding EVERFI, our gross dollar retenton during the twelve months ended September 30, 2024 was approximately 92%. We are contnually investng in innovaton, which we believe will increase gross dollar retenton over the long-term.</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Balance sheet and cash fow</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At September 30, 2024, our cash and cash equivalents were $34.6 million. Under the 2024 Credit Facilites, the carrying amount of our debt was $943.0 million and our net leverage rato was 2.42 to 1.00.</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the nine months ended September 30, 2024, we generated $222.4 million in cash from operatons, had a net increase in borrowings of $223.2 million, returned $325.4 million to stockholders by way of share repurchases and had aggregate cash outlays of $50.1 million for purchases of property and equipment and capitalized sofware and content development costs.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Security Incident update</w:t>
      </w:r>
    </w:p>
    <w:p>
      <w:pPr>
        <w:spacing w:after="0" w:line="163"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51555C"/>
        </w:rPr>
        <w:t>As discussed in Note 9 to our unaudited, condensed consolidated fnancial statements in this report, total costs related to the Security Incident exceeded the limit of our insurance coverage in the frst quarter of 2022. Accordingly, the Security Incident has negatvely impacted, and we expect it to contnue for the foreseeable future to negatvely impact, our GAAP proftability and GAAP cash fow (see discussion regarding non-GAAP free cash fow and non-GAAP adjusted free cash fow on page 43). For the three months ended September 30, 2024, we incurred net pre-tax expenses which were insignifcant. For the nine months ended September 30, 2024, we incurred net pre-tax expenses of $12.8 million related to the Security Incident, which included $6.0 million for ongoing legal fees and additonal accruals for loss contngencies of $6.8 million. During the nine months ended September 30, 2024, we had cash outlays of $15.1 million related to the Security Incident for ongoing legal fees and the $6.8 million paid during the third quarter of 2024 related to our setlement with the Atorney General of the State of California. In line with our policy, legal fees are expensed as incurred. For full year 2024, we currently expect pre-tax expenses of approximately $5.0 million to $10.0 million and cash outlays of approximately $8.0 million to $13.0 million for ongoing legal fees related to the Security Incident. Not included in these ranges are our previous setlements or current accruals for loss contngencies related to the maters discussed below.</w:t>
      </w:r>
    </w:p>
    <w:p>
      <w:pPr>
        <w:spacing w:after="0" w:line="16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September 30, 2024, we have recorded approximately $0.7 million in aggregate liabilites for loss contngencies based primarily on recent negotatons with certain customers related to the Security Incident that we believed we could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247015</wp:posOffset>
            </wp:positionV>
            <wp:extent cx="659765"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31</w:t>
            </w:r>
          </w:p>
        </w:tc>
      </w:tr>
      <w:tr>
        <w:trPr>
          <w:trHeight w:val="351"/>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estmate in accordance with our loss contngency procedures described above and as more fully described in Note 9. It is reasonably possible that our estmated actual losses may change in the near term for those maters and be materially in excess of the amounts accrued, but we are unable at this tme to reasonably estmate the possible additonal loss.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There are other Security Incident-related maters, including customer claims, customer consttuent class actons and governmental investgatons, for which we have not recorded a liability for a loss contngency as of September 30, 2024 because we are unable at this tme to reasonably estmate the possible loss or range of loss. Each of these maters could, separately or in the aggregate, result in an adverse judgment, setlement, fne, penalty or other resoluton, the amount, scope and tming of which we are currently unable to predict, but could have a material adverse impact on our results of operatons, cash fows or fnancial conditon.</w:t>
      </w:r>
    </w:p>
    <w:p>
      <w:pPr>
        <w:spacing w:after="0" w:line="25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Results of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Comparison of the three and nine months ended September 30, 2024 and 2023</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Revenue and Cost of Revenue</w:t>
      </w:r>
    </w:p>
    <w:p>
      <w:pPr>
        <w:spacing w:after="0" w:line="347" w:lineRule="exact"/>
        <w:rPr>
          <w:sz w:val="20"/>
          <w:szCs w:val="20"/>
          <w:color w:val="auto"/>
        </w:rPr>
      </w:pPr>
    </w:p>
    <w:p>
      <w:pPr>
        <w:ind w:left="20"/>
        <w:spacing w:after="0"/>
        <w:rPr>
          <w:sz w:val="20"/>
          <w:szCs w:val="20"/>
          <w:color w:val="auto"/>
        </w:rPr>
      </w:pPr>
      <w:r>
        <w:rPr>
          <w:rFonts w:ascii="Calibri" w:cs="Calibri" w:eastAsia="Calibri" w:hAnsi="Calibri"/>
          <w:sz w:val="18"/>
          <w:szCs w:val="18"/>
          <w:i w:val="1"/>
          <w:iCs w:val="1"/>
          <w:color w:val="51555C"/>
        </w:rPr>
        <w:t>Recurring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Calibri" w:cs="Calibri" w:eastAsia="Calibri" w:hAnsi="Calibri"/>
                <w:sz w:val="18"/>
                <w:szCs w:val="18"/>
                <w:i w:val="1"/>
                <w:iCs w:val="1"/>
                <w:color w:val="51555C"/>
              </w:rPr>
              <w:t>Gross proft ($M)</w:t>
            </w:r>
          </w:p>
        </w:tc>
      </w:tr>
      <w:tr>
        <w:trPr>
          <w:trHeight w:val="216"/>
        </w:trPr>
        <w:tc>
          <w:tcPr>
            <w:tcW w:w="3200" w:type="dxa"/>
            <w:vAlign w:val="bottom"/>
            <w:gridSpan w:val="2"/>
          </w:tcPr>
          <w:p>
            <w:pPr>
              <w:jc w:val="center"/>
              <w:ind w:right="400"/>
              <w:spacing w:after="0" w:line="216" w:lineRule="exact"/>
              <w:rPr>
                <w:sz w:val="20"/>
                <w:szCs w:val="20"/>
                <w:color w:val="auto"/>
              </w:rPr>
            </w:pPr>
            <w:r>
              <w:rPr>
                <w:rFonts w:ascii="Calibri" w:cs="Calibri" w:eastAsia="Calibri" w:hAnsi="Calibri"/>
                <w:sz w:val="18"/>
                <w:szCs w:val="18"/>
                <w:i w:val="1"/>
                <w:iCs w:val="1"/>
                <w:color w:val="51555C"/>
                <w:w w:val="98"/>
              </w:rPr>
              <w:t>Revenue ($M)</w:t>
            </w:r>
          </w:p>
        </w:tc>
        <w:tc>
          <w:tcPr>
            <w:tcW w:w="3140" w:type="dxa"/>
            <w:vAlign w:val="bottom"/>
            <w:gridSpan w:val="2"/>
          </w:tcPr>
          <w:p>
            <w:pPr>
              <w:jc w:val="center"/>
              <w:ind w:right="420"/>
              <w:spacing w:after="0" w:line="216" w:lineRule="exact"/>
              <w:rPr>
                <w:sz w:val="20"/>
                <w:szCs w:val="20"/>
                <w:color w:val="auto"/>
              </w:rPr>
            </w:pPr>
            <w:r>
              <w:rPr>
                <w:rFonts w:ascii="Calibri" w:cs="Calibri" w:eastAsia="Calibri" w:hAnsi="Calibri"/>
                <w:sz w:val="18"/>
                <w:szCs w:val="18"/>
                <w:i w:val="1"/>
                <w:iCs w:val="1"/>
                <w:color w:val="51555C"/>
                <w:w w:val="96"/>
              </w:rPr>
              <w:t>Cost of revenue ($M)</w:t>
            </w:r>
          </w:p>
        </w:tc>
        <w:tc>
          <w:tcPr>
            <w:tcW w:w="2900" w:type="dxa"/>
            <w:vAlign w:val="bottom"/>
          </w:tcPr>
          <w:p>
            <w:pPr>
              <w:jc w:val="center"/>
              <w:spacing w:after="0" w:line="216" w:lineRule="exact"/>
              <w:rPr>
                <w:sz w:val="20"/>
                <w:szCs w:val="20"/>
                <w:color w:val="auto"/>
              </w:rPr>
            </w:pPr>
            <w:r>
              <w:rPr>
                <w:rFonts w:ascii="Calibri" w:cs="Calibri" w:eastAsia="Calibri" w:hAnsi="Calibri"/>
                <w:sz w:val="18"/>
                <w:szCs w:val="18"/>
                <w:i w:val="1"/>
                <w:iCs w:val="1"/>
                <w:color w:val="51555C"/>
                <w:w w:val="96"/>
              </w:rPr>
              <w:t>and gross margin (%)</w:t>
            </w:r>
          </w:p>
        </w:tc>
      </w:tr>
      <w:tr>
        <w:trPr>
          <w:trHeight w:val="50"/>
        </w:trPr>
        <w:tc>
          <w:tcPr>
            <w:tcW w:w="2780" w:type="dxa"/>
            <w:vAlign w:val="bottom"/>
            <w:tcBorders>
              <w:bottom w:val="single" w:sz="8" w:color="51555C"/>
            </w:tcBorders>
          </w:tcPr>
          <w:p>
            <w:pPr>
              <w:spacing w:after="0"/>
              <w:rPr>
                <w:sz w:val="4"/>
                <w:szCs w:val="4"/>
                <w:color w:val="auto"/>
              </w:rPr>
            </w:pPr>
          </w:p>
        </w:tc>
        <w:tc>
          <w:tcPr>
            <w:tcW w:w="420" w:type="dxa"/>
            <w:vAlign w:val="bottom"/>
          </w:tcPr>
          <w:p>
            <w:pPr>
              <w:spacing w:after="0"/>
              <w:rPr>
                <w:sz w:val="4"/>
                <w:szCs w:val="4"/>
                <w:color w:val="auto"/>
              </w:rPr>
            </w:pPr>
          </w:p>
        </w:tc>
        <w:tc>
          <w:tcPr>
            <w:tcW w:w="2720" w:type="dxa"/>
            <w:vAlign w:val="bottom"/>
            <w:tcBorders>
              <w:bottom w:val="single" w:sz="8" w:color="51555C"/>
            </w:tcBorders>
          </w:tcPr>
          <w:p>
            <w:pPr>
              <w:spacing w:after="0"/>
              <w:rPr>
                <w:sz w:val="4"/>
                <w:szCs w:val="4"/>
                <w:color w:val="auto"/>
              </w:rPr>
            </w:pPr>
          </w:p>
        </w:tc>
        <w:tc>
          <w:tcPr>
            <w:tcW w:w="420" w:type="dxa"/>
            <w:vAlign w:val="bottom"/>
          </w:tcPr>
          <w:p>
            <w:pPr>
              <w:spacing w:after="0"/>
              <w:rPr>
                <w:sz w:val="4"/>
                <w:szCs w:val="4"/>
                <w:color w:val="auto"/>
              </w:rPr>
            </w:pPr>
          </w:p>
        </w:tc>
        <w:tc>
          <w:tcPr>
            <w:tcW w:w="2900" w:type="dxa"/>
            <w:vAlign w:val="bottom"/>
            <w:tcBorders>
              <w:bottom w:val="single" w:sz="8" w:color="51555C"/>
            </w:tcBorders>
          </w:tcPr>
          <w:p>
            <w:pPr>
              <w:spacing w:after="0"/>
              <w:rPr>
                <w:sz w:val="4"/>
                <w:szCs w:val="4"/>
                <w:color w:val="auto"/>
              </w:rPr>
            </w:pPr>
          </w:p>
        </w:tc>
      </w:tr>
      <w:tr>
        <w:trPr>
          <w:trHeight w:val="213"/>
        </w:trPr>
        <w:tc>
          <w:tcPr>
            <w:tcW w:w="3200" w:type="dxa"/>
            <w:vAlign w:val="bottom"/>
            <w:gridSpan w:val="2"/>
          </w:tcPr>
          <w:p>
            <w:pPr>
              <w:jc w:val="center"/>
              <w:ind w:right="400"/>
              <w:spacing w:after="0"/>
              <w:rPr>
                <w:sz w:val="20"/>
                <w:szCs w:val="20"/>
                <w:color w:val="auto"/>
              </w:rPr>
            </w:pPr>
            <w:r>
              <w:rPr>
                <w:rFonts w:ascii="Calibri" w:cs="Calibri" w:eastAsia="Calibri" w:hAnsi="Calibri"/>
                <w:sz w:val="13"/>
                <w:szCs w:val="13"/>
                <w:i w:val="1"/>
                <w:iCs w:val="1"/>
                <w:color w:val="51555C"/>
                <w:w w:val="97"/>
              </w:rPr>
              <w:t>YoY Growth (%)</w:t>
            </w:r>
          </w:p>
        </w:tc>
        <w:tc>
          <w:tcPr>
            <w:tcW w:w="3140" w:type="dxa"/>
            <w:vAlign w:val="bottom"/>
            <w:gridSpan w:val="2"/>
          </w:tcPr>
          <w:p>
            <w:pPr>
              <w:jc w:val="center"/>
              <w:ind w:right="400"/>
              <w:spacing w:after="0"/>
              <w:rPr>
                <w:sz w:val="20"/>
                <w:szCs w:val="20"/>
                <w:color w:val="auto"/>
              </w:rPr>
            </w:pPr>
            <w:r>
              <w:rPr>
                <w:rFonts w:ascii="Calibri" w:cs="Calibri" w:eastAsia="Calibri" w:hAnsi="Calibri"/>
                <w:sz w:val="13"/>
                <w:szCs w:val="13"/>
                <w:i w:val="1"/>
                <w:iCs w:val="1"/>
                <w:color w:val="51555C"/>
                <w:w w:val="95"/>
              </w:rPr>
              <w:t>YoY Growth (%)</w:t>
            </w:r>
          </w:p>
        </w:tc>
        <w:tc>
          <w:tcPr>
            <w:tcW w:w="29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5812155" cy="30086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1215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color w:val="51555C"/>
        </w:rPr>
        <w:t>Recurring revenue includes two components: contractual recurring and transactonal recurring.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Contractual recurring revenue is primarily comprised of fees for the use of our subscripton-based sofware solutons, which includes providing access to cloud solutons, Impact-as-a-Service™ digital educatonal content, online training programs and subscripton-based analytc services. Contractual recurring revenue also includes fees from maintenance services for our on-premises solutons.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Transactonal recurring revenue is comprised of transacton fees associated with the use of our solutons, including donaton processing, tuiton management, consumer giving and event-based usage.</w:t>
      </w:r>
    </w:p>
    <w:p>
      <w:pPr>
        <w:spacing w:after="0" w:line="338"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32</w:t>
      </w:r>
      <w:r>
        <w:rPr>
          <w:sz w:val="20"/>
          <w:szCs w:val="20"/>
          <w:color w:val="auto"/>
        </w:rPr>
        <w:tab/>
      </w:r>
      <w:r>
        <w:rPr>
          <w:sz w:val="1"/>
          <w:szCs w:val="1"/>
          <w:color w:val="auto"/>
        </w:rPr>
        <w:drawing>
          <wp:inline distT="0" distB="0" distL="0" distR="0">
            <wp:extent cx="651510" cy="17145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Cost of recurring revenue is primarily comprised of compensaton costs for customer support and producton IT personnel, hostng and data center costs, third-party contractor expenses, third-party royalty and data expenses, allocated depreciaton, facilites and IT support costs, amortzaton of intangible assets from business combinatons, amortzaton of sofware development costs, transacton-based costs related to payments services including remitances of amounts due to third-partes and other costs incurred in providing support and recurring services to our customers.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customers contnue to prefer cloud subscripton oferings with integrated analytcs, training and payment services. We intend to contnue focusing on innovaton, quality and integraton of our cloud solutons, which we believe will drive future revenue growth.</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Recurring revenue increased by $11.0 million, or 4.1%, and $48.8 million, or 6.2%, during the three and nine months ended September 30, 2024, respectvely, when compared to the same periods in 2023, driven primarily by the following:</w:t>
      </w:r>
    </w:p>
    <w:p>
      <w:pPr>
        <w:spacing w:after="0" w:line="164" w:lineRule="exact"/>
        <w:rPr>
          <w:sz w:val="20"/>
          <w:szCs w:val="20"/>
          <w:color w:val="auto"/>
        </w:rPr>
      </w:pPr>
    </w:p>
    <w:p>
      <w:pPr>
        <w:jc w:val="both"/>
        <w:ind w:left="700" w:right="20" w:hanging="364"/>
        <w:spacing w:after="0" w:line="187" w:lineRule="auto"/>
        <w:tabs>
          <w:tab w:leader="none" w:pos="700" w:val="left"/>
        </w:tabs>
        <w:numPr>
          <w:ilvl w:val="1"/>
          <w:numId w:val="16"/>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Increases in contractual recurring revenue of $5.6 million and $31.2 million, respectvely, related to the impact of our 3-year contract renewal initatve and pricing within the Social Sector as well as the performance of our cloud solutons; partally ofset by decreases in revenue from EVERFI (as discussed above) and maintenance revenue;</w:t>
      </w:r>
    </w:p>
    <w:p>
      <w:pPr>
        <w:spacing w:after="0" w:line="55" w:lineRule="exact"/>
        <w:rPr>
          <w:rFonts w:ascii="Calibri" w:cs="Calibri" w:eastAsia="Calibri" w:hAnsi="Calibri"/>
          <w:sz w:val="34"/>
          <w:szCs w:val="34"/>
          <w:color w:val="51555C"/>
          <w:vertAlign w:val="superscript"/>
        </w:rPr>
      </w:pPr>
    </w:p>
    <w:p>
      <w:pPr>
        <w:jc w:val="both"/>
        <w:ind w:left="700" w:right="20" w:hanging="445"/>
        <w:spacing w:after="0" w:line="235" w:lineRule="auto"/>
        <w:tabs>
          <w:tab w:leader="none" w:pos="700" w:val="left"/>
        </w:tabs>
        <w:numPr>
          <w:ilvl w:val="0"/>
          <w:numId w:val="16"/>
        </w:numPr>
        <w:rPr>
          <w:rFonts w:ascii="Calibri" w:cs="Calibri" w:eastAsia="Calibri" w:hAnsi="Calibri"/>
          <w:sz w:val="18"/>
          <w:szCs w:val="18"/>
          <w:color w:val="51555C"/>
        </w:rPr>
      </w:pPr>
      <w:r>
        <w:rPr>
          <w:rFonts w:ascii="Calibri" w:cs="Calibri" w:eastAsia="Calibri" w:hAnsi="Calibri"/>
          <w:sz w:val="18"/>
          <w:szCs w:val="18"/>
          <w:color w:val="51555C"/>
        </w:rPr>
        <w:t>Increases in transactonal recurring revenue of $5.4 million and $17.6 million, respectvely, primarily due to positve results related to pricing initatves we have implemented in the past twelve months and increases in volume for our Blackbaud Tuiton Management and JustGiving solutons; also contributng to the increases in transactonal recurring revenue during the three and nine months ended September 30, 2024 were increases related to fuctuatons in foreign currency exchange rates of $0.7 million and $1.6 million, respectvely.</w:t>
      </w:r>
    </w:p>
    <w:p>
      <w:pPr>
        <w:spacing w:after="0" w:line="28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Cost of recurring revenue increased by $8.5 million, or 7.5%, and $19.1 million, or 5.6%, during the three and nine months ended September 30, 2024, respectvely, when compared to the same periods in 2023, driven primarily by the following:</w:t>
      </w:r>
    </w:p>
    <w:p>
      <w:pPr>
        <w:spacing w:after="0" w:line="164" w:lineRule="exact"/>
        <w:rPr>
          <w:sz w:val="20"/>
          <w:szCs w:val="20"/>
          <w:color w:val="auto"/>
        </w:rPr>
      </w:pPr>
    </w:p>
    <w:p>
      <w:pPr>
        <w:jc w:val="both"/>
        <w:ind w:left="700" w:right="60" w:hanging="364"/>
        <w:spacing w:after="0" w:line="187" w:lineRule="auto"/>
        <w:tabs>
          <w:tab w:leader="none" w:pos="700" w:val="left"/>
        </w:tabs>
        <w:numPr>
          <w:ilvl w:val="0"/>
          <w:numId w:val="17"/>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Increases in hostng and data center costs of $1.8 million and $4.2 million, respectvely, as we contnue to migrate our cloud infrastructure to leading public cloud service providers and make investments in security; currently, we expect our cloud infrastructure migraton eforts and increased level of cybersecurity investments to contnue for the foreseeable future</w:t>
      </w:r>
    </w:p>
    <w:p>
      <w:pPr>
        <w:spacing w:after="0" w:line="109" w:lineRule="exact"/>
        <w:rPr>
          <w:rFonts w:ascii="Calibri" w:cs="Calibri" w:eastAsia="Calibri" w:hAnsi="Calibri"/>
          <w:sz w:val="34"/>
          <w:szCs w:val="34"/>
          <w:color w:val="51555C"/>
          <w:vertAlign w:val="superscript"/>
        </w:rPr>
      </w:pPr>
    </w:p>
    <w:p>
      <w:pPr>
        <w:ind w:left="700" w:right="60" w:hanging="364"/>
        <w:spacing w:after="0" w:line="180" w:lineRule="auto"/>
        <w:tabs>
          <w:tab w:leader="none" w:pos="700" w:val="left"/>
        </w:tabs>
        <w:numPr>
          <w:ilvl w:val="0"/>
          <w:numId w:val="17"/>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Increases in amortzaton of intangible assets from business combinatons of $1.6 million and $4.7 million, respectvely, as most of the intangible assets we acquired with EVERFI in December 2021 are amortzed on a curve that represents the expected period of economic beneft.</w:t>
      </w:r>
    </w:p>
    <w:p>
      <w:pPr>
        <w:spacing w:after="0" w:line="109" w:lineRule="exact"/>
        <w:rPr>
          <w:rFonts w:ascii="Calibri" w:cs="Calibri" w:eastAsia="Calibri" w:hAnsi="Calibri"/>
          <w:sz w:val="31"/>
          <w:szCs w:val="31"/>
          <w:color w:val="51555C"/>
          <w:vertAlign w:val="superscript"/>
        </w:rPr>
      </w:pPr>
    </w:p>
    <w:p>
      <w:pPr>
        <w:ind w:left="700" w:right="60" w:hanging="364"/>
        <w:spacing w:after="0" w:line="180" w:lineRule="auto"/>
        <w:tabs>
          <w:tab w:leader="none" w:pos="700" w:val="left"/>
        </w:tabs>
        <w:numPr>
          <w:ilvl w:val="0"/>
          <w:numId w:val="17"/>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Increases in third-party sofware costs of $1.4 million and $1.1 million, respectvely, primarily due to the number of licenses needed and also price increases for the sofware being used</w:t>
      </w:r>
    </w:p>
    <w:p>
      <w:pPr>
        <w:spacing w:after="0" w:line="109" w:lineRule="exact"/>
        <w:rPr>
          <w:rFonts w:ascii="Calibri" w:cs="Calibri" w:eastAsia="Calibri" w:hAnsi="Calibri"/>
          <w:sz w:val="31"/>
          <w:szCs w:val="31"/>
          <w:color w:val="51555C"/>
          <w:vertAlign w:val="superscript"/>
        </w:rPr>
      </w:pPr>
    </w:p>
    <w:p>
      <w:pPr>
        <w:ind w:left="700" w:right="60" w:hanging="364"/>
        <w:spacing w:after="0"/>
        <w:tabs>
          <w:tab w:leader="none" w:pos="700" w:val="left"/>
        </w:tabs>
        <w:numPr>
          <w:ilvl w:val="0"/>
          <w:numId w:val="17"/>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Increases in third-party contractor costs of $1.3 million and $3.1 million, respectvely, largely related to enhancements to our cybersecurity program</w:t>
      </w:r>
    </w:p>
    <w:p>
      <w:pPr>
        <w:spacing w:after="0" w:line="124" w:lineRule="exact"/>
        <w:rPr>
          <w:rFonts w:ascii="Calibri" w:cs="Calibri" w:eastAsia="Calibri" w:hAnsi="Calibri"/>
          <w:sz w:val="34"/>
          <w:szCs w:val="34"/>
          <w:color w:val="51555C"/>
          <w:vertAlign w:val="superscript"/>
        </w:rPr>
      </w:pPr>
    </w:p>
    <w:p>
      <w:pPr>
        <w:ind w:left="700" w:right="60" w:hanging="364"/>
        <w:spacing w:after="0" w:line="180" w:lineRule="auto"/>
        <w:tabs>
          <w:tab w:leader="none" w:pos="700" w:val="left"/>
        </w:tabs>
        <w:numPr>
          <w:ilvl w:val="0"/>
          <w:numId w:val="17"/>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Increases in amortzaton of sofware development costs of $0.9 million and $2.0 million, respectvely, due to our contnued investments in the innovaton and security of our solutons</w:t>
      </w:r>
    </w:p>
    <w:p>
      <w:pPr>
        <w:spacing w:after="0" w:line="109" w:lineRule="exact"/>
        <w:rPr>
          <w:rFonts w:ascii="Calibri" w:cs="Calibri" w:eastAsia="Calibri" w:hAnsi="Calibri"/>
          <w:sz w:val="31"/>
          <w:szCs w:val="31"/>
          <w:color w:val="51555C"/>
          <w:vertAlign w:val="superscript"/>
        </w:rPr>
      </w:pPr>
    </w:p>
    <w:p>
      <w:pPr>
        <w:ind w:left="700" w:right="60" w:hanging="364"/>
        <w:spacing w:after="0" w:line="180" w:lineRule="auto"/>
        <w:tabs>
          <w:tab w:leader="none" w:pos="700" w:val="left"/>
        </w:tabs>
        <w:numPr>
          <w:ilvl w:val="0"/>
          <w:numId w:val="17"/>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Increases in transacton-based costs of $0.6 million and $3.3 million, respectvely, related to the increase in the volume of transactons for which we process payments and, to a lesser extent, increases in vendor rates</w:t>
      </w:r>
    </w:p>
    <w:p>
      <w:pPr>
        <w:spacing w:after="0" w:line="110" w:lineRule="exact"/>
        <w:rPr>
          <w:sz w:val="20"/>
          <w:szCs w:val="20"/>
          <w:color w:val="auto"/>
        </w:rPr>
      </w:pPr>
    </w:p>
    <w:p>
      <w:pPr>
        <w:ind w:left="700" w:right="60" w:hanging="348"/>
        <w:spacing w:after="0" w:line="180" w:lineRule="auto"/>
        <w:tabs>
          <w:tab w:leader="none" w:pos="700" w:val="left"/>
        </w:tabs>
        <w:numPr>
          <w:ilvl w:val="0"/>
          <w:numId w:val="18"/>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Decreases in stock-based compensaton costs of $0.8 million and $1.4 million, respectvely, primarily due to estmated overall Company performance against 2024 goals</w:t>
      </w:r>
    </w:p>
    <w:p>
      <w:pPr>
        <w:spacing w:after="0" w:line="272"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Recurring gross margin decreased by 140 basis points for the three months ended September 30, 2024, when compared to the same period in 2023, primarily due to the increases in cost of recurring revenue outpacing the increases in recurring revenue.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51555C"/>
        </w:rPr>
        <w:t>Recurring gross margin was relatvely consistent for the nine months ended September 30, 2024, when compared to the same period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246380</wp:posOffset>
            </wp:positionV>
            <wp:extent cx="659765"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33</w:t>
            </w:r>
          </w:p>
        </w:tc>
      </w:tr>
      <w:tr>
        <w:trPr>
          <w:trHeight w:val="351"/>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0" w:type="dxa"/>
            <w:vAlign w:val="bottom"/>
            <w:gridSpan w:val="2"/>
          </w:tcPr>
          <w:p>
            <w:pPr>
              <w:ind w:left="20"/>
              <w:spacing w:after="0"/>
              <w:rPr>
                <w:sz w:val="20"/>
                <w:szCs w:val="20"/>
                <w:color w:val="auto"/>
              </w:rPr>
            </w:pPr>
            <w:r>
              <w:rPr>
                <w:rFonts w:ascii="Calibri" w:cs="Calibri" w:eastAsia="Calibri" w:hAnsi="Calibri"/>
                <w:sz w:val="18"/>
                <w:szCs w:val="18"/>
                <w:i w:val="1"/>
                <w:iCs w:val="1"/>
                <w:color w:val="51555C"/>
              </w:rPr>
              <w:t>One-tme services and other</w:t>
            </w:r>
          </w:p>
        </w:tc>
        <w:tc>
          <w:tcPr>
            <w:tcW w:w="2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51"/>
        </w:trPr>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Calibri" w:cs="Calibri" w:eastAsia="Calibri" w:hAnsi="Calibri"/>
                <w:sz w:val="18"/>
                <w:szCs w:val="18"/>
                <w:i w:val="1"/>
                <w:iCs w:val="1"/>
                <w:color w:val="51555C"/>
              </w:rPr>
              <w:t>Gross proft ($M)</w:t>
            </w:r>
          </w:p>
        </w:tc>
      </w:tr>
      <w:tr>
        <w:trPr>
          <w:trHeight w:val="216"/>
        </w:trPr>
        <w:tc>
          <w:tcPr>
            <w:tcW w:w="320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i w:val="1"/>
                <w:iCs w:val="1"/>
                <w:color w:val="51555C"/>
                <w:w w:val="96"/>
              </w:rPr>
              <w:t>Revenue ($M)</w:t>
            </w:r>
          </w:p>
        </w:tc>
        <w:tc>
          <w:tcPr>
            <w:tcW w:w="320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i w:val="1"/>
                <w:iCs w:val="1"/>
                <w:color w:val="51555C"/>
                <w:w w:val="98"/>
              </w:rPr>
              <w:t>Cost of revenue ($M)</w:t>
            </w:r>
          </w:p>
        </w:tc>
        <w:tc>
          <w:tcPr>
            <w:tcW w:w="2840" w:type="dxa"/>
            <w:vAlign w:val="bottom"/>
          </w:tcPr>
          <w:p>
            <w:pPr>
              <w:jc w:val="center"/>
              <w:spacing w:after="0" w:line="216" w:lineRule="exact"/>
              <w:rPr>
                <w:sz w:val="20"/>
                <w:szCs w:val="20"/>
                <w:color w:val="auto"/>
              </w:rPr>
            </w:pPr>
            <w:r>
              <w:rPr>
                <w:rFonts w:ascii="Calibri" w:cs="Calibri" w:eastAsia="Calibri" w:hAnsi="Calibri"/>
                <w:sz w:val="18"/>
                <w:szCs w:val="18"/>
                <w:i w:val="1"/>
                <w:iCs w:val="1"/>
                <w:color w:val="51555C"/>
                <w:w w:val="96"/>
              </w:rPr>
              <w:t>and gross margin (%)</w:t>
            </w:r>
          </w:p>
        </w:tc>
      </w:tr>
      <w:tr>
        <w:trPr>
          <w:trHeight w:val="51"/>
        </w:trPr>
        <w:tc>
          <w:tcPr>
            <w:tcW w:w="2700" w:type="dxa"/>
            <w:vAlign w:val="bottom"/>
            <w:tcBorders>
              <w:bottom w:val="single" w:sz="8" w:color="51555C"/>
            </w:tcBorders>
          </w:tcPr>
          <w:p>
            <w:pPr>
              <w:spacing w:after="0"/>
              <w:rPr>
                <w:sz w:val="4"/>
                <w:szCs w:val="4"/>
                <w:color w:val="auto"/>
              </w:rPr>
            </w:pPr>
          </w:p>
        </w:tc>
        <w:tc>
          <w:tcPr>
            <w:tcW w:w="500" w:type="dxa"/>
            <w:vAlign w:val="bottom"/>
          </w:tcPr>
          <w:p>
            <w:pPr>
              <w:spacing w:after="0"/>
              <w:rPr>
                <w:sz w:val="4"/>
                <w:szCs w:val="4"/>
                <w:color w:val="auto"/>
              </w:rPr>
            </w:pPr>
          </w:p>
        </w:tc>
        <w:tc>
          <w:tcPr>
            <w:tcW w:w="2700" w:type="dxa"/>
            <w:vAlign w:val="bottom"/>
            <w:tcBorders>
              <w:bottom w:val="single" w:sz="8" w:color="51555C"/>
            </w:tcBorders>
          </w:tcPr>
          <w:p>
            <w:pPr>
              <w:spacing w:after="0"/>
              <w:rPr>
                <w:sz w:val="4"/>
                <w:szCs w:val="4"/>
                <w:color w:val="auto"/>
              </w:rPr>
            </w:pPr>
          </w:p>
        </w:tc>
        <w:tc>
          <w:tcPr>
            <w:tcW w:w="500" w:type="dxa"/>
            <w:vAlign w:val="bottom"/>
          </w:tcPr>
          <w:p>
            <w:pPr>
              <w:spacing w:after="0"/>
              <w:rPr>
                <w:sz w:val="4"/>
                <w:szCs w:val="4"/>
                <w:color w:val="auto"/>
              </w:rPr>
            </w:pPr>
          </w:p>
        </w:tc>
        <w:tc>
          <w:tcPr>
            <w:tcW w:w="2840" w:type="dxa"/>
            <w:vAlign w:val="bottom"/>
            <w:tcBorders>
              <w:bottom w:val="single" w:sz="8" w:color="51555C"/>
            </w:tcBorders>
          </w:tcPr>
          <w:p>
            <w:pPr>
              <w:spacing w:after="0"/>
              <w:rPr>
                <w:sz w:val="4"/>
                <w:szCs w:val="4"/>
                <w:color w:val="auto"/>
              </w:rPr>
            </w:pPr>
          </w:p>
        </w:tc>
      </w:tr>
      <w:tr>
        <w:trPr>
          <w:trHeight w:val="213"/>
        </w:trPr>
        <w:tc>
          <w:tcPr>
            <w:tcW w:w="3200" w:type="dxa"/>
            <w:vAlign w:val="bottom"/>
            <w:gridSpan w:val="2"/>
          </w:tcPr>
          <w:p>
            <w:pPr>
              <w:jc w:val="center"/>
              <w:ind w:right="500"/>
              <w:spacing w:after="0"/>
              <w:rPr>
                <w:sz w:val="20"/>
                <w:szCs w:val="20"/>
                <w:color w:val="auto"/>
              </w:rPr>
            </w:pPr>
            <w:r>
              <w:rPr>
                <w:rFonts w:ascii="Calibri" w:cs="Calibri" w:eastAsia="Calibri" w:hAnsi="Calibri"/>
                <w:sz w:val="13"/>
                <w:szCs w:val="13"/>
                <w:i w:val="1"/>
                <w:iCs w:val="1"/>
                <w:color w:val="51555C"/>
                <w:w w:val="95"/>
              </w:rPr>
              <w:t>YoY Growth (%)</w:t>
            </w:r>
          </w:p>
        </w:tc>
        <w:tc>
          <w:tcPr>
            <w:tcW w:w="3200" w:type="dxa"/>
            <w:vAlign w:val="bottom"/>
            <w:gridSpan w:val="2"/>
          </w:tcPr>
          <w:p>
            <w:pPr>
              <w:jc w:val="center"/>
              <w:ind w:right="500"/>
              <w:spacing w:after="0"/>
              <w:rPr>
                <w:sz w:val="20"/>
                <w:szCs w:val="20"/>
                <w:color w:val="auto"/>
              </w:rPr>
            </w:pPr>
            <w:r>
              <w:rPr>
                <w:rFonts w:ascii="Calibri" w:cs="Calibri" w:eastAsia="Calibri" w:hAnsi="Calibri"/>
                <w:sz w:val="13"/>
                <w:szCs w:val="13"/>
                <w:i w:val="1"/>
                <w:iCs w:val="1"/>
                <w:color w:val="51555C"/>
                <w:w w:val="95"/>
              </w:rPr>
              <w:t>YoY Growth (%)</w:t>
            </w:r>
          </w:p>
        </w:tc>
        <w:tc>
          <w:tcPr>
            <w:tcW w:w="28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5812155" cy="30003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1215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One-tme services and other revenue is comprised of fees for one-tme consultng, analytc and onsite training services, and fees for retained and managed services contracts that we do not expect to have a term consistent with our cloud soluton contracts.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Cost of one-tme services and other is primarily comprised of compensaton costs for professional services and onsite training personnel, other costs incurred in providing onsite customer training, third-party contractor expenses, data expense incurred to perform one-tme analytc services, third-party sofware royaltes, allocated depreciaton, facilites and IT support costs and amortzaton of intangible assets from business combinatons.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One-tme services and other revenue decreased by $1.9 million, or 22.2%, and $5.9 million, or 22.6%, during the three and nine months ended September 30, 2024, respectvely, when compared to the same periods in 2023, driven primarily by the following:</w:t>
      </w:r>
    </w:p>
    <w:p>
      <w:pPr>
        <w:spacing w:after="0" w:line="110" w:lineRule="exact"/>
        <w:rPr>
          <w:sz w:val="20"/>
          <w:szCs w:val="20"/>
          <w:color w:val="auto"/>
        </w:rPr>
      </w:pPr>
    </w:p>
    <w:p>
      <w:pPr>
        <w:jc w:val="both"/>
        <w:ind w:left="700" w:right="60" w:hanging="348"/>
        <w:spacing w:after="0" w:line="235" w:lineRule="auto"/>
        <w:tabs>
          <w:tab w:leader="none" w:pos="700" w:val="left"/>
        </w:tabs>
        <w:numPr>
          <w:ilvl w:val="0"/>
          <w:numId w:val="19"/>
        </w:numPr>
        <w:rPr>
          <w:rFonts w:ascii="Calibri" w:cs="Calibri" w:eastAsia="Calibri" w:hAnsi="Calibri"/>
          <w:sz w:val="18"/>
          <w:szCs w:val="18"/>
          <w:color w:val="51555C"/>
        </w:rPr>
      </w:pPr>
      <w:r>
        <w:rPr>
          <w:rFonts w:ascii="Calibri" w:cs="Calibri" w:eastAsia="Calibri" w:hAnsi="Calibri"/>
          <w:sz w:val="18"/>
          <w:szCs w:val="18"/>
          <w:color w:val="51555C"/>
        </w:rPr>
        <w:t>Decreases in one-tme consultng revenue of $1.8 million and $5.2 million, respectvely, primarily due to decreases of $2.7 million and $5.2 million, respectvely, resultng from our sale of EVERFI Limited as discussed in Note 3 to our unaudited, condensed consolidated fnancial statements in this report.</w:t>
      </w:r>
    </w:p>
    <w:p>
      <w:pPr>
        <w:spacing w:after="0" w:line="28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Cost of one-tme services and other decreased by $2.8 million, or 36.2%, and $7.0 million, or 29.5%, during the three and nine months ended September 30, 2024, respectvely, when compared to the same periods in 2023, driven primarily by the following:</w:t>
      </w:r>
    </w:p>
    <w:p>
      <w:pPr>
        <w:spacing w:after="0" w:line="164" w:lineRule="exact"/>
        <w:rPr>
          <w:sz w:val="20"/>
          <w:szCs w:val="20"/>
          <w:color w:val="auto"/>
        </w:rPr>
      </w:pPr>
    </w:p>
    <w:p>
      <w:pPr>
        <w:ind w:left="700" w:right="20" w:hanging="348"/>
        <w:spacing w:after="0" w:line="180" w:lineRule="auto"/>
        <w:tabs>
          <w:tab w:leader="none" w:pos="700" w:val="left"/>
        </w:tabs>
        <w:numPr>
          <w:ilvl w:val="0"/>
          <w:numId w:val="20"/>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Decreases in compensaton costs of $1.6 million and $4.3 million, respectvely, primarily related to our sale of EVERFI Limited as discussed above and a contnued shif in resources historically supportng one-tme services and other towards recurring revenue</w:t>
      </w:r>
    </w:p>
    <w:p>
      <w:pPr>
        <w:ind w:left="700" w:hanging="348"/>
        <w:spacing w:after="0" w:line="181" w:lineRule="auto"/>
        <w:tabs>
          <w:tab w:leader="none" w:pos="700" w:val="left"/>
        </w:tabs>
        <w:numPr>
          <w:ilvl w:val="0"/>
          <w:numId w:val="20"/>
        </w:numPr>
        <w:rPr>
          <w:rFonts w:ascii="Calibri" w:cs="Calibri" w:eastAsia="Calibri" w:hAnsi="Calibri"/>
          <w:sz w:val="35"/>
          <w:szCs w:val="35"/>
          <w:color w:val="51555C"/>
          <w:vertAlign w:val="superscript"/>
        </w:rPr>
      </w:pPr>
      <w:r>
        <w:rPr>
          <w:rFonts w:ascii="Calibri" w:cs="Calibri" w:eastAsia="Calibri" w:hAnsi="Calibri"/>
          <w:sz w:val="18"/>
          <w:szCs w:val="18"/>
          <w:color w:val="51555C"/>
        </w:rPr>
        <w:t>Decreases in direct costs of revenue of $0.9 million and $1.8 million, respectvely, primarily due to our sale of EVERFI Limited as discussed above</w:t>
      </w: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34</w:t>
      </w:r>
      <w:r>
        <w:rPr>
          <w:sz w:val="20"/>
          <w:szCs w:val="20"/>
          <w:color w:val="auto"/>
        </w:rPr>
        <w:tab/>
      </w:r>
      <w:r>
        <w:rPr>
          <w:sz w:val="1"/>
          <w:szCs w:val="1"/>
          <w:color w:val="auto"/>
        </w:rPr>
        <w:drawing>
          <wp:inline distT="0" distB="0" distL="0" distR="0">
            <wp:extent cx="651510" cy="17145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One-tme services and other gross margin increased by 1,590 basis points and 810 basis points during the three and nine months ended September 30, 2024, respectvely, when compared to the same periods in 2023, primarily due to the decrease in compensaton costs discussed above outpacing the decrease of one-tme services and other revenue.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80" w:type="dxa"/>
            <w:vAlign w:val="bottom"/>
          </w:tcPr>
          <w:p>
            <w:pPr>
              <w:spacing w:after="0"/>
              <w:rPr>
                <w:sz w:val="20"/>
                <w:szCs w:val="20"/>
                <w:color w:val="auto"/>
              </w:rPr>
            </w:pPr>
            <w:r>
              <w:rPr>
                <w:rFonts w:ascii="Calibri" w:cs="Calibri" w:eastAsia="Calibri" w:hAnsi="Calibri"/>
                <w:sz w:val="18"/>
                <w:szCs w:val="18"/>
                <w:b w:val="1"/>
                <w:bCs w:val="1"/>
                <w:color w:val="51555C"/>
              </w:rPr>
              <w:t>Operatng Expenses</w:t>
            </w:r>
          </w:p>
        </w:tc>
        <w:tc>
          <w:tcPr>
            <w:tcW w:w="40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540"/>
        </w:trPr>
        <w:tc>
          <w:tcPr>
            <w:tcW w:w="2580" w:type="dxa"/>
            <w:vAlign w:val="bottom"/>
          </w:tcPr>
          <w:p>
            <w:pPr>
              <w:jc w:val="center"/>
              <w:ind w:left="10"/>
              <w:spacing w:after="0"/>
              <w:rPr>
                <w:sz w:val="20"/>
                <w:szCs w:val="20"/>
                <w:color w:val="auto"/>
              </w:rPr>
            </w:pPr>
            <w:r>
              <w:rPr>
                <w:rFonts w:ascii="Calibri" w:cs="Calibri" w:eastAsia="Calibri" w:hAnsi="Calibri"/>
                <w:sz w:val="18"/>
                <w:szCs w:val="18"/>
                <w:i w:val="1"/>
                <w:iCs w:val="1"/>
                <w:color w:val="51555C"/>
                <w:w w:val="99"/>
              </w:rPr>
              <w:t>Sales, marketng and</w:t>
            </w:r>
          </w:p>
        </w:tc>
        <w:tc>
          <w:tcPr>
            <w:tcW w:w="4080" w:type="dxa"/>
            <w:vAlign w:val="bottom"/>
          </w:tcPr>
          <w:p>
            <w:pPr>
              <w:jc w:val="center"/>
              <w:ind w:right="79"/>
              <w:spacing w:after="0"/>
              <w:rPr>
                <w:sz w:val="20"/>
                <w:szCs w:val="20"/>
                <w:color w:val="auto"/>
              </w:rPr>
            </w:pPr>
            <w:r>
              <w:rPr>
                <w:rFonts w:ascii="Calibri" w:cs="Calibri" w:eastAsia="Calibri" w:hAnsi="Calibri"/>
                <w:sz w:val="18"/>
                <w:szCs w:val="18"/>
                <w:i w:val="1"/>
                <w:iCs w:val="1"/>
                <w:color w:val="51555C"/>
                <w:w w:val="97"/>
              </w:rPr>
              <w:t>Research and</w:t>
            </w:r>
          </w:p>
        </w:tc>
        <w:tc>
          <w:tcPr>
            <w:tcW w:w="2560" w:type="dxa"/>
            <w:vAlign w:val="bottom"/>
          </w:tcPr>
          <w:p>
            <w:pPr>
              <w:jc w:val="center"/>
              <w:ind w:right="170"/>
              <w:spacing w:after="0"/>
              <w:rPr>
                <w:sz w:val="20"/>
                <w:szCs w:val="20"/>
                <w:color w:val="auto"/>
              </w:rPr>
            </w:pPr>
            <w:r>
              <w:rPr>
                <w:rFonts w:ascii="Calibri" w:cs="Calibri" w:eastAsia="Calibri" w:hAnsi="Calibri"/>
                <w:sz w:val="18"/>
                <w:szCs w:val="18"/>
                <w:i w:val="1"/>
                <w:iCs w:val="1"/>
                <w:color w:val="51555C"/>
                <w:w w:val="96"/>
              </w:rPr>
              <w:t>General and</w:t>
            </w:r>
          </w:p>
        </w:tc>
      </w:tr>
      <w:tr>
        <w:trPr>
          <w:trHeight w:val="216"/>
        </w:trPr>
        <w:tc>
          <w:tcPr>
            <w:tcW w:w="2580" w:type="dxa"/>
            <w:vAlign w:val="bottom"/>
          </w:tcPr>
          <w:p>
            <w:pPr>
              <w:jc w:val="center"/>
              <w:ind w:left="10"/>
              <w:spacing w:after="0" w:line="216" w:lineRule="exact"/>
              <w:rPr>
                <w:sz w:val="20"/>
                <w:szCs w:val="20"/>
                <w:color w:val="auto"/>
              </w:rPr>
            </w:pPr>
            <w:r>
              <w:rPr>
                <w:rFonts w:ascii="Calibri" w:cs="Calibri" w:eastAsia="Calibri" w:hAnsi="Calibri"/>
                <w:sz w:val="18"/>
                <w:szCs w:val="18"/>
                <w:i w:val="1"/>
                <w:iCs w:val="1"/>
                <w:color w:val="51555C"/>
                <w:w w:val="96"/>
              </w:rPr>
              <w:t>customer success ($M)</w:t>
            </w:r>
          </w:p>
        </w:tc>
        <w:tc>
          <w:tcPr>
            <w:tcW w:w="4080" w:type="dxa"/>
            <w:vAlign w:val="bottom"/>
          </w:tcPr>
          <w:p>
            <w:pPr>
              <w:jc w:val="center"/>
              <w:ind w:right="79"/>
              <w:spacing w:after="0" w:line="216" w:lineRule="exact"/>
              <w:rPr>
                <w:sz w:val="20"/>
                <w:szCs w:val="20"/>
                <w:color w:val="auto"/>
              </w:rPr>
            </w:pPr>
            <w:r>
              <w:rPr>
                <w:rFonts w:ascii="Calibri" w:cs="Calibri" w:eastAsia="Calibri" w:hAnsi="Calibri"/>
                <w:sz w:val="18"/>
                <w:szCs w:val="18"/>
                <w:i w:val="1"/>
                <w:iCs w:val="1"/>
                <w:color w:val="51555C"/>
                <w:w w:val="97"/>
              </w:rPr>
              <w:t>development ($M)</w:t>
            </w:r>
          </w:p>
        </w:tc>
        <w:tc>
          <w:tcPr>
            <w:tcW w:w="2560" w:type="dxa"/>
            <w:vAlign w:val="bottom"/>
          </w:tcPr>
          <w:p>
            <w:pPr>
              <w:jc w:val="center"/>
              <w:ind w:right="170"/>
              <w:spacing w:after="0" w:line="216" w:lineRule="exact"/>
              <w:rPr>
                <w:sz w:val="20"/>
                <w:szCs w:val="20"/>
                <w:color w:val="auto"/>
              </w:rPr>
            </w:pPr>
            <w:r>
              <w:rPr>
                <w:rFonts w:ascii="Calibri" w:cs="Calibri" w:eastAsia="Calibri" w:hAnsi="Calibri"/>
                <w:sz w:val="18"/>
                <w:szCs w:val="18"/>
                <w:i w:val="1"/>
                <w:iCs w:val="1"/>
                <w:color w:val="51555C"/>
              </w:rPr>
              <w:t>administratve ($M)</w:t>
            </w:r>
          </w:p>
        </w:tc>
      </w:tr>
      <w:tr>
        <w:trPr>
          <w:trHeight w:val="50"/>
        </w:trPr>
        <w:tc>
          <w:tcPr>
            <w:tcW w:w="2580" w:type="dxa"/>
            <w:vAlign w:val="bottom"/>
            <w:tcBorders>
              <w:bottom w:val="single" w:sz="8" w:color="51555C"/>
            </w:tcBorders>
          </w:tcPr>
          <w:p>
            <w:pPr>
              <w:spacing w:after="0"/>
              <w:rPr>
                <w:sz w:val="4"/>
                <w:szCs w:val="4"/>
                <w:color w:val="auto"/>
              </w:rPr>
            </w:pPr>
          </w:p>
        </w:tc>
        <w:tc>
          <w:tcPr>
            <w:tcW w:w="4080" w:type="dxa"/>
            <w:vAlign w:val="bottom"/>
            <w:tcBorders>
              <w:bottom w:val="single" w:sz="8" w:color="51555C"/>
            </w:tcBorders>
          </w:tcPr>
          <w:p>
            <w:pPr>
              <w:spacing w:after="0"/>
              <w:rPr>
                <w:sz w:val="4"/>
                <w:szCs w:val="4"/>
                <w:color w:val="auto"/>
              </w:rPr>
            </w:pPr>
          </w:p>
        </w:tc>
        <w:tc>
          <w:tcPr>
            <w:tcW w:w="2560" w:type="dxa"/>
            <w:vAlign w:val="bottom"/>
            <w:tcBorders>
              <w:bottom w:val="single" w:sz="8" w:color="51555C"/>
            </w:tcBorders>
          </w:tcPr>
          <w:p>
            <w:pPr>
              <w:spacing w:after="0"/>
              <w:rPr>
                <w:sz w:val="4"/>
                <w:szCs w:val="4"/>
                <w:color w:val="auto"/>
              </w:rPr>
            </w:pPr>
          </w:p>
        </w:tc>
      </w:tr>
      <w:tr>
        <w:trPr>
          <w:trHeight w:val="213"/>
        </w:trPr>
        <w:tc>
          <w:tcPr>
            <w:tcW w:w="2580" w:type="dxa"/>
            <w:vAlign w:val="bottom"/>
          </w:tcPr>
          <w:p>
            <w:pPr>
              <w:spacing w:after="0"/>
              <w:rPr>
                <w:sz w:val="18"/>
                <w:szCs w:val="18"/>
                <w:color w:val="auto"/>
              </w:rPr>
            </w:pPr>
          </w:p>
        </w:tc>
        <w:tc>
          <w:tcPr>
            <w:tcW w:w="4080" w:type="dxa"/>
            <w:vAlign w:val="bottom"/>
          </w:tcPr>
          <w:p>
            <w:pPr>
              <w:ind w:left="440"/>
              <w:spacing w:after="0"/>
              <w:rPr>
                <w:sz w:val="20"/>
                <w:szCs w:val="20"/>
                <w:color w:val="auto"/>
              </w:rPr>
            </w:pPr>
            <w:r>
              <w:rPr>
                <w:rFonts w:ascii="Calibri" w:cs="Calibri" w:eastAsia="Calibri" w:hAnsi="Calibri"/>
                <w:sz w:val="13"/>
                <w:szCs w:val="13"/>
                <w:i w:val="1"/>
                <w:iCs w:val="1"/>
                <w:color w:val="51555C"/>
              </w:rPr>
              <w:t>Percentages indicate expenses as a percentage of total revenue</w:t>
            </w:r>
          </w:p>
        </w:tc>
        <w:tc>
          <w:tcPr>
            <w:tcW w:w="2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5812155" cy="30003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1215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Sales, marketng and customer success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Sales, marketng and customer success expense includes compensaton costs, variable sales commissions, travel-related expenses, advertsing and marketng materials, public relatons costs, variable reseller commissions and allocated depreciaton, facilites and IT support costs.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see a large market opportunity in the long-term and will contnue to make investments to drive sales efectveness. We have also implemented sofware tools to enhance our digital footprint and drive lead generaton. The enhancements we are making in our go-to-market approach are expected to reduce our average customer acquisiton cost per customer as well as the related payback period while increasing sales velocity.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238760</wp:posOffset>
            </wp:positionV>
            <wp:extent cx="659765"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35</w:t>
            </w:r>
          </w:p>
        </w:tc>
      </w:tr>
      <w:tr>
        <w:trPr>
          <w:trHeight w:val="365"/>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Sales, marketng and customer success expense decreased by $3.0 million, or 5.7%, and $12.6 million or 7.9%, during the three and nine months ended September 30, 2024, respectvely, when compared to the same periods in 2023. The decreases in dollars and as a percentage of total revenue were primarily driven by the following:</w:t>
      </w:r>
    </w:p>
    <w:p>
      <w:pPr>
        <w:spacing w:after="0" w:line="111" w:lineRule="exact"/>
        <w:rPr>
          <w:sz w:val="20"/>
          <w:szCs w:val="20"/>
          <w:color w:val="auto"/>
        </w:rPr>
      </w:pPr>
    </w:p>
    <w:p>
      <w:pPr>
        <w:jc w:val="both"/>
        <w:ind w:left="700" w:right="60" w:hanging="348"/>
        <w:spacing w:after="0" w:line="235" w:lineRule="auto"/>
        <w:tabs>
          <w:tab w:leader="none" w:pos="700" w:val="left"/>
        </w:tabs>
        <w:numPr>
          <w:ilvl w:val="0"/>
          <w:numId w:val="21"/>
        </w:numPr>
        <w:rPr>
          <w:rFonts w:ascii="Calibri" w:cs="Calibri" w:eastAsia="Calibri" w:hAnsi="Calibri"/>
          <w:sz w:val="18"/>
          <w:szCs w:val="18"/>
          <w:color w:val="51555C"/>
        </w:rPr>
      </w:pPr>
      <w:r>
        <w:rPr>
          <w:rFonts w:ascii="Calibri" w:cs="Calibri" w:eastAsia="Calibri" w:hAnsi="Calibri"/>
          <w:sz w:val="18"/>
          <w:szCs w:val="18"/>
          <w:color w:val="51555C"/>
        </w:rPr>
        <w:t>Decreases in commissions expense of $3.0 million and $9.7 million, respectvely, due to a prospectve increase in the period of beneft over which we amortzed costs of obtaining contracts with customers from 5 to 6 years beginning in the year ending December 31, 2024 and fewer sales headcount</w:t>
      </w:r>
    </w:p>
    <w:p>
      <w:pPr>
        <w:spacing w:after="0" w:line="110" w:lineRule="exact"/>
        <w:rPr>
          <w:rFonts w:ascii="Calibri" w:cs="Calibri" w:eastAsia="Calibri" w:hAnsi="Calibri"/>
          <w:sz w:val="18"/>
          <w:szCs w:val="18"/>
          <w:color w:val="51555C"/>
        </w:rPr>
      </w:pPr>
    </w:p>
    <w:p>
      <w:pPr>
        <w:ind w:left="700" w:right="60" w:hanging="348"/>
        <w:spacing w:after="0" w:line="180" w:lineRule="auto"/>
        <w:tabs>
          <w:tab w:leader="none" w:pos="700" w:val="left"/>
        </w:tabs>
        <w:numPr>
          <w:ilvl w:val="0"/>
          <w:numId w:val="21"/>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Decreases in stock-based compensaton costs of $2.2 million and $5.7 million, respectvely, primarily due to estmated overall Company performance against 2024 goals</w:t>
      </w:r>
    </w:p>
    <w:p>
      <w:pPr>
        <w:spacing w:after="0" w:line="55" w:lineRule="exact"/>
        <w:rPr>
          <w:rFonts w:ascii="Calibri" w:cs="Calibri" w:eastAsia="Calibri" w:hAnsi="Calibri"/>
          <w:sz w:val="31"/>
          <w:szCs w:val="31"/>
          <w:color w:val="51555C"/>
          <w:vertAlign w:val="superscript"/>
        </w:rPr>
      </w:pPr>
    </w:p>
    <w:p>
      <w:pPr>
        <w:ind w:left="700" w:right="60" w:hanging="348"/>
        <w:spacing w:after="0" w:line="235" w:lineRule="auto"/>
        <w:tabs>
          <w:tab w:leader="none" w:pos="700" w:val="left"/>
        </w:tabs>
        <w:numPr>
          <w:ilvl w:val="0"/>
          <w:numId w:val="21"/>
        </w:numPr>
        <w:rPr>
          <w:rFonts w:ascii="Calibri" w:cs="Calibri" w:eastAsia="Calibri" w:hAnsi="Calibri"/>
          <w:sz w:val="18"/>
          <w:szCs w:val="18"/>
          <w:color w:val="51555C"/>
        </w:rPr>
      </w:pPr>
      <w:r>
        <w:rPr>
          <w:rFonts w:ascii="Calibri" w:cs="Calibri" w:eastAsia="Calibri" w:hAnsi="Calibri"/>
          <w:sz w:val="18"/>
          <w:szCs w:val="18"/>
          <w:color w:val="51555C"/>
        </w:rPr>
        <w:t>Decrease in severance costs of $2.2 million, during the nine months ended September 30, 2024, related to our prior period targeted workforce reductons</w:t>
      </w:r>
    </w:p>
    <w:p>
      <w:pPr>
        <w:spacing w:after="0" w:line="110" w:lineRule="exact"/>
        <w:rPr>
          <w:sz w:val="20"/>
          <w:szCs w:val="20"/>
          <w:color w:val="auto"/>
        </w:rPr>
      </w:pPr>
    </w:p>
    <w:p>
      <w:pPr>
        <w:ind w:left="700" w:right="60" w:hanging="364"/>
        <w:spacing w:after="0" w:line="180" w:lineRule="auto"/>
        <w:tabs>
          <w:tab w:leader="none" w:pos="700" w:val="left"/>
        </w:tabs>
        <w:numPr>
          <w:ilvl w:val="0"/>
          <w:numId w:val="22"/>
        </w:numPr>
        <w:rPr>
          <w:rFonts w:ascii="Calibri" w:cs="Calibri" w:eastAsia="Calibri" w:hAnsi="Calibri"/>
          <w:sz w:val="31"/>
          <w:szCs w:val="31"/>
          <w:color w:val="51555C"/>
          <w:vertAlign w:val="superscript"/>
        </w:rPr>
      </w:pPr>
      <w:r>
        <w:rPr>
          <w:rFonts w:ascii="Calibri" w:cs="Calibri" w:eastAsia="Calibri" w:hAnsi="Calibri"/>
          <w:sz w:val="16"/>
          <w:szCs w:val="16"/>
          <w:color w:val="51555C"/>
        </w:rPr>
        <w:t xml:space="preserve">Increases in advertsing costs of $0.8 million and $3.7 million, respectvely, primarily due to tming diferences compared to 2023 (for example, </w:t>
      </w:r>
      <w:r>
        <w:rPr>
          <w:rFonts w:ascii="Calibri" w:cs="Calibri" w:eastAsia="Calibri" w:hAnsi="Calibri"/>
          <w:sz w:val="16"/>
          <w:szCs w:val="16"/>
          <w:i w:val="1"/>
          <w:iCs w:val="1"/>
          <w:color w:val="51555C"/>
        </w:rPr>
        <w:t xml:space="preserve">bbcon </w:t>
      </w:r>
      <w:r>
        <w:rPr>
          <w:rFonts w:ascii="Calibri" w:cs="Calibri" w:eastAsia="Calibri" w:hAnsi="Calibri"/>
          <w:sz w:val="16"/>
          <w:szCs w:val="16"/>
          <w:color w:val="51555C"/>
        </w:rPr>
        <w:t>as discussed above) and, to a lesser extent, increased digital marketng spend to drive fundraising page creaton for JustGiving</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Research and development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Research and development expense includes compensaton costs for engineering and product management personnel, third-party contractor expenses, sofware development tools and other expenses related to developing new solutons or upgrading and enhancing existng solutons that do not qualify for capitalizaton, and allocated depreciaton, facilites and IT support costs.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contnue to make investments to delight our customers with innovatve and secure cloud solutons. Research and development expenses increased by $1.4 million, or 3.7%, and $6.5 million or 5.7%, during the three and nine months ended September 30, 2024, respectvely, when compared to the same periods in 2023, primarily driven by the following:</w:t>
      </w:r>
    </w:p>
    <w:p>
      <w:pPr>
        <w:spacing w:after="0" w:line="165" w:lineRule="exact"/>
        <w:rPr>
          <w:sz w:val="20"/>
          <w:szCs w:val="20"/>
          <w:color w:val="auto"/>
        </w:rPr>
      </w:pPr>
    </w:p>
    <w:p>
      <w:pPr>
        <w:ind w:left="720" w:right="40" w:hanging="364"/>
        <w:spacing w:after="0" w:line="180" w:lineRule="auto"/>
        <w:tabs>
          <w:tab w:leader="none" w:pos="720" w:val="left"/>
        </w:tabs>
        <w:numPr>
          <w:ilvl w:val="0"/>
          <w:numId w:val="23"/>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Increases in compensaton costs other than stock-based compensaton of $1.9 million and $5.5 million, respectvely, primarily related to an increase in resources dedicated to the security-related compliance of our solutons</w:t>
      </w:r>
    </w:p>
    <w:p>
      <w:pPr>
        <w:spacing w:after="0" w:line="109" w:lineRule="exact"/>
        <w:rPr>
          <w:rFonts w:ascii="Calibri" w:cs="Calibri" w:eastAsia="Calibri" w:hAnsi="Calibri"/>
          <w:sz w:val="31"/>
          <w:szCs w:val="31"/>
          <w:color w:val="51555C"/>
          <w:vertAlign w:val="superscript"/>
        </w:rPr>
      </w:pPr>
    </w:p>
    <w:p>
      <w:pPr>
        <w:ind w:left="720" w:right="40" w:hanging="364"/>
        <w:spacing w:after="0"/>
        <w:tabs>
          <w:tab w:leader="none" w:pos="720" w:val="left"/>
        </w:tabs>
        <w:numPr>
          <w:ilvl w:val="0"/>
          <w:numId w:val="23"/>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Increases in third-party contractor costs of $1.3 million and $2.6 million, respectvely, largely related to enhancements to our cybersecurity program</w:t>
      </w:r>
    </w:p>
    <w:p>
      <w:pPr>
        <w:spacing w:after="0" w:line="124" w:lineRule="exact"/>
        <w:rPr>
          <w:rFonts w:ascii="Calibri" w:cs="Calibri" w:eastAsia="Calibri" w:hAnsi="Calibri"/>
          <w:sz w:val="34"/>
          <w:szCs w:val="34"/>
          <w:color w:val="51555C"/>
          <w:vertAlign w:val="superscript"/>
        </w:rPr>
      </w:pPr>
    </w:p>
    <w:p>
      <w:pPr>
        <w:ind w:left="720" w:right="40" w:hanging="364"/>
        <w:spacing w:after="0"/>
        <w:tabs>
          <w:tab w:leader="none" w:pos="720" w:val="left"/>
        </w:tabs>
        <w:numPr>
          <w:ilvl w:val="0"/>
          <w:numId w:val="23"/>
        </w:numPr>
        <w:rPr>
          <w:rFonts w:ascii="Calibri" w:cs="Calibri" w:eastAsia="Calibri" w:hAnsi="Calibri"/>
          <w:sz w:val="32"/>
          <w:szCs w:val="32"/>
          <w:color w:val="51555C"/>
          <w:vertAlign w:val="superscript"/>
        </w:rPr>
      </w:pPr>
      <w:r>
        <w:rPr>
          <w:rFonts w:ascii="Calibri" w:cs="Calibri" w:eastAsia="Calibri" w:hAnsi="Calibri"/>
          <w:sz w:val="16"/>
          <w:szCs w:val="16"/>
          <w:color w:val="51555C"/>
        </w:rPr>
        <w:t>Decrease in sofware development costs of $0.9 million, during the nine months ended September 30, 2024, that were required to be capitalized under GAAP</w:t>
      </w:r>
    </w:p>
    <w:p>
      <w:pPr>
        <w:spacing w:after="0" w:line="40" w:lineRule="exact"/>
        <w:rPr>
          <w:rFonts w:ascii="Calibri" w:cs="Calibri" w:eastAsia="Calibri" w:hAnsi="Calibri"/>
          <w:sz w:val="32"/>
          <w:szCs w:val="32"/>
          <w:color w:val="51555C"/>
          <w:vertAlign w:val="superscript"/>
        </w:rPr>
      </w:pPr>
    </w:p>
    <w:p>
      <w:pPr>
        <w:ind w:left="720" w:hanging="364"/>
        <w:spacing w:after="0" w:line="181" w:lineRule="auto"/>
        <w:tabs>
          <w:tab w:leader="none" w:pos="720" w:val="left"/>
        </w:tabs>
        <w:numPr>
          <w:ilvl w:val="0"/>
          <w:numId w:val="23"/>
        </w:numPr>
        <w:rPr>
          <w:rFonts w:ascii="Calibri" w:cs="Calibri" w:eastAsia="Calibri" w:hAnsi="Calibri"/>
          <w:sz w:val="35"/>
          <w:szCs w:val="35"/>
          <w:color w:val="51555C"/>
          <w:vertAlign w:val="superscript"/>
        </w:rPr>
      </w:pPr>
      <w:r>
        <w:rPr>
          <w:rFonts w:ascii="Calibri" w:cs="Calibri" w:eastAsia="Calibri" w:hAnsi="Calibri"/>
          <w:sz w:val="18"/>
          <w:szCs w:val="18"/>
          <w:color w:val="51555C"/>
        </w:rPr>
        <w:t>Increases in allocated overhead costs of $0.7 million and $1.9 million, respectvely, primarily related to increased headcount discussed above</w:t>
      </w:r>
    </w:p>
    <w:p>
      <w:pPr>
        <w:spacing w:after="0" w:line="93" w:lineRule="exact"/>
        <w:rPr>
          <w:sz w:val="20"/>
          <w:szCs w:val="20"/>
          <w:color w:val="auto"/>
        </w:rPr>
      </w:pPr>
    </w:p>
    <w:p>
      <w:pPr>
        <w:ind w:left="720" w:right="40" w:hanging="347"/>
        <w:spacing w:after="0" w:line="215" w:lineRule="auto"/>
        <w:tabs>
          <w:tab w:leader="none" w:pos="720" w:val="left"/>
        </w:tabs>
        <w:numPr>
          <w:ilvl w:val="0"/>
          <w:numId w:val="24"/>
        </w:numPr>
        <w:rPr>
          <w:rFonts w:ascii="Calibri" w:cs="Calibri" w:eastAsia="Calibri" w:hAnsi="Calibri"/>
          <w:sz w:val="18"/>
          <w:szCs w:val="18"/>
          <w:color w:val="51555C"/>
        </w:rPr>
      </w:pPr>
      <w:r>
        <w:rPr>
          <w:rFonts w:ascii="Calibri" w:cs="Calibri" w:eastAsia="Calibri" w:hAnsi="Calibri"/>
          <w:sz w:val="18"/>
          <w:szCs w:val="18"/>
          <w:color w:val="51555C"/>
        </w:rPr>
        <w:t>Decreases in stock-based compensaton of $2.4 million and $3.3 million, respectvely, primarily due to estmated overall Company performance against 2024 goals</w:t>
      </w:r>
    </w:p>
    <w:p>
      <w:pPr>
        <w:spacing w:after="0" w:line="56" w:lineRule="exact"/>
        <w:rPr>
          <w:rFonts w:ascii="Calibri" w:cs="Calibri" w:eastAsia="Calibri" w:hAnsi="Calibri"/>
          <w:sz w:val="18"/>
          <w:szCs w:val="18"/>
          <w:color w:val="51555C"/>
        </w:rPr>
      </w:pPr>
    </w:p>
    <w:p>
      <w:pPr>
        <w:ind w:left="720" w:right="40" w:hanging="347"/>
        <w:spacing w:after="0" w:line="235" w:lineRule="auto"/>
        <w:tabs>
          <w:tab w:leader="none" w:pos="720" w:val="left"/>
        </w:tabs>
        <w:numPr>
          <w:ilvl w:val="0"/>
          <w:numId w:val="24"/>
        </w:numPr>
        <w:rPr>
          <w:rFonts w:ascii="Calibri" w:cs="Calibri" w:eastAsia="Calibri" w:hAnsi="Calibri"/>
          <w:sz w:val="18"/>
          <w:szCs w:val="18"/>
          <w:color w:val="51555C"/>
        </w:rPr>
      </w:pPr>
      <w:r>
        <w:rPr>
          <w:rFonts w:ascii="Calibri" w:cs="Calibri" w:eastAsia="Calibri" w:hAnsi="Calibri"/>
          <w:sz w:val="18"/>
          <w:szCs w:val="18"/>
          <w:color w:val="51555C"/>
        </w:rPr>
        <w:t>Decrease in employee severance costs of $1.1 million, during the nine months ended September 30, 2024, primarily due to our prior period targeted workforce reductons discussed above</w:t>
      </w:r>
    </w:p>
    <w:p>
      <w:pPr>
        <w:spacing w:after="0" w:line="27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Not included in research and development expense for the three months ended September 30, 2024 and 2023 were $16.0 million and $15.7 million, respectvely, and for the nine months ended September 30, 2024 and 2023 were $44.5 million and $45.4 million, respectvely, of qualifying costs associated with sofware and content development actvites that are required to be capitalized under GAAP, such as those for our cloud solutons, as well as development costs associated with acquired companies. Qualifying capitalized development costs associated with our cloud solutons are subsequently amortzed to cost of recurring revenue over the related assets' estmated useful life, which generally range from three to seven years. We expect that the amount of sofware and content development costs capitalized will be relatvely consistent in the near-term as we contnue making investments in innovaton, quality, security and the integraton of our solutons, which we believe will drive long-term revenue growth.</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General and administratve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General and administratve expense consists primarily of compensaton costs for general corporate functons, including senior management, fnance, accountng, legal, human resources and corporate development, Security Incident-related expenses (including legal fees, setlements and loss contngency accruals), third-party professional fees, insurance, allocated depreciaton, facilites and IT support costs, acquisiton-related expenses and other administratve expenses.</w:t>
      </w:r>
    </w:p>
    <w:p>
      <w:pPr>
        <w:spacing w:after="0" w:line="353"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36</w:t>
      </w:r>
      <w:r>
        <w:rPr>
          <w:sz w:val="20"/>
          <w:szCs w:val="20"/>
          <w:color w:val="auto"/>
        </w:rPr>
        <w:tab/>
      </w:r>
      <w:r>
        <w:rPr>
          <w:sz w:val="1"/>
          <w:szCs w:val="1"/>
          <w:color w:val="auto"/>
        </w:rPr>
        <w:drawing>
          <wp:inline distT="0" distB="0" distL="0" distR="0">
            <wp:extent cx="651510" cy="17145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General and administratve expense decreased by $17.0 million, or 39.8%, and $47.7 million, or 30.9%, three and nine months ended September 30, 2024, respectvely, when compared to the same periods in 2023. The decreases in dollars and as a percentage of total revenue were primarily driven by the following:</w:t>
      </w:r>
    </w:p>
    <w:p>
      <w:pPr>
        <w:spacing w:after="0" w:line="165" w:lineRule="exact"/>
        <w:rPr>
          <w:sz w:val="20"/>
          <w:szCs w:val="20"/>
          <w:color w:val="auto"/>
        </w:rPr>
      </w:pPr>
    </w:p>
    <w:p>
      <w:pPr>
        <w:ind w:left="700" w:right="20" w:hanging="348"/>
        <w:spacing w:after="0" w:line="180" w:lineRule="auto"/>
        <w:tabs>
          <w:tab w:leader="none" w:pos="700" w:val="left"/>
        </w:tabs>
        <w:numPr>
          <w:ilvl w:val="0"/>
          <w:numId w:val="25"/>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Decreases in stock-based compensaton costs of $7.9 million and $8.0 million, respectvely, primarily due to estmated overall Company performance against 2024 goals</w:t>
      </w:r>
    </w:p>
    <w:p>
      <w:pPr>
        <w:spacing w:after="0" w:line="109" w:lineRule="exact"/>
        <w:rPr>
          <w:rFonts w:ascii="Calibri" w:cs="Calibri" w:eastAsia="Calibri" w:hAnsi="Calibri"/>
          <w:sz w:val="31"/>
          <w:szCs w:val="31"/>
          <w:color w:val="51555C"/>
          <w:vertAlign w:val="superscript"/>
        </w:rPr>
      </w:pPr>
    </w:p>
    <w:p>
      <w:pPr>
        <w:jc w:val="both"/>
        <w:ind w:left="700" w:right="20" w:hanging="348"/>
        <w:spacing w:after="0" w:line="202" w:lineRule="auto"/>
        <w:tabs>
          <w:tab w:leader="none" w:pos="700" w:val="left"/>
        </w:tabs>
        <w:numPr>
          <w:ilvl w:val="0"/>
          <w:numId w:val="25"/>
        </w:numPr>
        <w:rPr>
          <w:rFonts w:ascii="Calibri" w:cs="Calibri" w:eastAsia="Calibri" w:hAnsi="Calibri"/>
          <w:sz w:val="36"/>
          <w:szCs w:val="36"/>
          <w:color w:val="51555C"/>
          <w:vertAlign w:val="superscript"/>
        </w:rPr>
      </w:pPr>
      <w:r>
        <w:rPr>
          <w:rFonts w:ascii="Calibri" w:cs="Calibri" w:eastAsia="Calibri" w:hAnsi="Calibri"/>
          <w:sz w:val="18"/>
          <w:szCs w:val="18"/>
          <w:color w:val="51555C"/>
        </w:rPr>
        <w:t>Decreases in acquisiton and dispositon-related costs of $6.8 million and $2.0 million, respectvely. For the three months ended period the decrease is primarily related to the inital noncash impairment charges against certain operatng lease right-of-use assets and property and equipment assets resultng from the sublease of a porton of our Washington, DC ofce locaton during the third quarter of 2023 which did not reoccur in the third quarter of 2024. For the nine months ended period, the decrease related to the 2023 Washington, DC ofce impairment was partally ofset by an additonal impairment due to sublease, which occurred during the second quarter of 2024 and the dispositon of EVERFI Limited; see Note 5 and Note 3 to our unaudited, condensed consolidated fnancial statements in this report for more informaton.</w:t>
      </w:r>
    </w:p>
    <w:p>
      <w:pPr>
        <w:spacing w:after="0" w:line="109" w:lineRule="exact"/>
        <w:rPr>
          <w:rFonts w:ascii="Calibri" w:cs="Calibri" w:eastAsia="Calibri" w:hAnsi="Calibri"/>
          <w:sz w:val="36"/>
          <w:szCs w:val="36"/>
          <w:color w:val="51555C"/>
          <w:vertAlign w:val="superscript"/>
        </w:rPr>
      </w:pPr>
    </w:p>
    <w:p>
      <w:pPr>
        <w:ind w:left="700" w:right="20" w:hanging="348"/>
        <w:spacing w:after="0" w:line="180" w:lineRule="auto"/>
        <w:tabs>
          <w:tab w:leader="none" w:pos="700" w:val="left"/>
        </w:tabs>
        <w:numPr>
          <w:ilvl w:val="0"/>
          <w:numId w:val="25"/>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Decreases in Security Incident-related expenses of $3.4 million and $35.9 million, respectvely, largely related to decreases in loss contngency accruals. See "Security Incident update" on page 31</w:t>
      </w:r>
    </w:p>
    <w:p>
      <w:pPr>
        <w:spacing w:after="0" w:line="50" w:lineRule="exact"/>
        <w:rPr>
          <w:rFonts w:ascii="Calibri" w:cs="Calibri" w:eastAsia="Calibri" w:hAnsi="Calibri"/>
          <w:sz w:val="31"/>
          <w:szCs w:val="31"/>
          <w:color w:val="51555C"/>
          <w:vertAlign w:val="superscript"/>
        </w:rPr>
      </w:pPr>
    </w:p>
    <w:p>
      <w:pPr>
        <w:ind w:left="700" w:hanging="348"/>
        <w:spacing w:after="0"/>
        <w:tabs>
          <w:tab w:leader="none" w:pos="700" w:val="left"/>
        </w:tabs>
        <w:numPr>
          <w:ilvl w:val="0"/>
          <w:numId w:val="25"/>
        </w:numPr>
        <w:rPr>
          <w:rFonts w:ascii="Calibri" w:cs="Calibri" w:eastAsia="Calibri" w:hAnsi="Calibri"/>
          <w:sz w:val="18"/>
          <w:szCs w:val="18"/>
          <w:color w:val="51555C"/>
        </w:rPr>
      </w:pPr>
      <w:r>
        <w:rPr>
          <w:rFonts w:ascii="Calibri" w:cs="Calibri" w:eastAsia="Calibri" w:hAnsi="Calibri"/>
          <w:sz w:val="18"/>
          <w:szCs w:val="18"/>
          <w:color w:val="51555C"/>
        </w:rPr>
        <w:t>Decreases in rent expense and allocated costs of $1.9 million and $4.5 million, respectvely</w:t>
      </w:r>
    </w:p>
    <w:p>
      <w:pPr>
        <w:spacing w:after="0" w:line="109" w:lineRule="exact"/>
        <w:rPr>
          <w:rFonts w:ascii="Calibri" w:cs="Calibri" w:eastAsia="Calibri" w:hAnsi="Calibri"/>
          <w:sz w:val="18"/>
          <w:szCs w:val="18"/>
          <w:color w:val="51555C"/>
        </w:rPr>
      </w:pPr>
    </w:p>
    <w:p>
      <w:pPr>
        <w:ind w:left="700" w:right="20" w:hanging="348"/>
        <w:spacing w:after="0" w:line="180" w:lineRule="auto"/>
        <w:tabs>
          <w:tab w:leader="none" w:pos="700" w:val="left"/>
        </w:tabs>
        <w:numPr>
          <w:ilvl w:val="0"/>
          <w:numId w:val="25"/>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 in corporate costs of $1.8 million, during the nine months ended September 30, 2024, primarily related to a decrease in bad debt expense and the release of certain accrued tax liabilites due to favorable state sales tax rulings</w:t>
      </w:r>
    </w:p>
    <w:p>
      <w:pPr>
        <w:spacing w:after="0" w:line="110" w:lineRule="exact"/>
        <w:rPr>
          <w:sz w:val="20"/>
          <w:szCs w:val="20"/>
          <w:color w:val="auto"/>
        </w:rPr>
      </w:pPr>
    </w:p>
    <w:p>
      <w:pPr>
        <w:ind w:left="700" w:right="20" w:hanging="364"/>
        <w:spacing w:after="0" w:line="180" w:lineRule="auto"/>
        <w:tabs>
          <w:tab w:leader="none" w:pos="700" w:val="left"/>
        </w:tabs>
        <w:numPr>
          <w:ilvl w:val="0"/>
          <w:numId w:val="26"/>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Increases in compensaton costs other than stock-based compensaton of $1.3 million and $3.9 million, respectvely, primarily due to an increase in resources dedicated to our cybersecurity program</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Interest Expense</w:t>
      </w:r>
    </w:p>
    <w:p>
      <w:pPr>
        <w:spacing w:after="0" w:line="266" w:lineRule="exact"/>
        <w:rPr>
          <w:sz w:val="20"/>
          <w:szCs w:val="20"/>
          <w:color w:val="auto"/>
        </w:rPr>
      </w:pPr>
    </w:p>
    <w:p>
      <w:pPr>
        <w:ind w:left="3860"/>
        <w:spacing w:after="0"/>
        <w:rPr>
          <w:sz w:val="20"/>
          <w:szCs w:val="20"/>
          <w:color w:val="auto"/>
        </w:rPr>
      </w:pPr>
      <w:r>
        <w:rPr>
          <w:rFonts w:ascii="Calibri" w:cs="Calibri" w:eastAsia="Calibri" w:hAnsi="Calibri"/>
          <w:sz w:val="18"/>
          <w:szCs w:val="18"/>
          <w:i w:val="1"/>
          <w:iCs w:val="1"/>
          <w:color w:val="51555C"/>
        </w:rPr>
        <w:t>Interest expense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635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04" w:lineRule="exact"/>
        <w:rPr>
          <w:sz w:val="20"/>
          <w:szCs w:val="20"/>
          <w:color w:val="auto"/>
        </w:rPr>
      </w:pPr>
    </w:p>
    <w:p>
      <w:pPr>
        <w:ind w:left="3020"/>
        <w:spacing w:after="0"/>
        <w:rPr>
          <w:sz w:val="20"/>
          <w:szCs w:val="20"/>
          <w:color w:val="auto"/>
        </w:rPr>
      </w:pPr>
      <w:r>
        <w:rPr>
          <w:rFonts w:ascii="Calibri" w:cs="Calibri" w:eastAsia="Calibri" w:hAnsi="Calibri"/>
          <w:sz w:val="13"/>
          <w:szCs w:val="13"/>
          <w:i w:val="1"/>
          <w:iCs w:val="1"/>
          <w:color w:val="51555C"/>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178435</wp:posOffset>
            </wp:positionV>
            <wp:extent cx="4928870" cy="1423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2887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increases in interest expense in dollars and as a percentage of total revenue during the three and nine months ended September 30, 2024, when compared to the same periods in 2023, were primarily due to our incremental borrowings to fund our ASR Transacton and other stock repurchases. We currently expect interest expense for the full year 2024 to be approximately $53 million to $57 million. Our interest expense in connecton with the variable rate porton of our outstanding debt could increase in a rising interest rate environment. See Note 8 to our unaudited, condensed consolidated fnancial statements in this report for more informaton regarding our derivatve instruments, which we use to manage our variable interest rate risk, and Item 3. Quanttatve and Qualitatve Disclosures about Market Risk: Interest Rate Risk (below) for more informaton about our variable interest rate exposure and related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240665</wp:posOffset>
            </wp:positionV>
            <wp:extent cx="659765"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37</w:t>
            </w:r>
          </w:p>
        </w:tc>
      </w:tr>
      <w:tr>
        <w:trPr>
          <w:trHeight w:val="364"/>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Other Income</w:t>
      </w:r>
    </w:p>
    <w:p>
      <w:pPr>
        <w:spacing w:after="0" w:line="266" w:lineRule="exact"/>
        <w:rPr>
          <w:sz w:val="20"/>
          <w:szCs w:val="20"/>
          <w:color w:val="auto"/>
        </w:rPr>
      </w:pPr>
    </w:p>
    <w:p>
      <w:pPr>
        <w:ind w:left="3960"/>
        <w:spacing w:after="0"/>
        <w:rPr>
          <w:sz w:val="20"/>
          <w:szCs w:val="20"/>
          <w:color w:val="auto"/>
        </w:rPr>
      </w:pPr>
      <w:r>
        <w:rPr>
          <w:rFonts w:ascii="Calibri" w:cs="Calibri" w:eastAsia="Calibri" w:hAnsi="Calibri"/>
          <w:sz w:val="18"/>
          <w:szCs w:val="18"/>
          <w:i w:val="1"/>
          <w:iCs w:val="1"/>
          <w:color w:val="51555C"/>
        </w:rPr>
        <w:t>Other income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635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104" w:lineRule="exact"/>
        <w:rPr>
          <w:sz w:val="20"/>
          <w:szCs w:val="20"/>
          <w:color w:val="auto"/>
        </w:rPr>
      </w:pPr>
    </w:p>
    <w:p>
      <w:pPr>
        <w:ind w:left="2920"/>
        <w:spacing w:after="0"/>
        <w:rPr>
          <w:sz w:val="20"/>
          <w:szCs w:val="20"/>
          <w:color w:val="auto"/>
        </w:rPr>
      </w:pPr>
      <w:r>
        <w:rPr>
          <w:rFonts w:ascii="Calibri" w:cs="Calibri" w:eastAsia="Calibri" w:hAnsi="Calibri"/>
          <w:sz w:val="13"/>
          <w:szCs w:val="13"/>
          <w:i w:val="1"/>
          <w:iCs w:val="1"/>
          <w:color w:val="51555C"/>
        </w:rPr>
        <w:t>Percentages indicate other income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186690</wp:posOffset>
            </wp:positionV>
            <wp:extent cx="4928870" cy="1423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2887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decreases in other income in dollars and as a percentage of total revenue during the three and nine months ended September 30, 2024, when compared to the same periods in 2023, were primarily due to current year losses in currency revaluaton compared to prior year gains. For the nine months ended September 30, 2024, the decrease was partally ofset by an increase in interest income. Interest income increased primarily due to higher interest earned on restricted cash held and payable by us to customers for our payment processing solutons. See Note 6 to our unaudited, condensed consolidated fnancial statements in this report for more informaton regarding our other income.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Deferred Revenue</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The table below compares the components of deferred revenue from our unaudited, condensed consolidated balance sheets: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320" w:type="dxa"/>
            <w:vAlign w:val="bottom"/>
            <w:shd w:val="clear" w:color="auto" w:fill="004054"/>
          </w:tcPr>
          <w:p>
            <w:pPr>
              <w:spacing w:after="0"/>
              <w:rPr>
                <w:sz w:val="16"/>
                <w:szCs w:val="16"/>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1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170"/>
        </w:trPr>
        <w:tc>
          <w:tcPr>
            <w:tcW w:w="74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300" w:type="dxa"/>
            <w:vAlign w:val="bottom"/>
            <w:shd w:val="clear" w:color="auto" w:fill="004054"/>
          </w:tcPr>
          <w:p>
            <w:pPr>
              <w:spacing w:after="0"/>
              <w:rPr>
                <w:sz w:val="14"/>
                <w:szCs w:val="14"/>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320" w:type="dxa"/>
            <w:vAlign w:val="bottom"/>
            <w:shd w:val="clear" w:color="auto" w:fill="004054"/>
          </w:tcPr>
          <w:p>
            <w:pPr>
              <w:spacing w:after="0"/>
              <w:rPr>
                <w:sz w:val="14"/>
                <w:szCs w:val="14"/>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1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Change</w:t>
            </w:r>
          </w:p>
        </w:tc>
        <w:tc>
          <w:tcPr>
            <w:tcW w:w="20" w:type="dxa"/>
            <w:vAlign w:val="bottom"/>
            <w:shd w:val="clear" w:color="auto" w:fill="004054"/>
          </w:tcPr>
          <w:p>
            <w:pPr>
              <w:spacing w:after="0"/>
              <w:rPr>
                <w:sz w:val="14"/>
                <w:szCs w:val="14"/>
                <w:color w:val="auto"/>
              </w:rPr>
            </w:pPr>
          </w:p>
        </w:tc>
      </w:tr>
      <w:tr>
        <w:trPr>
          <w:trHeight w:val="74"/>
        </w:trPr>
        <w:tc>
          <w:tcPr>
            <w:tcW w:w="740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060" w:type="dxa"/>
            <w:vAlign w:val="bottom"/>
            <w:shd w:val="clear" w:color="auto" w:fill="004054"/>
          </w:tcPr>
          <w:p>
            <w:pPr>
              <w:spacing w:after="0"/>
              <w:rPr>
                <w:sz w:val="6"/>
                <w:szCs w:val="6"/>
                <w:color w:val="auto"/>
              </w:rPr>
            </w:pPr>
          </w:p>
        </w:tc>
        <w:tc>
          <w:tcPr>
            <w:tcW w:w="320" w:type="dxa"/>
            <w:vAlign w:val="bottom"/>
            <w:shd w:val="clear" w:color="auto" w:fill="004054"/>
          </w:tcPr>
          <w:p>
            <w:pPr>
              <w:spacing w:after="0"/>
              <w:rPr>
                <w:sz w:val="6"/>
                <w:szCs w:val="6"/>
                <w:color w:val="auto"/>
              </w:rPr>
            </w:pPr>
          </w:p>
        </w:tc>
        <w:tc>
          <w:tcPr>
            <w:tcW w:w="1060" w:type="dxa"/>
            <w:vAlign w:val="bottom"/>
            <w:shd w:val="clear" w:color="auto" w:fill="004054"/>
          </w:tcPr>
          <w:p>
            <w:pPr>
              <w:spacing w:after="0"/>
              <w:rPr>
                <w:sz w:val="6"/>
                <w:szCs w:val="6"/>
                <w:color w:val="auto"/>
              </w:rPr>
            </w:pPr>
          </w:p>
        </w:tc>
        <w:tc>
          <w:tcPr>
            <w:tcW w:w="11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324"/>
        </w:trPr>
        <w:tc>
          <w:tcPr>
            <w:tcW w:w="740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Deferred revenue</w:t>
            </w:r>
            <w:r>
              <w:rPr>
                <w:rFonts w:ascii="Calibri" w:cs="Calibri" w:eastAsia="Calibri" w:hAnsi="Calibri"/>
                <w:sz w:val="23"/>
                <w:szCs w:val="23"/>
                <w:color w:val="51555C"/>
                <w:vertAlign w:val="superscript"/>
              </w:rPr>
              <w:t>(1)</w:t>
            </w:r>
          </w:p>
        </w:tc>
        <w:tc>
          <w:tcPr>
            <w:tcW w:w="300" w:type="dxa"/>
            <w:vAlign w:val="bottom"/>
            <w:shd w:val="clear" w:color="auto" w:fill="EBFBFF"/>
          </w:tcPr>
          <w:p>
            <w:pPr>
              <w:jc w:val="right"/>
              <w:ind w:right="90"/>
              <w:spacing w:after="0"/>
              <w:rPr>
                <w:sz w:val="20"/>
                <w:szCs w:val="20"/>
                <w:color w:val="auto"/>
              </w:rPr>
            </w:pPr>
            <w:r>
              <w:rPr>
                <w:rFonts w:ascii="Calibri" w:cs="Calibri" w:eastAsia="Calibri" w:hAnsi="Calibri"/>
                <w:sz w:val="18"/>
                <w:szCs w:val="18"/>
                <w:color w:val="51555C"/>
              </w:rPr>
              <w:t>$</w:t>
            </w:r>
          </w:p>
        </w:tc>
        <w:tc>
          <w:tcPr>
            <w:tcW w:w="106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413.3</w:t>
            </w:r>
          </w:p>
        </w:tc>
        <w:tc>
          <w:tcPr>
            <w:tcW w:w="320" w:type="dxa"/>
            <w:vAlign w:val="bottom"/>
            <w:shd w:val="clear" w:color="auto" w:fill="EBFBFF"/>
          </w:tcPr>
          <w:p>
            <w:pPr>
              <w:jc w:val="right"/>
              <w:ind w:right="110"/>
              <w:spacing w:after="0"/>
              <w:rPr>
                <w:sz w:val="20"/>
                <w:szCs w:val="20"/>
                <w:color w:val="auto"/>
              </w:rPr>
            </w:pPr>
            <w:r>
              <w:rPr>
                <w:rFonts w:ascii="Calibri" w:cs="Calibri" w:eastAsia="Calibri" w:hAnsi="Calibri"/>
                <w:sz w:val="18"/>
                <w:szCs w:val="18"/>
                <w:color w:val="51555C"/>
              </w:rPr>
              <w:t>$</w:t>
            </w:r>
          </w:p>
        </w:tc>
        <w:tc>
          <w:tcPr>
            <w:tcW w:w="106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394.9</w:t>
            </w:r>
          </w:p>
        </w:tc>
        <w:tc>
          <w:tcPr>
            <w:tcW w:w="110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4.6 %</w:t>
            </w:r>
          </w:p>
        </w:tc>
        <w:tc>
          <w:tcPr>
            <w:tcW w:w="20" w:type="dxa"/>
            <w:vAlign w:val="bottom"/>
          </w:tcPr>
          <w:p>
            <w:pPr>
              <w:spacing w:after="0"/>
              <w:rPr>
                <w:sz w:val="24"/>
                <w:szCs w:val="24"/>
                <w:color w:val="auto"/>
              </w:rPr>
            </w:pPr>
          </w:p>
        </w:tc>
      </w:tr>
      <w:tr>
        <w:trPr>
          <w:trHeight w:val="220"/>
        </w:trPr>
        <w:tc>
          <w:tcPr>
            <w:tcW w:w="7400" w:type="dxa"/>
            <w:vAlign w:val="bottom"/>
          </w:tcPr>
          <w:p>
            <w:pPr>
              <w:ind w:left="140"/>
              <w:spacing w:after="0"/>
              <w:rPr>
                <w:sz w:val="20"/>
                <w:szCs w:val="20"/>
                <w:color w:val="auto"/>
              </w:rPr>
            </w:pPr>
            <w:r>
              <w:rPr>
                <w:rFonts w:ascii="Calibri" w:cs="Calibri" w:eastAsia="Calibri" w:hAnsi="Calibri"/>
                <w:sz w:val="18"/>
                <w:szCs w:val="18"/>
                <w:color w:val="51555C"/>
              </w:rPr>
              <w:t>Less: Long-term porton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1.7</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2.4</w:t>
            </w:r>
          </w:p>
        </w:tc>
        <w:tc>
          <w:tcPr>
            <w:tcW w:w="1100" w:type="dxa"/>
            <w:vAlign w:val="bottom"/>
          </w:tcPr>
          <w:p>
            <w:pPr>
              <w:jc w:val="right"/>
              <w:spacing w:after="0"/>
              <w:rPr>
                <w:sz w:val="20"/>
                <w:szCs w:val="20"/>
                <w:color w:val="auto"/>
              </w:rPr>
            </w:pPr>
            <w:r>
              <w:rPr>
                <w:rFonts w:ascii="Calibri" w:cs="Calibri" w:eastAsia="Calibri" w:hAnsi="Calibri"/>
                <w:sz w:val="18"/>
                <w:szCs w:val="18"/>
                <w:color w:val="51555C"/>
              </w:rPr>
              <w:t>(28.9)%</w:t>
            </w:r>
          </w:p>
        </w:tc>
        <w:tc>
          <w:tcPr>
            <w:tcW w:w="20" w:type="dxa"/>
            <w:vAlign w:val="bottom"/>
          </w:tcPr>
          <w:p>
            <w:pPr>
              <w:spacing w:after="0"/>
              <w:rPr>
                <w:sz w:val="19"/>
                <w:szCs w:val="19"/>
                <w:color w:val="auto"/>
              </w:rPr>
            </w:pPr>
          </w:p>
        </w:tc>
      </w:tr>
      <w:tr>
        <w:trPr>
          <w:trHeight w:val="50"/>
        </w:trPr>
        <w:tc>
          <w:tcPr>
            <w:tcW w:w="7400" w:type="dxa"/>
            <w:vAlign w:val="bottom"/>
            <w:tcBorders>
              <w:bottom w:val="single" w:sz="8" w:color="EBFBFF"/>
            </w:tcBorders>
          </w:tcPr>
          <w:p>
            <w:pPr>
              <w:spacing w:after="0"/>
              <w:rPr>
                <w:sz w:val="4"/>
                <w:szCs w:val="4"/>
                <w:color w:val="auto"/>
              </w:rPr>
            </w:pPr>
          </w:p>
        </w:tc>
        <w:tc>
          <w:tcPr>
            <w:tcW w:w="300" w:type="dxa"/>
            <w:vAlign w:val="bottom"/>
            <w:tcBorders>
              <w:bottom w:val="single" w:sz="8" w:color="51555C"/>
            </w:tcBorders>
          </w:tcPr>
          <w:p>
            <w:pPr>
              <w:spacing w:after="0"/>
              <w:rPr>
                <w:sz w:val="4"/>
                <w:szCs w:val="4"/>
                <w:color w:val="auto"/>
              </w:rPr>
            </w:pPr>
          </w:p>
        </w:tc>
        <w:tc>
          <w:tcPr>
            <w:tcW w:w="1060" w:type="dxa"/>
            <w:vAlign w:val="bottom"/>
            <w:tcBorders>
              <w:bottom w:val="single" w:sz="8" w:color="51555C"/>
            </w:tcBorders>
          </w:tcPr>
          <w:p>
            <w:pPr>
              <w:spacing w:after="0"/>
              <w:rPr>
                <w:sz w:val="4"/>
                <w:szCs w:val="4"/>
                <w:color w:val="auto"/>
              </w:rPr>
            </w:pPr>
          </w:p>
        </w:tc>
        <w:tc>
          <w:tcPr>
            <w:tcW w:w="320" w:type="dxa"/>
            <w:vAlign w:val="bottom"/>
            <w:tcBorders>
              <w:bottom w:val="single" w:sz="8" w:color="51555C"/>
            </w:tcBorders>
          </w:tcPr>
          <w:p>
            <w:pPr>
              <w:spacing w:after="0"/>
              <w:rPr>
                <w:sz w:val="4"/>
                <w:szCs w:val="4"/>
                <w:color w:val="auto"/>
              </w:rPr>
            </w:pPr>
          </w:p>
        </w:tc>
        <w:tc>
          <w:tcPr>
            <w:tcW w:w="1060" w:type="dxa"/>
            <w:vAlign w:val="bottom"/>
            <w:tcBorders>
              <w:bottom w:val="single" w:sz="8" w:color="51555C"/>
            </w:tcBorders>
          </w:tcPr>
          <w:p>
            <w:pPr>
              <w:spacing w:after="0"/>
              <w:rPr>
                <w:sz w:val="4"/>
                <w:szCs w:val="4"/>
                <w:color w:val="auto"/>
              </w:rPr>
            </w:pPr>
          </w:p>
        </w:tc>
        <w:tc>
          <w:tcPr>
            <w:tcW w:w="1100" w:type="dxa"/>
            <w:vAlign w:val="bottom"/>
            <w:tcBorders>
              <w:bottom w:val="single" w:sz="8" w:color="EBFBFF"/>
            </w:tcBorders>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400" w:type="dxa"/>
            <w:vAlign w:val="bottom"/>
            <w:tcBorders>
              <w:bottom w:val="single" w:sz="8" w:color="0CD973"/>
            </w:tcBorders>
            <w:shd w:val="clear" w:color="auto" w:fill="EBFBFF"/>
          </w:tcPr>
          <w:p>
            <w:pPr>
              <w:ind w:left="140"/>
              <w:spacing w:after="0"/>
              <w:rPr>
                <w:sz w:val="20"/>
                <w:szCs w:val="20"/>
                <w:color w:val="auto"/>
              </w:rPr>
            </w:pPr>
            <w:r>
              <w:rPr>
                <w:rFonts w:ascii="Calibri" w:cs="Calibri" w:eastAsia="Calibri" w:hAnsi="Calibri"/>
                <w:sz w:val="18"/>
                <w:szCs w:val="18"/>
                <w:color w:val="51555C"/>
              </w:rPr>
              <w:t>Current porton</w:t>
            </w:r>
            <w:r>
              <w:rPr>
                <w:rFonts w:ascii="Calibri" w:cs="Calibri" w:eastAsia="Calibri" w:hAnsi="Calibri"/>
                <w:sz w:val="23"/>
                <w:szCs w:val="23"/>
                <w:color w:val="51555C"/>
                <w:vertAlign w:val="superscript"/>
              </w:rPr>
              <w:t>(1)</w:t>
            </w:r>
          </w:p>
        </w:tc>
        <w:tc>
          <w:tcPr>
            <w:tcW w:w="300" w:type="dxa"/>
            <w:vAlign w:val="bottom"/>
            <w:tcBorders>
              <w:bottom w:val="single" w:sz="8" w:color="0CD973"/>
            </w:tcBorders>
            <w:shd w:val="clear" w:color="auto" w:fill="EBFBFF"/>
          </w:tcPr>
          <w:p>
            <w:pPr>
              <w:jc w:val="right"/>
              <w:ind w:right="90"/>
              <w:spacing w:after="0"/>
              <w:rPr>
                <w:sz w:val="20"/>
                <w:szCs w:val="20"/>
                <w:color w:val="auto"/>
              </w:rPr>
            </w:pPr>
            <w:r>
              <w:rPr>
                <w:rFonts w:ascii="Calibri" w:cs="Calibri" w:eastAsia="Calibri" w:hAnsi="Calibri"/>
                <w:sz w:val="18"/>
                <w:szCs w:val="18"/>
                <w:color w:val="51555C"/>
              </w:rPr>
              <w:t>$</w:t>
            </w:r>
          </w:p>
        </w:tc>
        <w:tc>
          <w:tcPr>
            <w:tcW w:w="106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8"/>
                <w:szCs w:val="18"/>
                <w:color w:val="51555C"/>
              </w:rPr>
              <w:t>411.6</w:t>
            </w:r>
          </w:p>
        </w:tc>
        <w:tc>
          <w:tcPr>
            <w:tcW w:w="320" w:type="dxa"/>
            <w:vAlign w:val="bottom"/>
            <w:tcBorders>
              <w:bottom w:val="single" w:sz="8" w:color="0CD973"/>
            </w:tcBorders>
            <w:shd w:val="clear" w:color="auto" w:fill="EBFBFF"/>
          </w:tcPr>
          <w:p>
            <w:pPr>
              <w:jc w:val="right"/>
              <w:ind w:right="110"/>
              <w:spacing w:after="0"/>
              <w:rPr>
                <w:sz w:val="20"/>
                <w:szCs w:val="20"/>
                <w:color w:val="auto"/>
              </w:rPr>
            </w:pPr>
            <w:r>
              <w:rPr>
                <w:rFonts w:ascii="Calibri" w:cs="Calibri" w:eastAsia="Calibri" w:hAnsi="Calibri"/>
                <w:sz w:val="18"/>
                <w:szCs w:val="18"/>
                <w:color w:val="51555C"/>
              </w:rPr>
              <w:t>$</w:t>
            </w:r>
          </w:p>
        </w:tc>
        <w:tc>
          <w:tcPr>
            <w:tcW w:w="106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8"/>
                <w:szCs w:val="18"/>
                <w:color w:val="51555C"/>
              </w:rPr>
              <w:t>392.5</w:t>
            </w:r>
          </w:p>
        </w:tc>
        <w:tc>
          <w:tcPr>
            <w:tcW w:w="110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8"/>
                <w:szCs w:val="18"/>
                <w:color w:val="51555C"/>
              </w:rPr>
              <w:t>4.8 %</w:t>
            </w:r>
          </w:p>
        </w:tc>
        <w:tc>
          <w:tcPr>
            <w:tcW w:w="20" w:type="dxa"/>
            <w:vAlign w:val="bottom"/>
          </w:tcPr>
          <w:p>
            <w:pPr>
              <w:spacing w:after="0"/>
              <w:rPr>
                <w:sz w:val="24"/>
                <w:szCs w:val="24"/>
                <w:color w:val="auto"/>
              </w:rPr>
            </w:pPr>
          </w:p>
        </w:tc>
      </w:tr>
    </w:tbl>
    <w:p>
      <w:pPr>
        <w:spacing w:after="0" w:line="66" w:lineRule="exact"/>
        <w:rPr>
          <w:sz w:val="20"/>
          <w:szCs w:val="20"/>
          <w:color w:val="auto"/>
        </w:rPr>
      </w:pPr>
    </w:p>
    <w:p>
      <w:pPr>
        <w:ind w:left="340" w:hanging="332"/>
        <w:spacing w:after="0"/>
        <w:tabs>
          <w:tab w:leader="none" w:pos="340" w:val="left"/>
        </w:tabs>
        <w:numPr>
          <w:ilvl w:val="0"/>
          <w:numId w:val="27"/>
        </w:numPr>
        <w:rPr>
          <w:rFonts w:ascii="Calibri" w:cs="Calibri" w:eastAsia="Calibri" w:hAnsi="Calibri"/>
          <w:sz w:val="14"/>
          <w:szCs w:val="14"/>
          <w:color w:val="51555C"/>
        </w:rPr>
      </w:pPr>
      <w:r>
        <w:rPr>
          <w:rFonts w:ascii="Calibri" w:cs="Calibri" w:eastAsia="Calibri" w:hAnsi="Calibri"/>
          <w:sz w:val="14"/>
          <w:szCs w:val="14"/>
          <w:color w:val="51555C"/>
        </w:rPr>
        <w:t>The individual amounts for each year may not sum to deferred revenue or current porton of deferred revenue due to rounding.</w:t>
      </w:r>
    </w:p>
    <w:p>
      <w:pPr>
        <w:spacing w:after="0" w:line="17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To the extent that our customers are billed for our solutons and services in advance of delivery, we record such amounts in deferred revenue. Our recurring revenue contracts are generally for a term of three years at contract incepton, billed annually in advance, and non-cancelable. We generally invoice our customers with recurring revenue contracts in annual cycles 30 days prior to the end of each one-year period.</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increase in deferred revenue during the nine months ended September 30, 2024 was primarily due to the impact of our contract pricing initatves within the Social Sector, as well as a seasonal increase in customer contract billings and renewals. Historically, due to the tming of customer budget cycles, we have an increase in customer contract renewals at or near the beginning of our third quarter. Generally, our lowest balance of deferred revenue during the year is at the end of our frst quarter.</w:t>
      </w:r>
    </w:p>
    <w:p>
      <w:pPr>
        <w:spacing w:after="0" w:line="339"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38</w:t>
      </w:r>
      <w:r>
        <w:rPr>
          <w:sz w:val="20"/>
          <w:szCs w:val="20"/>
          <w:color w:val="auto"/>
        </w:rPr>
        <w:tab/>
      </w:r>
      <w:r>
        <w:rPr>
          <w:sz w:val="1"/>
          <w:szCs w:val="1"/>
          <w:color w:val="auto"/>
        </w:rPr>
        <w:drawing>
          <wp:inline distT="0" distB="0" distL="0" distR="0">
            <wp:extent cx="651510" cy="1714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Income Taxes</w:t>
      </w:r>
    </w:p>
    <w:p>
      <w:pPr>
        <w:spacing w:after="0" w:line="200" w:lineRule="exact"/>
        <w:rPr>
          <w:sz w:val="20"/>
          <w:szCs w:val="20"/>
          <w:color w:val="auto"/>
        </w:rPr>
      </w:pPr>
    </w:p>
    <w:p>
      <w:pPr>
        <w:spacing w:after="0" w:line="282" w:lineRule="exact"/>
        <w:rPr>
          <w:sz w:val="20"/>
          <w:szCs w:val="20"/>
          <w:color w:val="auto"/>
        </w:rPr>
      </w:pPr>
    </w:p>
    <w:p>
      <w:pPr>
        <w:ind w:left="3380"/>
        <w:spacing w:after="0"/>
        <w:rPr>
          <w:sz w:val="20"/>
          <w:szCs w:val="20"/>
          <w:color w:val="auto"/>
        </w:rPr>
      </w:pPr>
      <w:r>
        <w:rPr>
          <w:rFonts w:ascii="Calibri" w:cs="Calibri" w:eastAsia="Calibri" w:hAnsi="Calibri"/>
          <w:sz w:val="18"/>
          <w:szCs w:val="18"/>
          <w:i w:val="1"/>
          <w:iCs w:val="1"/>
          <w:color w:val="51555C"/>
        </w:rPr>
        <w:t>Income tax provision (beneft)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635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04" w:lineRule="exact"/>
        <w:rPr>
          <w:sz w:val="20"/>
          <w:szCs w:val="20"/>
          <w:color w:val="auto"/>
        </w:rPr>
      </w:pPr>
    </w:p>
    <w:p>
      <w:pPr>
        <w:ind w:left="3440"/>
        <w:spacing w:after="0"/>
        <w:rPr>
          <w:sz w:val="20"/>
          <w:szCs w:val="20"/>
          <w:color w:val="auto"/>
        </w:rPr>
      </w:pPr>
      <w:r>
        <w:rPr>
          <w:rFonts w:ascii="Calibri" w:cs="Calibri" w:eastAsia="Calibri" w:hAnsi="Calibri"/>
          <w:sz w:val="13"/>
          <w:szCs w:val="13"/>
          <w:i w:val="1"/>
          <w:iCs w:val="1"/>
          <w:color w:val="51555C"/>
        </w:rPr>
        <w:t>Percentages indicate efectve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186690</wp:posOffset>
            </wp:positionV>
            <wp:extent cx="4928870" cy="1423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2887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changes in our efectve income tax rates for the three and nine months ended September 30, 2024, when compared to the same periods in 2023 were primarily atributable the negatve impact in 2023 of non-deductble accruals related to the Security Incident that did not recur in 2024 to the same extent. Additonally, there were favorable impacts of benefts atributable to stock-based compensaton. Partally ofsetng these items were unfavorable impacts of our United Kingdom liability for uncertain tax positons.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Non-GAAP Financial Measures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operatng results analyzed below are presented on a non-GAAP basis. We use non-GAAP fnancial measures internally in analyzing our operatonal performance. Accordingly, we believe these non-GAAP measures are useful to investors, as a supplement to GAAP measures, in evaluatng our ongoing operatonal performance. While we believe these non-GAAP measures provide useful supplemental informaton, non-GAAP fnancial measures should not be considered in isolaton from, or as a substtute for, fnancial informaton prepared in accordance with GAAP. In additon, these non-GAAP fnancial measures may not be completely comparable to similarly ttled measures of other companies due to potental diferences in the exact method of calculaton between companies.</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non-GAAP fnancial measures discussed below exclude the impact of certain transactons because we believe they are not directly related to our operatng performance in any partcular period, but are for our long-term beneft over multple periods. We believe that these non-GAAP fnancial measures refect our ongoing business in a manner that allows for meaningful period-to-period comparisons and analysis of trends in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247015</wp:posOffset>
            </wp:positionV>
            <wp:extent cx="659765"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39</w:t>
            </w:r>
          </w:p>
        </w:tc>
      </w:tr>
      <w:tr>
        <w:trPr>
          <w:trHeight w:val="351"/>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020" w:type="dxa"/>
            <w:vAlign w:val="bottom"/>
            <w:shd w:val="clear" w:color="auto" w:fill="004054"/>
          </w:tcPr>
          <w:p>
            <w:pPr>
              <w:spacing w:after="0"/>
              <w:rPr>
                <w:sz w:val="15"/>
                <w:szCs w:val="15"/>
                <w:color w:val="auto"/>
              </w:rPr>
            </w:pPr>
          </w:p>
        </w:tc>
        <w:tc>
          <w:tcPr>
            <w:tcW w:w="1320" w:type="dxa"/>
            <w:vAlign w:val="bottom"/>
            <w:gridSpan w:val="2"/>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Three months ended</w:t>
            </w:r>
          </w:p>
        </w:tc>
        <w:tc>
          <w:tcPr>
            <w:tcW w:w="120" w:type="dxa"/>
            <w:vAlign w:val="bottom"/>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02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1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r>
      <w:tr>
        <w:trPr>
          <w:trHeight w:val="175"/>
        </w:trPr>
        <w:tc>
          <w:tcPr>
            <w:tcW w:w="584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020" w:type="dxa"/>
            <w:vAlign w:val="bottom"/>
            <w:shd w:val="clear" w:color="auto" w:fill="004054"/>
          </w:tcPr>
          <w:p>
            <w:pPr>
              <w:spacing w:after="0"/>
              <w:rPr>
                <w:sz w:val="15"/>
                <w:szCs w:val="15"/>
                <w:color w:val="auto"/>
              </w:rPr>
            </w:pPr>
          </w:p>
        </w:tc>
        <w:tc>
          <w:tcPr>
            <w:tcW w:w="260" w:type="dxa"/>
            <w:vAlign w:val="bottom"/>
            <w:shd w:val="clear" w:color="auto" w:fill="004054"/>
          </w:tcPr>
          <w:p>
            <w:pPr>
              <w:spacing w:after="0"/>
              <w:rPr>
                <w:sz w:val="15"/>
                <w:szCs w:val="15"/>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120" w:type="dxa"/>
            <w:vAlign w:val="bottom"/>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02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1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r>
      <w:tr>
        <w:trPr>
          <w:trHeight w:val="243"/>
        </w:trPr>
        <w:tc>
          <w:tcPr>
            <w:tcW w:w="58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 except per share amounts)</w:t>
            </w:r>
          </w:p>
        </w:tc>
        <w:tc>
          <w:tcPr>
            <w:tcW w:w="300" w:type="dxa"/>
            <w:vAlign w:val="bottom"/>
            <w:shd w:val="clear" w:color="auto" w:fill="004054"/>
          </w:tcPr>
          <w:p>
            <w:pPr>
              <w:spacing w:after="0"/>
              <w:rPr>
                <w:sz w:val="21"/>
                <w:szCs w:val="21"/>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60" w:type="dxa"/>
            <w:vAlign w:val="bottom"/>
            <w:shd w:val="clear" w:color="auto" w:fill="004054"/>
          </w:tcPr>
          <w:p>
            <w:pPr>
              <w:spacing w:after="0"/>
              <w:rPr>
                <w:sz w:val="21"/>
                <w:szCs w:val="21"/>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20" w:type="dxa"/>
            <w:vAlign w:val="bottom"/>
          </w:tcPr>
          <w:p>
            <w:pPr>
              <w:spacing w:after="0"/>
              <w:rPr>
                <w:sz w:val="21"/>
                <w:szCs w:val="21"/>
                <w:color w:val="auto"/>
              </w:rPr>
            </w:pPr>
          </w:p>
        </w:tc>
        <w:tc>
          <w:tcPr>
            <w:tcW w:w="300" w:type="dxa"/>
            <w:vAlign w:val="bottom"/>
            <w:shd w:val="clear" w:color="auto" w:fill="004054"/>
          </w:tcPr>
          <w:p>
            <w:pPr>
              <w:spacing w:after="0"/>
              <w:rPr>
                <w:sz w:val="21"/>
                <w:szCs w:val="21"/>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00" w:type="dxa"/>
            <w:vAlign w:val="bottom"/>
            <w:shd w:val="clear" w:color="auto" w:fill="004054"/>
          </w:tcPr>
          <w:p>
            <w:pPr>
              <w:spacing w:after="0"/>
              <w:rPr>
                <w:sz w:val="21"/>
                <w:szCs w:val="21"/>
                <w:color w:val="auto"/>
              </w:rPr>
            </w:pPr>
          </w:p>
        </w:tc>
        <w:tc>
          <w:tcPr>
            <w:tcW w:w="1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r>
      <w:tr>
        <w:trPr>
          <w:trHeight w:val="60"/>
        </w:trPr>
        <w:tc>
          <w:tcPr>
            <w:tcW w:w="5840" w:type="dxa"/>
            <w:vAlign w:val="bottom"/>
            <w:tcBorders>
              <w:bottom w:val="single" w:sz="8" w:color="004054"/>
            </w:tcBorders>
            <w:shd w:val="clear" w:color="auto" w:fill="004054"/>
          </w:tcPr>
          <w:p>
            <w:pPr>
              <w:spacing w:after="0"/>
              <w:rPr>
                <w:sz w:val="5"/>
                <w:szCs w:val="5"/>
                <w:color w:val="auto"/>
              </w:rPr>
            </w:pPr>
          </w:p>
        </w:tc>
        <w:tc>
          <w:tcPr>
            <w:tcW w:w="300" w:type="dxa"/>
            <w:vAlign w:val="bottom"/>
            <w:tcBorders>
              <w:bottom w:val="single" w:sz="8" w:color="004054"/>
            </w:tcBorders>
            <w:shd w:val="clear" w:color="auto" w:fill="004054"/>
          </w:tcPr>
          <w:p>
            <w:pPr>
              <w:spacing w:after="0"/>
              <w:rPr>
                <w:sz w:val="5"/>
                <w:szCs w:val="5"/>
                <w:color w:val="auto"/>
              </w:rPr>
            </w:pPr>
          </w:p>
        </w:tc>
        <w:tc>
          <w:tcPr>
            <w:tcW w:w="1020" w:type="dxa"/>
            <w:vAlign w:val="bottom"/>
            <w:tcBorders>
              <w:bottom w:val="single" w:sz="8" w:color="004054"/>
            </w:tcBorders>
            <w:shd w:val="clear" w:color="auto" w:fill="004054"/>
          </w:tcPr>
          <w:p>
            <w:pPr>
              <w:spacing w:after="0"/>
              <w:rPr>
                <w:sz w:val="5"/>
                <w:szCs w:val="5"/>
                <w:color w:val="auto"/>
              </w:rPr>
            </w:pPr>
          </w:p>
        </w:tc>
        <w:tc>
          <w:tcPr>
            <w:tcW w:w="260" w:type="dxa"/>
            <w:vAlign w:val="bottom"/>
            <w:tcBorders>
              <w:bottom w:val="single" w:sz="8" w:color="004054"/>
            </w:tcBorders>
            <w:shd w:val="clear" w:color="auto" w:fill="004054"/>
          </w:tcPr>
          <w:p>
            <w:pPr>
              <w:spacing w:after="0"/>
              <w:rPr>
                <w:sz w:val="5"/>
                <w:szCs w:val="5"/>
                <w:color w:val="auto"/>
              </w:rPr>
            </w:pPr>
          </w:p>
        </w:tc>
        <w:tc>
          <w:tcPr>
            <w:tcW w:w="1060" w:type="dxa"/>
            <w:vAlign w:val="bottom"/>
            <w:tcBorders>
              <w:bottom w:val="single" w:sz="8" w:color="004054"/>
            </w:tcBorders>
            <w:shd w:val="clear" w:color="auto" w:fill="004054"/>
          </w:tcPr>
          <w:p>
            <w:pPr>
              <w:spacing w:after="0"/>
              <w:rPr>
                <w:sz w:val="5"/>
                <w:szCs w:val="5"/>
                <w:color w:val="auto"/>
              </w:rPr>
            </w:pPr>
          </w:p>
        </w:tc>
        <w:tc>
          <w:tcPr>
            <w:tcW w:w="120" w:type="dxa"/>
            <w:vAlign w:val="bottom"/>
            <w:tcBorders>
              <w:bottom w:val="single" w:sz="8" w:color="EBFBFF"/>
            </w:tcBorders>
          </w:tcPr>
          <w:p>
            <w:pPr>
              <w:spacing w:after="0"/>
              <w:rPr>
                <w:sz w:val="5"/>
                <w:szCs w:val="5"/>
                <w:color w:val="auto"/>
              </w:rPr>
            </w:pPr>
          </w:p>
        </w:tc>
        <w:tc>
          <w:tcPr>
            <w:tcW w:w="300" w:type="dxa"/>
            <w:vAlign w:val="bottom"/>
            <w:tcBorders>
              <w:bottom w:val="single" w:sz="8" w:color="004054"/>
            </w:tcBorders>
            <w:shd w:val="clear" w:color="auto" w:fill="004054"/>
          </w:tcPr>
          <w:p>
            <w:pPr>
              <w:spacing w:after="0"/>
              <w:rPr>
                <w:sz w:val="5"/>
                <w:szCs w:val="5"/>
                <w:color w:val="auto"/>
              </w:rPr>
            </w:pPr>
          </w:p>
        </w:tc>
        <w:tc>
          <w:tcPr>
            <w:tcW w:w="1020" w:type="dxa"/>
            <w:vAlign w:val="bottom"/>
            <w:tcBorders>
              <w:bottom w:val="single" w:sz="8" w:color="004054"/>
            </w:tcBorders>
            <w:shd w:val="clear" w:color="auto" w:fill="004054"/>
          </w:tcPr>
          <w:p>
            <w:pPr>
              <w:spacing w:after="0"/>
              <w:rPr>
                <w:sz w:val="5"/>
                <w:szCs w:val="5"/>
                <w:color w:val="auto"/>
              </w:rPr>
            </w:pPr>
          </w:p>
        </w:tc>
        <w:tc>
          <w:tcPr>
            <w:tcW w:w="100" w:type="dxa"/>
            <w:vAlign w:val="bottom"/>
            <w:tcBorders>
              <w:bottom w:val="single" w:sz="8" w:color="004054"/>
            </w:tcBorders>
            <w:shd w:val="clear" w:color="auto" w:fill="004054"/>
          </w:tcPr>
          <w:p>
            <w:pPr>
              <w:spacing w:after="0"/>
              <w:rPr>
                <w:sz w:val="5"/>
                <w:szCs w:val="5"/>
                <w:color w:val="auto"/>
              </w:rPr>
            </w:pPr>
          </w:p>
        </w:tc>
        <w:tc>
          <w:tcPr>
            <w:tcW w:w="1220" w:type="dxa"/>
            <w:vAlign w:val="bottom"/>
            <w:tcBorders>
              <w:bottom w:val="single" w:sz="8" w:color="004054"/>
            </w:tcBorders>
            <w:shd w:val="clear" w:color="auto" w:fill="004054"/>
          </w:tcPr>
          <w:p>
            <w:pPr>
              <w:spacing w:after="0"/>
              <w:rPr>
                <w:sz w:val="5"/>
                <w:szCs w:val="5"/>
                <w:color w:val="auto"/>
              </w:rPr>
            </w:pPr>
          </w:p>
        </w:tc>
      </w:tr>
      <w:tr>
        <w:trPr>
          <w:trHeight w:val="223"/>
        </w:trPr>
        <w:tc>
          <w:tcPr>
            <w:tcW w:w="5840" w:type="dxa"/>
            <w:vAlign w:val="bottom"/>
            <w:tcBorders>
              <w:bottom w:val="single" w:sz="8" w:color="EBFBFF"/>
            </w:tcBorders>
            <w:shd w:val="clear" w:color="auto" w:fill="EBFBFF"/>
          </w:tcPr>
          <w:p>
            <w:pPr>
              <w:ind w:left="20"/>
              <w:spacing w:after="0" w:line="164" w:lineRule="exact"/>
              <w:rPr>
                <w:sz w:val="20"/>
                <w:szCs w:val="20"/>
                <w:color w:val="auto"/>
              </w:rPr>
            </w:pPr>
            <w:r>
              <w:rPr>
                <w:rFonts w:ascii="Calibri" w:cs="Calibri" w:eastAsia="Calibri" w:hAnsi="Calibri"/>
                <w:sz w:val="14"/>
                <w:szCs w:val="14"/>
                <w:b w:val="1"/>
                <w:bCs w:val="1"/>
                <w:color w:val="51555C"/>
              </w:rPr>
              <w:t>GAAP Revenue</w:t>
            </w:r>
          </w:p>
        </w:tc>
        <w:tc>
          <w:tcPr>
            <w:tcW w:w="300" w:type="dxa"/>
            <w:vAlign w:val="bottom"/>
            <w:tcBorders>
              <w:bottom w:val="single" w:sz="8" w:color="EBFBFF"/>
            </w:tcBorders>
            <w:shd w:val="clear" w:color="auto" w:fill="EBFBFF"/>
          </w:tcPr>
          <w:p>
            <w:pPr>
              <w:jc w:val="right"/>
              <w:ind w:right="128"/>
              <w:spacing w:after="0" w:line="164" w:lineRule="exact"/>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ind w:right="88"/>
              <w:spacing w:after="0" w:line="164" w:lineRule="exact"/>
              <w:rPr>
                <w:sz w:val="20"/>
                <w:szCs w:val="20"/>
                <w:color w:val="auto"/>
              </w:rPr>
            </w:pPr>
            <w:r>
              <w:rPr>
                <w:rFonts w:ascii="Calibri" w:cs="Calibri" w:eastAsia="Calibri" w:hAnsi="Calibri"/>
                <w:sz w:val="14"/>
                <w:szCs w:val="14"/>
                <w:color w:val="51555C"/>
              </w:rPr>
              <w:t>286.7</w:t>
            </w:r>
          </w:p>
        </w:tc>
        <w:tc>
          <w:tcPr>
            <w:tcW w:w="260" w:type="dxa"/>
            <w:vAlign w:val="bottom"/>
            <w:tcBorders>
              <w:bottom w:val="single" w:sz="8" w:color="EBFBFF"/>
            </w:tcBorders>
            <w:shd w:val="clear" w:color="auto" w:fill="EBFBFF"/>
          </w:tcPr>
          <w:p>
            <w:pPr>
              <w:jc w:val="right"/>
              <w:ind w:right="88"/>
              <w:spacing w:after="0" w:line="164" w:lineRule="exact"/>
              <w:rPr>
                <w:sz w:val="20"/>
                <w:szCs w:val="20"/>
                <w:color w:val="auto"/>
              </w:rPr>
            </w:pPr>
            <w:r>
              <w:rPr>
                <w:rFonts w:ascii="Calibri" w:cs="Calibri" w:eastAsia="Calibri" w:hAnsi="Calibri"/>
                <w:sz w:val="14"/>
                <w:szCs w:val="14"/>
                <w:color w:val="51555C"/>
              </w:rPr>
              <w:t>$</w:t>
            </w:r>
          </w:p>
        </w:tc>
        <w:tc>
          <w:tcPr>
            <w:tcW w:w="1060" w:type="dxa"/>
            <w:vAlign w:val="bottom"/>
            <w:tcBorders>
              <w:bottom w:val="single" w:sz="8" w:color="EBFBFF"/>
            </w:tcBorders>
            <w:shd w:val="clear" w:color="auto" w:fill="EBFBFF"/>
          </w:tcPr>
          <w:p>
            <w:pPr>
              <w:jc w:val="right"/>
              <w:ind w:right="68"/>
              <w:spacing w:after="0" w:line="164" w:lineRule="exact"/>
              <w:rPr>
                <w:sz w:val="20"/>
                <w:szCs w:val="20"/>
                <w:color w:val="auto"/>
              </w:rPr>
            </w:pPr>
            <w:r>
              <w:rPr>
                <w:rFonts w:ascii="Calibri" w:cs="Calibri" w:eastAsia="Calibri" w:hAnsi="Calibri"/>
                <w:sz w:val="14"/>
                <w:szCs w:val="14"/>
                <w:color w:val="51555C"/>
              </w:rPr>
              <w:t>277.6</w:t>
            </w:r>
          </w:p>
        </w:tc>
        <w:tc>
          <w:tcPr>
            <w:tcW w:w="120" w:type="dxa"/>
            <w:vAlign w:val="bottom"/>
            <w:tcBorders>
              <w:bottom w:val="single" w:sz="8" w:color="EBFBFF"/>
            </w:tcBorders>
            <w:shd w:val="clear" w:color="auto" w:fill="EBFBFF"/>
          </w:tcPr>
          <w:p>
            <w:pPr>
              <w:spacing w:after="0"/>
              <w:rPr>
                <w:sz w:val="19"/>
                <w:szCs w:val="19"/>
                <w:color w:val="auto"/>
              </w:rPr>
            </w:pPr>
          </w:p>
        </w:tc>
        <w:tc>
          <w:tcPr>
            <w:tcW w:w="300" w:type="dxa"/>
            <w:vAlign w:val="bottom"/>
            <w:tcBorders>
              <w:bottom w:val="single" w:sz="8" w:color="EBFBFF"/>
            </w:tcBorders>
            <w:shd w:val="clear" w:color="auto" w:fill="EBFBFF"/>
          </w:tcPr>
          <w:p>
            <w:pPr>
              <w:jc w:val="right"/>
              <w:ind w:right="148"/>
              <w:spacing w:after="0" w:line="164" w:lineRule="exact"/>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ind w:right="88"/>
              <w:spacing w:after="0" w:line="164" w:lineRule="exact"/>
              <w:rPr>
                <w:sz w:val="20"/>
                <w:szCs w:val="20"/>
                <w:color w:val="auto"/>
              </w:rPr>
            </w:pPr>
            <w:r>
              <w:rPr>
                <w:rFonts w:ascii="Calibri" w:cs="Calibri" w:eastAsia="Calibri" w:hAnsi="Calibri"/>
                <w:sz w:val="14"/>
                <w:szCs w:val="14"/>
                <w:color w:val="51555C"/>
              </w:rPr>
              <w:t>853.3</w:t>
            </w:r>
          </w:p>
        </w:tc>
        <w:tc>
          <w:tcPr>
            <w:tcW w:w="10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w w:val="83"/>
              </w:rPr>
              <w:t>$</w:t>
            </w:r>
          </w:p>
        </w:tc>
        <w:tc>
          <w:tcPr>
            <w:tcW w:w="1220" w:type="dxa"/>
            <w:vAlign w:val="bottom"/>
            <w:tcBorders>
              <w:bottom w:val="single" w:sz="8" w:color="EBFBFF"/>
            </w:tcBorders>
            <w:shd w:val="clear" w:color="auto" w:fill="EBFBFF"/>
          </w:tcPr>
          <w:p>
            <w:pPr>
              <w:jc w:val="right"/>
              <w:ind w:right="88"/>
              <w:spacing w:after="0" w:line="164" w:lineRule="exact"/>
              <w:rPr>
                <w:sz w:val="20"/>
                <w:szCs w:val="20"/>
                <w:color w:val="auto"/>
              </w:rPr>
            </w:pPr>
            <w:r>
              <w:rPr>
                <w:rFonts w:ascii="Calibri" w:cs="Calibri" w:eastAsia="Calibri" w:hAnsi="Calibri"/>
                <w:sz w:val="14"/>
                <w:szCs w:val="14"/>
                <w:color w:val="51555C"/>
              </w:rPr>
              <w:t>810.4</w:t>
            </w:r>
          </w:p>
        </w:tc>
      </w:tr>
      <w:tr>
        <w:trPr>
          <w:trHeight w:val="34"/>
        </w:trPr>
        <w:tc>
          <w:tcPr>
            <w:tcW w:w="5840" w:type="dxa"/>
            <w:vAlign w:val="bottom"/>
          </w:tcPr>
          <w:p>
            <w:pPr>
              <w:spacing w:after="0"/>
              <w:rPr>
                <w:sz w:val="2"/>
                <w:szCs w:val="2"/>
                <w:color w:val="auto"/>
              </w:rPr>
            </w:pPr>
          </w:p>
        </w:tc>
        <w:tc>
          <w:tcPr>
            <w:tcW w:w="300" w:type="dxa"/>
            <w:vAlign w:val="bottom"/>
            <w:tcBorders>
              <w:top w:val="single" w:sz="8" w:color="51555C"/>
            </w:tcBorders>
          </w:tcPr>
          <w:p>
            <w:pPr>
              <w:spacing w:after="0"/>
              <w:rPr>
                <w:sz w:val="2"/>
                <w:szCs w:val="2"/>
                <w:color w:val="auto"/>
              </w:rPr>
            </w:pPr>
          </w:p>
        </w:tc>
        <w:tc>
          <w:tcPr>
            <w:tcW w:w="1020" w:type="dxa"/>
            <w:vAlign w:val="bottom"/>
            <w:tcBorders>
              <w:top w:val="single" w:sz="8" w:color="51555C"/>
            </w:tcBorders>
          </w:tcPr>
          <w:p>
            <w:pPr>
              <w:spacing w:after="0"/>
              <w:rPr>
                <w:sz w:val="2"/>
                <w:szCs w:val="2"/>
                <w:color w:val="auto"/>
              </w:rPr>
            </w:pPr>
          </w:p>
        </w:tc>
        <w:tc>
          <w:tcPr>
            <w:tcW w:w="260" w:type="dxa"/>
            <w:vAlign w:val="bottom"/>
            <w:tcBorders>
              <w:top w:val="single" w:sz="8" w:color="51555C"/>
            </w:tcBorders>
          </w:tcPr>
          <w:p>
            <w:pPr>
              <w:spacing w:after="0"/>
              <w:rPr>
                <w:sz w:val="2"/>
                <w:szCs w:val="2"/>
                <w:color w:val="auto"/>
              </w:rPr>
            </w:pPr>
          </w:p>
        </w:tc>
        <w:tc>
          <w:tcPr>
            <w:tcW w:w="1060" w:type="dxa"/>
            <w:vAlign w:val="bottom"/>
            <w:tcBorders>
              <w:top w:val="single" w:sz="8" w:color="51555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51555C"/>
            </w:tcBorders>
          </w:tcPr>
          <w:p>
            <w:pPr>
              <w:spacing w:after="0"/>
              <w:rPr>
                <w:sz w:val="2"/>
                <w:szCs w:val="2"/>
                <w:color w:val="auto"/>
              </w:rPr>
            </w:pPr>
          </w:p>
        </w:tc>
        <w:tc>
          <w:tcPr>
            <w:tcW w:w="1020" w:type="dxa"/>
            <w:vAlign w:val="bottom"/>
            <w:tcBorders>
              <w:top w:val="single" w:sz="8" w:color="51555C"/>
            </w:tcBorders>
          </w:tcPr>
          <w:p>
            <w:pPr>
              <w:spacing w:after="0"/>
              <w:rPr>
                <w:sz w:val="2"/>
                <w:szCs w:val="2"/>
                <w:color w:val="auto"/>
              </w:rPr>
            </w:pPr>
          </w:p>
        </w:tc>
        <w:tc>
          <w:tcPr>
            <w:tcW w:w="100" w:type="dxa"/>
            <w:vAlign w:val="bottom"/>
            <w:tcBorders>
              <w:top w:val="single" w:sz="8" w:color="51555C"/>
            </w:tcBorders>
          </w:tcPr>
          <w:p>
            <w:pPr>
              <w:spacing w:after="0"/>
              <w:rPr>
                <w:sz w:val="2"/>
                <w:szCs w:val="2"/>
                <w:color w:val="auto"/>
              </w:rPr>
            </w:pPr>
          </w:p>
        </w:tc>
        <w:tc>
          <w:tcPr>
            <w:tcW w:w="1220" w:type="dxa"/>
            <w:vAlign w:val="bottom"/>
            <w:tcBorders>
              <w:top w:val="single" w:sz="8" w:color="51555C"/>
            </w:tcBorders>
          </w:tcPr>
          <w:p>
            <w:pPr>
              <w:spacing w:after="0"/>
              <w:rPr>
                <w:sz w:val="2"/>
                <w:szCs w:val="2"/>
                <w:color w:val="auto"/>
              </w:rPr>
            </w:pPr>
          </w:p>
        </w:tc>
      </w:tr>
      <w:tr>
        <w:trPr>
          <w:trHeight w:val="209"/>
        </w:trPr>
        <w:tc>
          <w:tcPr>
            <w:tcW w:w="58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GAAP gross proft</w:t>
            </w:r>
          </w:p>
        </w:tc>
        <w:tc>
          <w:tcPr>
            <w:tcW w:w="300" w:type="dxa"/>
            <w:vAlign w:val="bottom"/>
            <w:tcBorders>
              <w:bottom w:val="single" w:sz="8" w:color="EBFBFF"/>
            </w:tcBorders>
            <w:shd w:val="clear" w:color="auto" w:fill="EBFBFF"/>
          </w:tcPr>
          <w:p>
            <w:pPr>
              <w:jc w:val="right"/>
              <w:ind w:right="128"/>
              <w:spacing w:after="0"/>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159.2</w:t>
            </w:r>
          </w:p>
        </w:tc>
        <w:tc>
          <w:tcPr>
            <w:tcW w:w="26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w:t>
            </w:r>
          </w:p>
        </w:tc>
        <w:tc>
          <w:tcPr>
            <w:tcW w:w="10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155.9</w:t>
            </w:r>
          </w:p>
        </w:tc>
        <w:tc>
          <w:tcPr>
            <w:tcW w:w="420" w:type="dxa"/>
            <w:vAlign w:val="bottom"/>
            <w:tcBorders>
              <w:bottom w:val="single" w:sz="8" w:color="EBFBFF"/>
            </w:tcBorders>
            <w:gridSpan w:val="2"/>
            <w:shd w:val="clear" w:color="auto" w:fill="EBFBFF"/>
          </w:tcPr>
          <w:p>
            <w:pPr>
              <w:jc w:val="right"/>
              <w:ind w:right="148"/>
              <w:spacing w:after="0"/>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474.8</w:t>
            </w:r>
          </w:p>
        </w:tc>
        <w:tc>
          <w:tcPr>
            <w:tcW w:w="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w w:val="83"/>
              </w:rPr>
              <w:t>$</w:t>
            </w:r>
          </w:p>
        </w:tc>
        <w:tc>
          <w:tcPr>
            <w:tcW w:w="12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444.1</w:t>
            </w:r>
          </w:p>
        </w:tc>
      </w:tr>
      <w:tr>
        <w:trPr>
          <w:trHeight w:val="170"/>
        </w:trPr>
        <w:tc>
          <w:tcPr>
            <w:tcW w:w="5840" w:type="dxa"/>
            <w:vAlign w:val="bottom"/>
          </w:tcPr>
          <w:p>
            <w:pPr>
              <w:ind w:left="140"/>
              <w:spacing w:after="0"/>
              <w:rPr>
                <w:sz w:val="20"/>
                <w:szCs w:val="20"/>
                <w:color w:val="auto"/>
              </w:rPr>
            </w:pPr>
            <w:r>
              <w:rPr>
                <w:rFonts w:ascii="Calibri" w:cs="Calibri" w:eastAsia="Calibri" w:hAnsi="Calibri"/>
                <w:sz w:val="14"/>
                <w:szCs w:val="14"/>
                <w:b w:val="1"/>
                <w:bCs w:val="1"/>
                <w:color w:val="51555C"/>
              </w:rPr>
              <w:t>GAAP gross margin</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55.5 %</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color w:val="51555C"/>
              </w:rPr>
              <w:t>56.1 %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55.6 %</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51555C"/>
              </w:rPr>
              <w:t>54.8 %</w:t>
            </w:r>
          </w:p>
        </w:tc>
      </w:tr>
      <w:tr>
        <w:trPr>
          <w:trHeight w:val="60"/>
        </w:trPr>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09"/>
        </w:trPr>
        <w:tc>
          <w:tcPr>
            <w:tcW w:w="58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Non-GAAP adjustments:</w:t>
            </w:r>
          </w:p>
        </w:tc>
        <w:tc>
          <w:tcPr>
            <w:tcW w:w="3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2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spacing w:after="0"/>
              <w:rPr>
                <w:sz w:val="18"/>
                <w:szCs w:val="18"/>
                <w:color w:val="auto"/>
              </w:rPr>
            </w:pPr>
          </w:p>
        </w:tc>
        <w:tc>
          <w:tcPr>
            <w:tcW w:w="120" w:type="dxa"/>
            <w:vAlign w:val="bottom"/>
            <w:tcBorders>
              <w:bottom w:val="single" w:sz="8" w:color="EBFBFF"/>
            </w:tcBorders>
            <w:shd w:val="clear" w:color="auto" w:fill="EBFBFF"/>
          </w:tcPr>
          <w:p>
            <w:pPr>
              <w:spacing w:after="0"/>
              <w:rPr>
                <w:sz w:val="18"/>
                <w:szCs w:val="18"/>
                <w:color w:val="auto"/>
              </w:rPr>
            </w:pPr>
          </w:p>
        </w:tc>
        <w:tc>
          <w:tcPr>
            <w:tcW w:w="3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100" w:type="dxa"/>
            <w:vAlign w:val="bottom"/>
            <w:tcBorders>
              <w:bottom w:val="single" w:sz="8" w:color="EBFBFF"/>
            </w:tcBorders>
            <w:shd w:val="clear" w:color="auto" w:fill="EBFBFF"/>
          </w:tcPr>
          <w:p>
            <w:pPr>
              <w:spacing w:after="0"/>
              <w:rPr>
                <w:sz w:val="18"/>
                <w:szCs w:val="18"/>
                <w:color w:val="auto"/>
              </w:rPr>
            </w:pPr>
          </w:p>
        </w:tc>
        <w:tc>
          <w:tcPr>
            <w:tcW w:w="1220" w:type="dxa"/>
            <w:vAlign w:val="bottom"/>
            <w:tcBorders>
              <w:bottom w:val="single" w:sz="8" w:color="EBFBFF"/>
            </w:tcBorders>
            <w:shd w:val="clear" w:color="auto" w:fill="EBFBFF"/>
          </w:tcPr>
          <w:p>
            <w:pPr>
              <w:spacing w:after="0"/>
              <w:rPr>
                <w:sz w:val="18"/>
                <w:szCs w:val="18"/>
                <w:color w:val="auto"/>
              </w:rPr>
            </w:pPr>
          </w:p>
        </w:tc>
      </w:tr>
      <w:tr>
        <w:trPr>
          <w:trHeight w:val="170"/>
        </w:trPr>
        <w:tc>
          <w:tcPr>
            <w:tcW w:w="5840" w:type="dxa"/>
            <w:vAlign w:val="bottom"/>
          </w:tcPr>
          <w:p>
            <w:pPr>
              <w:ind w:left="140"/>
              <w:spacing w:after="0"/>
              <w:rPr>
                <w:sz w:val="20"/>
                <w:szCs w:val="20"/>
                <w:color w:val="auto"/>
              </w:rPr>
            </w:pPr>
            <w:r>
              <w:rPr>
                <w:rFonts w:ascii="Calibri" w:cs="Calibri" w:eastAsia="Calibri" w:hAnsi="Calibri"/>
                <w:sz w:val="14"/>
                <w:szCs w:val="14"/>
                <w:color w:val="51555C"/>
              </w:rPr>
              <w:t>Add: Stock-based compensaton expense</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2.9</w:t>
            </w:r>
          </w:p>
        </w:tc>
        <w:tc>
          <w:tcPr>
            <w:tcW w:w="2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alibri" w:cs="Calibri" w:eastAsia="Calibri" w:hAnsi="Calibri"/>
                <w:sz w:val="14"/>
                <w:szCs w:val="14"/>
                <w:color w:val="51555C"/>
              </w:rPr>
              <w:t>4.1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10.1</w:t>
            </w:r>
          </w:p>
        </w:tc>
        <w:tc>
          <w:tcPr>
            <w:tcW w:w="10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Calibri" w:cs="Calibri" w:eastAsia="Calibri" w:hAnsi="Calibri"/>
                <w:sz w:val="14"/>
                <w:szCs w:val="14"/>
                <w:color w:val="51555C"/>
              </w:rPr>
              <w:t>12.2</w:t>
            </w:r>
          </w:p>
        </w:tc>
      </w:tr>
      <w:tr>
        <w:trPr>
          <w:trHeight w:val="60"/>
        </w:trPr>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10"/>
        </w:trPr>
        <w:tc>
          <w:tcPr>
            <w:tcW w:w="58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Amortzaton of intangibles from business combinatons</w:t>
            </w:r>
          </w:p>
        </w:tc>
        <w:tc>
          <w:tcPr>
            <w:tcW w:w="3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14.7</w:t>
            </w:r>
          </w:p>
        </w:tc>
        <w:tc>
          <w:tcPr>
            <w:tcW w:w="2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13.1</w:t>
            </w:r>
          </w:p>
        </w:tc>
        <w:tc>
          <w:tcPr>
            <w:tcW w:w="120" w:type="dxa"/>
            <w:vAlign w:val="bottom"/>
            <w:tcBorders>
              <w:bottom w:val="single" w:sz="8" w:color="EBFBFF"/>
            </w:tcBorders>
            <w:shd w:val="clear" w:color="auto" w:fill="EBFBFF"/>
          </w:tcPr>
          <w:p>
            <w:pPr>
              <w:spacing w:after="0"/>
              <w:rPr>
                <w:sz w:val="18"/>
                <w:szCs w:val="18"/>
                <w:color w:val="auto"/>
              </w:rPr>
            </w:pPr>
          </w:p>
        </w:tc>
        <w:tc>
          <w:tcPr>
            <w:tcW w:w="3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44.0</w:t>
            </w:r>
          </w:p>
        </w:tc>
        <w:tc>
          <w:tcPr>
            <w:tcW w:w="100" w:type="dxa"/>
            <w:vAlign w:val="bottom"/>
            <w:tcBorders>
              <w:bottom w:val="single" w:sz="8" w:color="EBFBFF"/>
            </w:tcBorders>
            <w:shd w:val="clear" w:color="auto" w:fill="EBFBFF"/>
          </w:tcPr>
          <w:p>
            <w:pPr>
              <w:spacing w:after="0"/>
              <w:rPr>
                <w:sz w:val="18"/>
                <w:szCs w:val="18"/>
                <w:color w:val="auto"/>
              </w:rPr>
            </w:pPr>
          </w:p>
        </w:tc>
        <w:tc>
          <w:tcPr>
            <w:tcW w:w="12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39.4</w:t>
            </w:r>
          </w:p>
        </w:tc>
      </w:tr>
      <w:tr>
        <w:trPr>
          <w:trHeight w:val="170"/>
        </w:trPr>
        <w:tc>
          <w:tcPr>
            <w:tcW w:w="5840" w:type="dxa"/>
            <w:vAlign w:val="bottom"/>
          </w:tcPr>
          <w:p>
            <w:pPr>
              <w:ind w:left="140"/>
              <w:spacing w:after="0"/>
              <w:rPr>
                <w:sz w:val="20"/>
                <w:szCs w:val="20"/>
                <w:color w:val="auto"/>
              </w:rPr>
            </w:pPr>
            <w:r>
              <w:rPr>
                <w:rFonts w:ascii="Calibri" w:cs="Calibri" w:eastAsia="Calibri" w:hAnsi="Calibri"/>
                <w:sz w:val="14"/>
                <w:szCs w:val="14"/>
                <w:color w:val="51555C"/>
              </w:rPr>
              <w:t>Add: Employee severance</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w:t>
            </w:r>
          </w:p>
        </w:tc>
        <w:tc>
          <w:tcPr>
            <w:tcW w:w="2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alibri" w:cs="Calibri" w:eastAsia="Calibri" w:hAnsi="Calibri"/>
                <w:sz w:val="14"/>
                <w:szCs w:val="14"/>
                <w:color w:val="51555C"/>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w:t>
            </w:r>
          </w:p>
        </w:tc>
        <w:tc>
          <w:tcPr>
            <w:tcW w:w="10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Calibri" w:cs="Calibri" w:eastAsia="Calibri" w:hAnsi="Calibri"/>
                <w:sz w:val="14"/>
                <w:szCs w:val="14"/>
                <w:color w:val="51555C"/>
              </w:rPr>
              <w:t>0.8</w:t>
            </w:r>
          </w:p>
        </w:tc>
      </w:tr>
      <w:tr>
        <w:trPr>
          <w:trHeight w:val="60"/>
        </w:trPr>
        <w:tc>
          <w:tcPr>
            <w:tcW w:w="5840" w:type="dxa"/>
            <w:vAlign w:val="bottom"/>
            <w:tcBorders>
              <w:bottom w:val="single" w:sz="8" w:color="EBFBFF"/>
            </w:tcBorders>
          </w:tcPr>
          <w:p>
            <w:pPr>
              <w:spacing w:after="0"/>
              <w:rPr>
                <w:sz w:val="5"/>
                <w:szCs w:val="5"/>
                <w:color w:val="auto"/>
              </w:rPr>
            </w:pPr>
          </w:p>
        </w:tc>
        <w:tc>
          <w:tcPr>
            <w:tcW w:w="300" w:type="dxa"/>
            <w:vAlign w:val="bottom"/>
            <w:tcBorders>
              <w:bottom w:val="single" w:sz="8" w:color="51555C"/>
            </w:tcBorders>
          </w:tcPr>
          <w:p>
            <w:pPr>
              <w:spacing w:after="0"/>
              <w:rPr>
                <w:sz w:val="5"/>
                <w:szCs w:val="5"/>
                <w:color w:val="auto"/>
              </w:rPr>
            </w:pPr>
          </w:p>
        </w:tc>
        <w:tc>
          <w:tcPr>
            <w:tcW w:w="1020" w:type="dxa"/>
            <w:vAlign w:val="bottom"/>
            <w:tcBorders>
              <w:bottom w:val="single" w:sz="8" w:color="51555C"/>
            </w:tcBorders>
          </w:tcPr>
          <w:p>
            <w:pPr>
              <w:spacing w:after="0"/>
              <w:rPr>
                <w:sz w:val="5"/>
                <w:szCs w:val="5"/>
                <w:color w:val="auto"/>
              </w:rPr>
            </w:pPr>
          </w:p>
        </w:tc>
        <w:tc>
          <w:tcPr>
            <w:tcW w:w="260" w:type="dxa"/>
            <w:vAlign w:val="bottom"/>
            <w:tcBorders>
              <w:bottom w:val="single" w:sz="8" w:color="51555C"/>
            </w:tcBorders>
          </w:tcPr>
          <w:p>
            <w:pPr>
              <w:spacing w:after="0"/>
              <w:rPr>
                <w:sz w:val="5"/>
                <w:szCs w:val="5"/>
                <w:color w:val="auto"/>
              </w:rPr>
            </w:pPr>
          </w:p>
        </w:tc>
        <w:tc>
          <w:tcPr>
            <w:tcW w:w="1060" w:type="dxa"/>
            <w:vAlign w:val="bottom"/>
            <w:tcBorders>
              <w:bottom w:val="single" w:sz="8" w:color="51555C"/>
            </w:tcBorders>
          </w:tcPr>
          <w:p>
            <w:pPr>
              <w:spacing w:after="0"/>
              <w:rPr>
                <w:sz w:val="5"/>
                <w:szCs w:val="5"/>
                <w:color w:val="auto"/>
              </w:rPr>
            </w:pPr>
          </w:p>
        </w:tc>
        <w:tc>
          <w:tcPr>
            <w:tcW w:w="120" w:type="dxa"/>
            <w:vAlign w:val="bottom"/>
            <w:tcBorders>
              <w:bottom w:val="single" w:sz="8" w:color="EBFBFF"/>
            </w:tcBorders>
          </w:tcPr>
          <w:p>
            <w:pPr>
              <w:spacing w:after="0"/>
              <w:rPr>
                <w:sz w:val="5"/>
                <w:szCs w:val="5"/>
                <w:color w:val="auto"/>
              </w:rPr>
            </w:pPr>
          </w:p>
        </w:tc>
        <w:tc>
          <w:tcPr>
            <w:tcW w:w="300" w:type="dxa"/>
            <w:vAlign w:val="bottom"/>
            <w:tcBorders>
              <w:bottom w:val="single" w:sz="8" w:color="51555C"/>
            </w:tcBorders>
          </w:tcPr>
          <w:p>
            <w:pPr>
              <w:spacing w:after="0"/>
              <w:rPr>
                <w:sz w:val="5"/>
                <w:szCs w:val="5"/>
                <w:color w:val="auto"/>
              </w:rPr>
            </w:pPr>
          </w:p>
        </w:tc>
        <w:tc>
          <w:tcPr>
            <w:tcW w:w="1020" w:type="dxa"/>
            <w:vAlign w:val="bottom"/>
            <w:tcBorders>
              <w:bottom w:val="single" w:sz="8" w:color="51555C"/>
            </w:tcBorders>
          </w:tcPr>
          <w:p>
            <w:pPr>
              <w:spacing w:after="0"/>
              <w:rPr>
                <w:sz w:val="5"/>
                <w:szCs w:val="5"/>
                <w:color w:val="auto"/>
              </w:rPr>
            </w:pPr>
          </w:p>
        </w:tc>
        <w:tc>
          <w:tcPr>
            <w:tcW w:w="100" w:type="dxa"/>
            <w:vAlign w:val="bottom"/>
            <w:tcBorders>
              <w:bottom w:val="single" w:sz="8" w:color="51555C"/>
            </w:tcBorders>
          </w:tcPr>
          <w:p>
            <w:pPr>
              <w:spacing w:after="0"/>
              <w:rPr>
                <w:sz w:val="5"/>
                <w:szCs w:val="5"/>
                <w:color w:val="auto"/>
              </w:rPr>
            </w:pPr>
          </w:p>
        </w:tc>
        <w:tc>
          <w:tcPr>
            <w:tcW w:w="1220" w:type="dxa"/>
            <w:vAlign w:val="bottom"/>
            <w:tcBorders>
              <w:bottom w:val="single" w:sz="8" w:color="51555C"/>
            </w:tcBorders>
          </w:tcPr>
          <w:p>
            <w:pPr>
              <w:spacing w:after="0"/>
              <w:rPr>
                <w:sz w:val="5"/>
                <w:szCs w:val="5"/>
                <w:color w:val="auto"/>
              </w:rPr>
            </w:pPr>
          </w:p>
        </w:tc>
      </w:tr>
      <w:tr>
        <w:trPr>
          <w:trHeight w:val="223"/>
        </w:trPr>
        <w:tc>
          <w:tcPr>
            <w:tcW w:w="5840" w:type="dxa"/>
            <w:vAlign w:val="bottom"/>
            <w:tcBorders>
              <w:bottom w:val="single" w:sz="8" w:color="EBFBFF"/>
            </w:tcBorders>
            <w:shd w:val="clear" w:color="auto" w:fill="EBFBFF"/>
          </w:tcPr>
          <w:p>
            <w:pPr>
              <w:ind w:left="240"/>
              <w:spacing w:after="0" w:line="202" w:lineRule="exact"/>
              <w:rPr>
                <w:sz w:val="20"/>
                <w:szCs w:val="20"/>
                <w:color w:val="auto"/>
              </w:rPr>
            </w:pPr>
            <w:r>
              <w:rPr>
                <w:rFonts w:ascii="Calibri" w:cs="Calibri" w:eastAsia="Calibri" w:hAnsi="Calibri"/>
                <w:sz w:val="14"/>
                <w:szCs w:val="14"/>
                <w:color w:val="51555C"/>
              </w:rPr>
              <w:t>Subtotal</w:t>
            </w:r>
            <w:r>
              <w:rPr>
                <w:rFonts w:ascii="Calibri" w:cs="Calibri" w:eastAsia="Calibri" w:hAnsi="Calibri"/>
                <w:sz w:val="18"/>
                <w:szCs w:val="18"/>
                <w:color w:val="51555C"/>
                <w:vertAlign w:val="superscript"/>
              </w:rPr>
              <w:t>(1)</w:t>
            </w:r>
          </w:p>
        </w:tc>
        <w:tc>
          <w:tcPr>
            <w:tcW w:w="300" w:type="dxa"/>
            <w:vAlign w:val="bottom"/>
            <w:tcBorders>
              <w:bottom w:val="single" w:sz="8" w:color="EBFBFF"/>
            </w:tcBorders>
            <w:shd w:val="clear" w:color="auto" w:fill="EBFBFF"/>
          </w:tcPr>
          <w:p>
            <w:pPr>
              <w:spacing w:after="0"/>
              <w:rPr>
                <w:sz w:val="19"/>
                <w:szCs w:val="19"/>
                <w:color w:val="auto"/>
              </w:rPr>
            </w:pP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17.6</w:t>
            </w:r>
          </w:p>
        </w:tc>
        <w:tc>
          <w:tcPr>
            <w:tcW w:w="260" w:type="dxa"/>
            <w:vAlign w:val="bottom"/>
            <w:tcBorders>
              <w:bottom w:val="single" w:sz="8" w:color="EBFBFF"/>
            </w:tcBorders>
            <w:shd w:val="clear" w:color="auto" w:fill="EBFBFF"/>
          </w:tcPr>
          <w:p>
            <w:pPr>
              <w:spacing w:after="0"/>
              <w:rPr>
                <w:sz w:val="19"/>
                <w:szCs w:val="19"/>
                <w:color w:val="auto"/>
              </w:rPr>
            </w:pPr>
          </w:p>
        </w:tc>
        <w:tc>
          <w:tcPr>
            <w:tcW w:w="10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17.3</w:t>
            </w:r>
          </w:p>
        </w:tc>
        <w:tc>
          <w:tcPr>
            <w:tcW w:w="120" w:type="dxa"/>
            <w:vAlign w:val="bottom"/>
            <w:tcBorders>
              <w:bottom w:val="single" w:sz="8" w:color="EBFBFF"/>
            </w:tcBorders>
            <w:shd w:val="clear" w:color="auto" w:fill="EBFBFF"/>
          </w:tcPr>
          <w:p>
            <w:pPr>
              <w:spacing w:after="0"/>
              <w:rPr>
                <w:sz w:val="19"/>
                <w:szCs w:val="19"/>
                <w:color w:val="auto"/>
              </w:rPr>
            </w:pPr>
          </w:p>
        </w:tc>
        <w:tc>
          <w:tcPr>
            <w:tcW w:w="300" w:type="dxa"/>
            <w:vAlign w:val="bottom"/>
            <w:tcBorders>
              <w:bottom w:val="single" w:sz="8" w:color="EBFBFF"/>
            </w:tcBorders>
            <w:shd w:val="clear" w:color="auto" w:fill="EBFBFF"/>
          </w:tcPr>
          <w:p>
            <w:pPr>
              <w:spacing w:after="0"/>
              <w:rPr>
                <w:sz w:val="19"/>
                <w:szCs w:val="19"/>
                <w:color w:val="auto"/>
              </w:rPr>
            </w:pP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54.0</w:t>
            </w:r>
          </w:p>
        </w:tc>
        <w:tc>
          <w:tcPr>
            <w:tcW w:w="100" w:type="dxa"/>
            <w:vAlign w:val="bottom"/>
            <w:tcBorders>
              <w:bottom w:val="single" w:sz="8" w:color="EBFBFF"/>
            </w:tcBorders>
            <w:shd w:val="clear" w:color="auto" w:fill="EBFBFF"/>
          </w:tcPr>
          <w:p>
            <w:pPr>
              <w:spacing w:after="0"/>
              <w:rPr>
                <w:sz w:val="19"/>
                <w:szCs w:val="19"/>
                <w:color w:val="auto"/>
              </w:rPr>
            </w:pPr>
          </w:p>
        </w:tc>
        <w:tc>
          <w:tcPr>
            <w:tcW w:w="12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52.4</w:t>
            </w:r>
          </w:p>
        </w:tc>
      </w:tr>
      <w:tr>
        <w:trPr>
          <w:trHeight w:val="202"/>
        </w:trPr>
        <w:tc>
          <w:tcPr>
            <w:tcW w:w="5840" w:type="dxa"/>
            <w:vAlign w:val="bottom"/>
          </w:tcPr>
          <w:p>
            <w:pPr>
              <w:ind w:left="20"/>
              <w:spacing w:after="0" w:line="202" w:lineRule="exact"/>
              <w:rPr>
                <w:sz w:val="20"/>
                <w:szCs w:val="20"/>
                <w:color w:val="auto"/>
              </w:rPr>
            </w:pPr>
            <w:r>
              <w:rPr>
                <w:rFonts w:ascii="Calibri" w:cs="Calibri" w:eastAsia="Calibri" w:hAnsi="Calibri"/>
                <w:sz w:val="14"/>
                <w:szCs w:val="14"/>
                <w:b w:val="1"/>
                <w:bCs w:val="1"/>
                <w:color w:val="51555C"/>
              </w:rPr>
              <w:t>Non-GAAP gross proft</w:t>
            </w:r>
            <w:r>
              <w:rPr>
                <w:rFonts w:ascii="Calibri" w:cs="Calibri" w:eastAsia="Calibri" w:hAnsi="Calibri"/>
                <w:sz w:val="18"/>
                <w:szCs w:val="18"/>
                <w:b w:val="1"/>
                <w:bCs w:val="1"/>
                <w:color w:val="51555C"/>
                <w:vertAlign w:val="superscript"/>
              </w:rPr>
              <w:t>(1)</w:t>
            </w:r>
          </w:p>
        </w:tc>
        <w:tc>
          <w:tcPr>
            <w:tcW w:w="300" w:type="dxa"/>
            <w:vAlign w:val="bottom"/>
            <w:tcBorders>
              <w:top w:val="single" w:sz="8" w:color="51555C"/>
            </w:tcBorders>
          </w:tcPr>
          <w:p>
            <w:pPr>
              <w:jc w:val="right"/>
              <w:ind w:right="128"/>
              <w:spacing w:after="0"/>
              <w:rPr>
                <w:sz w:val="20"/>
                <w:szCs w:val="20"/>
                <w:color w:val="auto"/>
              </w:rPr>
            </w:pPr>
            <w:r>
              <w:rPr>
                <w:rFonts w:ascii="Calibri" w:cs="Calibri" w:eastAsia="Calibri" w:hAnsi="Calibri"/>
                <w:sz w:val="14"/>
                <w:szCs w:val="14"/>
                <w:color w:val="51555C"/>
              </w:rPr>
              <w:t>$</w:t>
            </w:r>
          </w:p>
        </w:tc>
        <w:tc>
          <w:tcPr>
            <w:tcW w:w="102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176.8</w:t>
            </w:r>
          </w:p>
        </w:tc>
        <w:tc>
          <w:tcPr>
            <w:tcW w:w="26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w:t>
            </w:r>
          </w:p>
        </w:tc>
        <w:tc>
          <w:tcPr>
            <w:tcW w:w="1060" w:type="dxa"/>
            <w:vAlign w:val="bottom"/>
            <w:tcBorders>
              <w:top w:val="single" w:sz="8" w:color="51555C"/>
            </w:tcBorders>
          </w:tcPr>
          <w:p>
            <w:pPr>
              <w:jc w:val="right"/>
              <w:ind w:right="68"/>
              <w:spacing w:after="0"/>
              <w:rPr>
                <w:sz w:val="20"/>
                <w:szCs w:val="20"/>
                <w:color w:val="auto"/>
              </w:rPr>
            </w:pPr>
            <w:r>
              <w:rPr>
                <w:rFonts w:ascii="Calibri" w:cs="Calibri" w:eastAsia="Calibri" w:hAnsi="Calibri"/>
                <w:sz w:val="14"/>
                <w:szCs w:val="14"/>
                <w:color w:val="51555C"/>
              </w:rPr>
              <w:t>173.1</w:t>
            </w:r>
          </w:p>
        </w:tc>
        <w:tc>
          <w:tcPr>
            <w:tcW w:w="120" w:type="dxa"/>
            <w:vAlign w:val="bottom"/>
          </w:tcPr>
          <w:p>
            <w:pPr>
              <w:spacing w:after="0"/>
              <w:rPr>
                <w:sz w:val="17"/>
                <w:szCs w:val="17"/>
                <w:color w:val="auto"/>
              </w:rPr>
            </w:pPr>
          </w:p>
        </w:tc>
        <w:tc>
          <w:tcPr>
            <w:tcW w:w="300" w:type="dxa"/>
            <w:vAlign w:val="bottom"/>
            <w:tcBorders>
              <w:top w:val="single" w:sz="8" w:color="51555C"/>
            </w:tcBorders>
          </w:tcPr>
          <w:p>
            <w:pPr>
              <w:jc w:val="right"/>
              <w:ind w:right="148"/>
              <w:spacing w:after="0"/>
              <w:rPr>
                <w:sz w:val="20"/>
                <w:szCs w:val="20"/>
                <w:color w:val="auto"/>
              </w:rPr>
            </w:pPr>
            <w:r>
              <w:rPr>
                <w:rFonts w:ascii="Calibri" w:cs="Calibri" w:eastAsia="Calibri" w:hAnsi="Calibri"/>
                <w:sz w:val="14"/>
                <w:szCs w:val="14"/>
                <w:color w:val="51555C"/>
                <w:w w:val="83"/>
              </w:rPr>
              <w:t>$</w:t>
            </w:r>
          </w:p>
        </w:tc>
        <w:tc>
          <w:tcPr>
            <w:tcW w:w="102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528.9</w:t>
            </w:r>
          </w:p>
        </w:tc>
        <w:tc>
          <w:tcPr>
            <w:tcW w:w="100" w:type="dxa"/>
            <w:vAlign w:val="bottom"/>
            <w:tcBorders>
              <w:top w:val="single" w:sz="8" w:color="51555C"/>
            </w:tcBorders>
          </w:tcPr>
          <w:p>
            <w:pPr>
              <w:jc w:val="right"/>
              <w:spacing w:after="0"/>
              <w:rPr>
                <w:sz w:val="20"/>
                <w:szCs w:val="20"/>
                <w:color w:val="auto"/>
              </w:rPr>
            </w:pPr>
            <w:r>
              <w:rPr>
                <w:rFonts w:ascii="Calibri" w:cs="Calibri" w:eastAsia="Calibri" w:hAnsi="Calibri"/>
                <w:sz w:val="14"/>
                <w:szCs w:val="14"/>
                <w:color w:val="51555C"/>
                <w:w w:val="83"/>
              </w:rPr>
              <w:t>$</w:t>
            </w:r>
          </w:p>
        </w:tc>
        <w:tc>
          <w:tcPr>
            <w:tcW w:w="122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496.5</w:t>
            </w:r>
          </w:p>
        </w:tc>
      </w:tr>
      <w:tr>
        <w:trPr>
          <w:trHeight w:val="21"/>
        </w:trPr>
        <w:tc>
          <w:tcPr>
            <w:tcW w:w="5840" w:type="dxa"/>
            <w:vAlign w:val="bottom"/>
            <w:tcBorders>
              <w:bottom w:val="single" w:sz="8" w:color="EBFBFF"/>
            </w:tcBorders>
          </w:tcPr>
          <w:p>
            <w:pPr>
              <w:spacing w:after="0" w:line="20" w:lineRule="exact"/>
              <w:rPr>
                <w:sz w:val="1"/>
                <w:szCs w:val="1"/>
                <w:color w:val="auto"/>
              </w:rPr>
            </w:pPr>
          </w:p>
        </w:tc>
        <w:tc>
          <w:tcPr>
            <w:tcW w:w="300" w:type="dxa"/>
            <w:vAlign w:val="bottom"/>
            <w:tcBorders>
              <w:bottom w:val="single" w:sz="8" w:color="51555C"/>
            </w:tcBorders>
          </w:tcPr>
          <w:p>
            <w:pPr>
              <w:spacing w:after="0" w:line="20" w:lineRule="exact"/>
              <w:rPr>
                <w:sz w:val="1"/>
                <w:szCs w:val="1"/>
                <w:color w:val="auto"/>
              </w:rPr>
            </w:pPr>
          </w:p>
        </w:tc>
        <w:tc>
          <w:tcPr>
            <w:tcW w:w="1020" w:type="dxa"/>
            <w:vAlign w:val="bottom"/>
            <w:tcBorders>
              <w:bottom w:val="single" w:sz="8" w:color="51555C"/>
            </w:tcBorders>
          </w:tcPr>
          <w:p>
            <w:pPr>
              <w:spacing w:after="0" w:line="20" w:lineRule="exact"/>
              <w:rPr>
                <w:sz w:val="1"/>
                <w:szCs w:val="1"/>
                <w:color w:val="auto"/>
              </w:rPr>
            </w:pPr>
          </w:p>
        </w:tc>
        <w:tc>
          <w:tcPr>
            <w:tcW w:w="260" w:type="dxa"/>
            <w:vAlign w:val="bottom"/>
            <w:tcBorders>
              <w:bottom w:val="single" w:sz="8" w:color="51555C"/>
            </w:tcBorders>
          </w:tcPr>
          <w:p>
            <w:pPr>
              <w:spacing w:after="0" w:line="20" w:lineRule="exact"/>
              <w:rPr>
                <w:sz w:val="1"/>
                <w:szCs w:val="1"/>
                <w:color w:val="auto"/>
              </w:rPr>
            </w:pPr>
          </w:p>
        </w:tc>
        <w:tc>
          <w:tcPr>
            <w:tcW w:w="1060" w:type="dxa"/>
            <w:vAlign w:val="bottom"/>
            <w:tcBorders>
              <w:bottom w:val="single" w:sz="8" w:color="51555C"/>
            </w:tcBorders>
          </w:tcPr>
          <w:p>
            <w:pPr>
              <w:spacing w:after="0" w:line="20" w:lineRule="exact"/>
              <w:rPr>
                <w:sz w:val="1"/>
                <w:szCs w:val="1"/>
                <w:color w:val="auto"/>
              </w:rPr>
            </w:pPr>
          </w:p>
        </w:tc>
        <w:tc>
          <w:tcPr>
            <w:tcW w:w="120" w:type="dxa"/>
            <w:vAlign w:val="bottom"/>
            <w:tcBorders>
              <w:bottom w:val="single" w:sz="8" w:color="EBFBFF"/>
            </w:tcBorders>
          </w:tcPr>
          <w:p>
            <w:pPr>
              <w:spacing w:after="0" w:line="20" w:lineRule="exact"/>
              <w:rPr>
                <w:sz w:val="1"/>
                <w:szCs w:val="1"/>
                <w:color w:val="auto"/>
              </w:rPr>
            </w:pPr>
          </w:p>
        </w:tc>
        <w:tc>
          <w:tcPr>
            <w:tcW w:w="300" w:type="dxa"/>
            <w:vAlign w:val="bottom"/>
            <w:tcBorders>
              <w:bottom w:val="single" w:sz="8" w:color="51555C"/>
            </w:tcBorders>
          </w:tcPr>
          <w:p>
            <w:pPr>
              <w:spacing w:after="0" w:line="20" w:lineRule="exact"/>
              <w:rPr>
                <w:sz w:val="1"/>
                <w:szCs w:val="1"/>
                <w:color w:val="auto"/>
              </w:rPr>
            </w:pPr>
          </w:p>
        </w:tc>
        <w:tc>
          <w:tcPr>
            <w:tcW w:w="1020" w:type="dxa"/>
            <w:vAlign w:val="bottom"/>
            <w:tcBorders>
              <w:bottom w:val="single" w:sz="8" w:color="51555C"/>
            </w:tcBorders>
          </w:tcPr>
          <w:p>
            <w:pPr>
              <w:spacing w:after="0" w:line="20" w:lineRule="exact"/>
              <w:rPr>
                <w:sz w:val="1"/>
                <w:szCs w:val="1"/>
                <w:color w:val="auto"/>
              </w:rPr>
            </w:pPr>
          </w:p>
        </w:tc>
        <w:tc>
          <w:tcPr>
            <w:tcW w:w="100" w:type="dxa"/>
            <w:vAlign w:val="bottom"/>
            <w:tcBorders>
              <w:bottom w:val="single" w:sz="8" w:color="51555C"/>
            </w:tcBorders>
          </w:tcPr>
          <w:p>
            <w:pPr>
              <w:spacing w:after="0" w:line="20" w:lineRule="exact"/>
              <w:rPr>
                <w:sz w:val="1"/>
                <w:szCs w:val="1"/>
                <w:color w:val="auto"/>
              </w:rPr>
            </w:pPr>
          </w:p>
        </w:tc>
        <w:tc>
          <w:tcPr>
            <w:tcW w:w="1220" w:type="dxa"/>
            <w:vAlign w:val="bottom"/>
            <w:tcBorders>
              <w:bottom w:val="single" w:sz="8" w:color="51555C"/>
            </w:tcBorders>
          </w:tcPr>
          <w:p>
            <w:pPr>
              <w:spacing w:after="0" w:line="20" w:lineRule="exact"/>
              <w:rPr>
                <w:sz w:val="1"/>
                <w:szCs w:val="1"/>
                <w:color w:val="auto"/>
              </w:rPr>
            </w:pPr>
          </w:p>
        </w:tc>
      </w:tr>
      <w:tr>
        <w:trPr>
          <w:trHeight w:val="203"/>
        </w:trPr>
        <w:tc>
          <w:tcPr>
            <w:tcW w:w="5840" w:type="dxa"/>
            <w:vAlign w:val="bottom"/>
            <w:tcBorders>
              <w:bottom w:val="single" w:sz="8" w:color="EBFBFF"/>
            </w:tcBorders>
            <w:shd w:val="clear" w:color="auto" w:fill="EBFBFF"/>
          </w:tcPr>
          <w:p>
            <w:pPr>
              <w:ind w:left="140"/>
              <w:spacing w:after="0" w:line="163" w:lineRule="exact"/>
              <w:rPr>
                <w:sz w:val="20"/>
                <w:szCs w:val="20"/>
                <w:color w:val="auto"/>
              </w:rPr>
            </w:pPr>
            <w:r>
              <w:rPr>
                <w:rFonts w:ascii="Calibri" w:cs="Calibri" w:eastAsia="Calibri" w:hAnsi="Calibri"/>
                <w:sz w:val="14"/>
                <w:szCs w:val="14"/>
                <w:b w:val="1"/>
                <w:bCs w:val="1"/>
                <w:color w:val="51555C"/>
              </w:rPr>
              <w:t>Non-GAAP gross margin</w:t>
            </w:r>
          </w:p>
        </w:tc>
        <w:tc>
          <w:tcPr>
            <w:tcW w:w="300" w:type="dxa"/>
            <w:vAlign w:val="bottom"/>
            <w:tcBorders>
              <w:bottom w:val="single" w:sz="8" w:color="EBFBFF"/>
            </w:tcBorders>
            <w:shd w:val="clear" w:color="auto" w:fill="EBFBFF"/>
          </w:tcPr>
          <w:p>
            <w:pPr>
              <w:spacing w:after="0"/>
              <w:rPr>
                <w:sz w:val="17"/>
                <w:szCs w:val="17"/>
                <w:color w:val="auto"/>
              </w:rPr>
            </w:pPr>
          </w:p>
        </w:tc>
        <w:tc>
          <w:tcPr>
            <w:tcW w:w="102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61.7 %</w:t>
            </w:r>
          </w:p>
        </w:tc>
        <w:tc>
          <w:tcPr>
            <w:tcW w:w="260" w:type="dxa"/>
            <w:vAlign w:val="bottom"/>
            <w:tcBorders>
              <w:bottom w:val="single" w:sz="8" w:color="EBFBFF"/>
            </w:tcBorders>
            <w:shd w:val="clear" w:color="auto" w:fill="EBFBFF"/>
          </w:tcPr>
          <w:p>
            <w:pPr>
              <w:spacing w:after="0"/>
              <w:rPr>
                <w:sz w:val="17"/>
                <w:szCs w:val="17"/>
                <w:color w:val="auto"/>
              </w:rPr>
            </w:pPr>
          </w:p>
        </w:tc>
        <w:tc>
          <w:tcPr>
            <w:tcW w:w="106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62.4 %</w:t>
            </w:r>
          </w:p>
        </w:tc>
        <w:tc>
          <w:tcPr>
            <w:tcW w:w="120" w:type="dxa"/>
            <w:vAlign w:val="bottom"/>
            <w:tcBorders>
              <w:bottom w:val="single" w:sz="8" w:color="EBFBFF"/>
            </w:tcBorders>
            <w:shd w:val="clear" w:color="auto" w:fill="EBFBFF"/>
          </w:tcPr>
          <w:p>
            <w:pPr>
              <w:spacing w:after="0"/>
              <w:rPr>
                <w:sz w:val="17"/>
                <w:szCs w:val="17"/>
                <w:color w:val="auto"/>
              </w:rPr>
            </w:pPr>
          </w:p>
        </w:tc>
        <w:tc>
          <w:tcPr>
            <w:tcW w:w="300" w:type="dxa"/>
            <w:vAlign w:val="bottom"/>
            <w:tcBorders>
              <w:bottom w:val="single" w:sz="8" w:color="EBFBFF"/>
            </w:tcBorders>
            <w:shd w:val="clear" w:color="auto" w:fill="EBFBFF"/>
          </w:tcPr>
          <w:p>
            <w:pPr>
              <w:spacing w:after="0"/>
              <w:rPr>
                <w:sz w:val="17"/>
                <w:szCs w:val="17"/>
                <w:color w:val="auto"/>
              </w:rPr>
            </w:pPr>
          </w:p>
        </w:tc>
        <w:tc>
          <w:tcPr>
            <w:tcW w:w="102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62.0 %</w:t>
            </w:r>
          </w:p>
        </w:tc>
        <w:tc>
          <w:tcPr>
            <w:tcW w:w="100" w:type="dxa"/>
            <w:vAlign w:val="bottom"/>
            <w:tcBorders>
              <w:bottom w:val="single" w:sz="8" w:color="EBFBFF"/>
            </w:tcBorders>
            <w:shd w:val="clear" w:color="auto" w:fill="EBFBFF"/>
          </w:tcPr>
          <w:p>
            <w:pPr>
              <w:spacing w:after="0"/>
              <w:rPr>
                <w:sz w:val="17"/>
                <w:szCs w:val="17"/>
                <w:color w:val="auto"/>
              </w:rPr>
            </w:pPr>
          </w:p>
        </w:tc>
        <w:tc>
          <w:tcPr>
            <w:tcW w:w="122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61.3 %</w:t>
            </w:r>
          </w:p>
        </w:tc>
      </w:tr>
      <w:tr>
        <w:trPr>
          <w:trHeight w:val="54"/>
        </w:trPr>
        <w:tc>
          <w:tcPr>
            <w:tcW w:w="5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09"/>
        </w:trPr>
        <w:tc>
          <w:tcPr>
            <w:tcW w:w="58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GAAP income from operatons</w:t>
            </w:r>
          </w:p>
        </w:tc>
        <w:tc>
          <w:tcPr>
            <w:tcW w:w="300" w:type="dxa"/>
            <w:vAlign w:val="bottom"/>
            <w:tcBorders>
              <w:bottom w:val="single" w:sz="8" w:color="EBFBFF"/>
            </w:tcBorders>
            <w:shd w:val="clear" w:color="auto" w:fill="EBFBFF"/>
          </w:tcPr>
          <w:p>
            <w:pPr>
              <w:jc w:val="right"/>
              <w:ind w:right="128"/>
              <w:spacing w:after="0"/>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43.8</w:t>
            </w:r>
          </w:p>
        </w:tc>
        <w:tc>
          <w:tcPr>
            <w:tcW w:w="26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w:t>
            </w:r>
          </w:p>
        </w:tc>
        <w:tc>
          <w:tcPr>
            <w:tcW w:w="10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22.0</w:t>
            </w:r>
          </w:p>
        </w:tc>
        <w:tc>
          <w:tcPr>
            <w:tcW w:w="420" w:type="dxa"/>
            <w:vAlign w:val="bottom"/>
            <w:tcBorders>
              <w:bottom w:val="single" w:sz="8" w:color="EBFBFF"/>
            </w:tcBorders>
            <w:gridSpan w:val="2"/>
            <w:shd w:val="clear" w:color="auto" w:fill="EBFBFF"/>
          </w:tcPr>
          <w:p>
            <w:pPr>
              <w:jc w:val="right"/>
              <w:ind w:right="148"/>
              <w:spacing w:after="0"/>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96.6</w:t>
            </w:r>
          </w:p>
        </w:tc>
        <w:tc>
          <w:tcPr>
            <w:tcW w:w="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w w:val="83"/>
              </w:rPr>
              <w:t>$</w:t>
            </w:r>
          </w:p>
        </w:tc>
        <w:tc>
          <w:tcPr>
            <w:tcW w:w="12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12.4</w:t>
            </w:r>
          </w:p>
        </w:tc>
      </w:tr>
      <w:tr>
        <w:trPr>
          <w:trHeight w:val="170"/>
        </w:trPr>
        <w:tc>
          <w:tcPr>
            <w:tcW w:w="5840" w:type="dxa"/>
            <w:vAlign w:val="bottom"/>
          </w:tcPr>
          <w:p>
            <w:pPr>
              <w:ind w:left="140"/>
              <w:spacing w:after="0"/>
              <w:rPr>
                <w:sz w:val="20"/>
                <w:szCs w:val="20"/>
                <w:color w:val="auto"/>
              </w:rPr>
            </w:pPr>
            <w:r>
              <w:rPr>
                <w:rFonts w:ascii="Calibri" w:cs="Calibri" w:eastAsia="Calibri" w:hAnsi="Calibri"/>
                <w:sz w:val="14"/>
                <w:szCs w:val="14"/>
                <w:b w:val="1"/>
                <w:bCs w:val="1"/>
                <w:color w:val="51555C"/>
              </w:rPr>
              <w:t>GAAP operatng margin</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15.3 %</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color w:val="51555C"/>
              </w:rPr>
              <w:t>7.9 %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11.3 %</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51555C"/>
              </w:rPr>
              <w:t>1.5 %</w:t>
            </w:r>
          </w:p>
        </w:tc>
      </w:tr>
      <w:tr>
        <w:trPr>
          <w:trHeight w:val="60"/>
        </w:trPr>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10"/>
        </w:trPr>
        <w:tc>
          <w:tcPr>
            <w:tcW w:w="58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Non-GAAP adjustments:</w:t>
            </w:r>
          </w:p>
        </w:tc>
        <w:tc>
          <w:tcPr>
            <w:tcW w:w="3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2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spacing w:after="0"/>
              <w:rPr>
                <w:sz w:val="18"/>
                <w:szCs w:val="18"/>
                <w:color w:val="auto"/>
              </w:rPr>
            </w:pPr>
          </w:p>
        </w:tc>
        <w:tc>
          <w:tcPr>
            <w:tcW w:w="120" w:type="dxa"/>
            <w:vAlign w:val="bottom"/>
            <w:tcBorders>
              <w:bottom w:val="single" w:sz="8" w:color="EBFBFF"/>
            </w:tcBorders>
            <w:shd w:val="clear" w:color="auto" w:fill="EBFBFF"/>
          </w:tcPr>
          <w:p>
            <w:pPr>
              <w:spacing w:after="0"/>
              <w:rPr>
                <w:sz w:val="18"/>
                <w:szCs w:val="18"/>
                <w:color w:val="auto"/>
              </w:rPr>
            </w:pPr>
          </w:p>
        </w:tc>
        <w:tc>
          <w:tcPr>
            <w:tcW w:w="3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100" w:type="dxa"/>
            <w:vAlign w:val="bottom"/>
            <w:tcBorders>
              <w:bottom w:val="single" w:sz="8" w:color="EBFBFF"/>
            </w:tcBorders>
            <w:shd w:val="clear" w:color="auto" w:fill="EBFBFF"/>
          </w:tcPr>
          <w:p>
            <w:pPr>
              <w:spacing w:after="0"/>
              <w:rPr>
                <w:sz w:val="18"/>
                <w:szCs w:val="18"/>
                <w:color w:val="auto"/>
              </w:rPr>
            </w:pPr>
          </w:p>
        </w:tc>
        <w:tc>
          <w:tcPr>
            <w:tcW w:w="1220" w:type="dxa"/>
            <w:vAlign w:val="bottom"/>
            <w:tcBorders>
              <w:bottom w:val="single" w:sz="8" w:color="EBFBFF"/>
            </w:tcBorders>
            <w:shd w:val="clear" w:color="auto" w:fill="EBFBFF"/>
          </w:tcPr>
          <w:p>
            <w:pPr>
              <w:spacing w:after="0"/>
              <w:rPr>
                <w:sz w:val="18"/>
                <w:szCs w:val="18"/>
                <w:color w:val="auto"/>
              </w:rPr>
            </w:pPr>
          </w:p>
        </w:tc>
      </w:tr>
      <w:tr>
        <w:trPr>
          <w:trHeight w:val="170"/>
        </w:trPr>
        <w:tc>
          <w:tcPr>
            <w:tcW w:w="5840" w:type="dxa"/>
            <w:vAlign w:val="bottom"/>
          </w:tcPr>
          <w:p>
            <w:pPr>
              <w:ind w:left="140"/>
              <w:spacing w:after="0"/>
              <w:rPr>
                <w:sz w:val="20"/>
                <w:szCs w:val="20"/>
                <w:color w:val="auto"/>
              </w:rPr>
            </w:pPr>
            <w:r>
              <w:rPr>
                <w:rFonts w:ascii="Calibri" w:cs="Calibri" w:eastAsia="Calibri" w:hAnsi="Calibri"/>
                <w:sz w:val="14"/>
                <w:szCs w:val="14"/>
                <w:color w:val="51555C"/>
              </w:rPr>
              <w:t>Add: Stock-based compensaton expense</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18.6</w:t>
            </w:r>
          </w:p>
        </w:tc>
        <w:tc>
          <w:tcPr>
            <w:tcW w:w="2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alibri" w:cs="Calibri" w:eastAsia="Calibri" w:hAnsi="Calibri"/>
                <w:sz w:val="14"/>
                <w:szCs w:val="14"/>
                <w:color w:val="51555C"/>
              </w:rPr>
              <w:t>32.4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76.4</w:t>
            </w:r>
          </w:p>
        </w:tc>
        <w:tc>
          <w:tcPr>
            <w:tcW w:w="10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Calibri" w:cs="Calibri" w:eastAsia="Calibri" w:hAnsi="Calibri"/>
                <w:sz w:val="14"/>
                <w:szCs w:val="14"/>
                <w:color w:val="51555C"/>
              </w:rPr>
              <w:t>95.7</w:t>
            </w:r>
          </w:p>
        </w:tc>
      </w:tr>
      <w:tr>
        <w:trPr>
          <w:trHeight w:val="60"/>
        </w:trPr>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09"/>
        </w:trPr>
        <w:tc>
          <w:tcPr>
            <w:tcW w:w="58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Amortzaton of intangibles from business combinatons</w:t>
            </w:r>
          </w:p>
        </w:tc>
        <w:tc>
          <w:tcPr>
            <w:tcW w:w="3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15.6</w:t>
            </w:r>
          </w:p>
        </w:tc>
        <w:tc>
          <w:tcPr>
            <w:tcW w:w="2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13.9</w:t>
            </w:r>
          </w:p>
        </w:tc>
        <w:tc>
          <w:tcPr>
            <w:tcW w:w="120" w:type="dxa"/>
            <w:vAlign w:val="bottom"/>
            <w:tcBorders>
              <w:bottom w:val="single" w:sz="8" w:color="EBFBFF"/>
            </w:tcBorders>
            <w:shd w:val="clear" w:color="auto" w:fill="EBFBFF"/>
          </w:tcPr>
          <w:p>
            <w:pPr>
              <w:spacing w:after="0"/>
              <w:rPr>
                <w:sz w:val="18"/>
                <w:szCs w:val="18"/>
                <w:color w:val="auto"/>
              </w:rPr>
            </w:pPr>
          </w:p>
        </w:tc>
        <w:tc>
          <w:tcPr>
            <w:tcW w:w="3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46.7</w:t>
            </w:r>
          </w:p>
        </w:tc>
        <w:tc>
          <w:tcPr>
            <w:tcW w:w="100" w:type="dxa"/>
            <w:vAlign w:val="bottom"/>
            <w:tcBorders>
              <w:bottom w:val="single" w:sz="8" w:color="EBFBFF"/>
            </w:tcBorders>
            <w:shd w:val="clear" w:color="auto" w:fill="EBFBFF"/>
          </w:tcPr>
          <w:p>
            <w:pPr>
              <w:spacing w:after="0"/>
              <w:rPr>
                <w:sz w:val="18"/>
                <w:szCs w:val="18"/>
                <w:color w:val="auto"/>
              </w:rPr>
            </w:pPr>
          </w:p>
        </w:tc>
        <w:tc>
          <w:tcPr>
            <w:tcW w:w="12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41.7</w:t>
            </w:r>
          </w:p>
        </w:tc>
      </w:tr>
      <w:tr>
        <w:trPr>
          <w:trHeight w:val="170"/>
        </w:trPr>
        <w:tc>
          <w:tcPr>
            <w:tcW w:w="5840" w:type="dxa"/>
            <w:vAlign w:val="bottom"/>
          </w:tcPr>
          <w:p>
            <w:pPr>
              <w:ind w:left="140"/>
              <w:spacing w:after="0"/>
              <w:rPr>
                <w:sz w:val="20"/>
                <w:szCs w:val="20"/>
                <w:color w:val="auto"/>
              </w:rPr>
            </w:pPr>
            <w:r>
              <w:rPr>
                <w:rFonts w:ascii="Calibri" w:cs="Calibri" w:eastAsia="Calibri" w:hAnsi="Calibri"/>
                <w:sz w:val="14"/>
                <w:szCs w:val="14"/>
                <w:color w:val="51555C"/>
              </w:rPr>
              <w:t>Add: Employee severance</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w:t>
            </w:r>
          </w:p>
        </w:tc>
        <w:tc>
          <w:tcPr>
            <w:tcW w:w="2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alibri" w:cs="Calibri" w:eastAsia="Calibri" w:hAnsi="Calibri"/>
                <w:sz w:val="14"/>
                <w:szCs w:val="14"/>
                <w:color w:val="51555C"/>
              </w:rPr>
              <w:t>0.1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w:t>
            </w:r>
          </w:p>
        </w:tc>
        <w:tc>
          <w:tcPr>
            <w:tcW w:w="10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Calibri" w:cs="Calibri" w:eastAsia="Calibri" w:hAnsi="Calibri"/>
                <w:sz w:val="14"/>
                <w:szCs w:val="14"/>
                <w:color w:val="51555C"/>
              </w:rPr>
              <w:t>5.1</w:t>
            </w:r>
          </w:p>
        </w:tc>
      </w:tr>
      <w:tr>
        <w:trPr>
          <w:trHeight w:val="60"/>
        </w:trPr>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09"/>
        </w:trPr>
        <w:tc>
          <w:tcPr>
            <w:tcW w:w="58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Acquisiton and dispositon-related costs</w:t>
            </w:r>
          </w:p>
        </w:tc>
        <w:tc>
          <w:tcPr>
            <w:tcW w:w="3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0.2</w:t>
            </w:r>
          </w:p>
        </w:tc>
        <w:tc>
          <w:tcPr>
            <w:tcW w:w="2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7.0</w:t>
            </w:r>
          </w:p>
        </w:tc>
        <w:tc>
          <w:tcPr>
            <w:tcW w:w="120" w:type="dxa"/>
            <w:vAlign w:val="bottom"/>
            <w:tcBorders>
              <w:bottom w:val="single" w:sz="8" w:color="EBFBFF"/>
            </w:tcBorders>
            <w:shd w:val="clear" w:color="auto" w:fill="EBFBFF"/>
          </w:tcPr>
          <w:p>
            <w:pPr>
              <w:spacing w:after="0"/>
              <w:rPr>
                <w:sz w:val="18"/>
                <w:szCs w:val="18"/>
                <w:color w:val="auto"/>
              </w:rPr>
            </w:pPr>
          </w:p>
        </w:tc>
        <w:tc>
          <w:tcPr>
            <w:tcW w:w="3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4.9</w:t>
            </w:r>
          </w:p>
        </w:tc>
        <w:tc>
          <w:tcPr>
            <w:tcW w:w="100" w:type="dxa"/>
            <w:vAlign w:val="bottom"/>
            <w:tcBorders>
              <w:bottom w:val="single" w:sz="8" w:color="EBFBFF"/>
            </w:tcBorders>
            <w:shd w:val="clear" w:color="auto" w:fill="EBFBFF"/>
          </w:tcPr>
          <w:p>
            <w:pPr>
              <w:spacing w:after="0"/>
              <w:rPr>
                <w:sz w:val="18"/>
                <w:szCs w:val="18"/>
                <w:color w:val="auto"/>
              </w:rPr>
            </w:pPr>
          </w:p>
        </w:tc>
        <w:tc>
          <w:tcPr>
            <w:tcW w:w="12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6.8</w:t>
            </w:r>
          </w:p>
        </w:tc>
      </w:tr>
      <w:tr>
        <w:trPr>
          <w:trHeight w:val="223"/>
        </w:trPr>
        <w:tc>
          <w:tcPr>
            <w:tcW w:w="5840" w:type="dxa"/>
            <w:vAlign w:val="bottom"/>
            <w:tcBorders>
              <w:bottom w:val="single" w:sz="8" w:color="EBFBFF"/>
            </w:tcBorders>
          </w:tcPr>
          <w:p>
            <w:pPr>
              <w:ind w:left="140"/>
              <w:spacing w:after="0" w:line="216" w:lineRule="exact"/>
              <w:rPr>
                <w:sz w:val="20"/>
                <w:szCs w:val="20"/>
                <w:color w:val="auto"/>
              </w:rPr>
            </w:pPr>
            <w:r>
              <w:rPr>
                <w:rFonts w:ascii="Calibri" w:cs="Calibri" w:eastAsia="Calibri" w:hAnsi="Calibri"/>
                <w:sz w:val="14"/>
                <w:szCs w:val="14"/>
                <w:color w:val="51555C"/>
              </w:rPr>
              <w:t>Add: Security Incident-related costs</w:t>
            </w:r>
            <w:r>
              <w:rPr>
                <w:rFonts w:ascii="Calibri" w:cs="Calibri" w:eastAsia="Calibri" w:hAnsi="Calibri"/>
                <w:sz w:val="18"/>
                <w:szCs w:val="18"/>
                <w:color w:val="51555C"/>
                <w:vertAlign w:val="superscript"/>
              </w:rPr>
              <w:t>(2)</w:t>
            </w:r>
          </w:p>
        </w:tc>
        <w:tc>
          <w:tcPr>
            <w:tcW w:w="300" w:type="dxa"/>
            <w:vAlign w:val="bottom"/>
            <w:tcBorders>
              <w:bottom w:val="single" w:sz="8" w:color="51555C"/>
            </w:tcBorders>
          </w:tcPr>
          <w:p>
            <w:pPr>
              <w:spacing w:after="0"/>
              <w:rPr>
                <w:sz w:val="19"/>
                <w:szCs w:val="19"/>
                <w:color w:val="auto"/>
              </w:rPr>
            </w:pPr>
          </w:p>
        </w:tc>
        <w:tc>
          <w:tcPr>
            <w:tcW w:w="1020" w:type="dxa"/>
            <w:vAlign w:val="bottom"/>
            <w:tcBorders>
              <w:bottom w:val="single" w:sz="8" w:color="51555C"/>
            </w:tcBorders>
          </w:tcPr>
          <w:p>
            <w:pPr>
              <w:jc w:val="right"/>
              <w:ind w:right="88"/>
              <w:spacing w:after="0"/>
              <w:rPr>
                <w:sz w:val="20"/>
                <w:szCs w:val="20"/>
                <w:color w:val="auto"/>
              </w:rPr>
            </w:pPr>
            <w:r>
              <w:rPr>
                <w:rFonts w:ascii="Calibri" w:cs="Calibri" w:eastAsia="Calibri" w:hAnsi="Calibri"/>
                <w:sz w:val="14"/>
                <w:szCs w:val="14"/>
                <w:color w:val="51555C"/>
              </w:rPr>
              <w:t>0.6</w:t>
            </w:r>
          </w:p>
        </w:tc>
        <w:tc>
          <w:tcPr>
            <w:tcW w:w="260" w:type="dxa"/>
            <w:vAlign w:val="bottom"/>
            <w:tcBorders>
              <w:bottom w:val="single" w:sz="8" w:color="51555C"/>
            </w:tcBorders>
          </w:tcPr>
          <w:p>
            <w:pPr>
              <w:spacing w:after="0"/>
              <w:rPr>
                <w:sz w:val="19"/>
                <w:szCs w:val="19"/>
                <w:color w:val="auto"/>
              </w:rPr>
            </w:pPr>
          </w:p>
        </w:tc>
        <w:tc>
          <w:tcPr>
            <w:tcW w:w="1060" w:type="dxa"/>
            <w:vAlign w:val="bottom"/>
            <w:tcBorders>
              <w:bottom w:val="single" w:sz="8" w:color="51555C"/>
            </w:tcBorders>
          </w:tcPr>
          <w:p>
            <w:pPr>
              <w:jc w:val="right"/>
              <w:ind w:right="68"/>
              <w:spacing w:after="0"/>
              <w:rPr>
                <w:sz w:val="20"/>
                <w:szCs w:val="20"/>
                <w:color w:val="auto"/>
              </w:rPr>
            </w:pPr>
            <w:r>
              <w:rPr>
                <w:rFonts w:ascii="Calibri" w:cs="Calibri" w:eastAsia="Calibri" w:hAnsi="Calibri"/>
                <w:sz w:val="14"/>
                <w:szCs w:val="14"/>
                <w:color w:val="51555C"/>
              </w:rPr>
              <w:t>4.1</w:t>
            </w:r>
          </w:p>
        </w:tc>
        <w:tc>
          <w:tcPr>
            <w:tcW w:w="120" w:type="dxa"/>
            <w:vAlign w:val="bottom"/>
            <w:tcBorders>
              <w:bottom w:val="single" w:sz="8" w:color="EBFBFF"/>
            </w:tcBorders>
          </w:tcPr>
          <w:p>
            <w:pPr>
              <w:spacing w:after="0"/>
              <w:rPr>
                <w:sz w:val="19"/>
                <w:szCs w:val="19"/>
                <w:color w:val="auto"/>
              </w:rPr>
            </w:pPr>
          </w:p>
        </w:tc>
        <w:tc>
          <w:tcPr>
            <w:tcW w:w="300" w:type="dxa"/>
            <w:vAlign w:val="bottom"/>
            <w:tcBorders>
              <w:bottom w:val="single" w:sz="8" w:color="51555C"/>
            </w:tcBorders>
          </w:tcPr>
          <w:p>
            <w:pPr>
              <w:spacing w:after="0"/>
              <w:rPr>
                <w:sz w:val="19"/>
                <w:szCs w:val="19"/>
                <w:color w:val="auto"/>
              </w:rPr>
            </w:pPr>
          </w:p>
        </w:tc>
        <w:tc>
          <w:tcPr>
            <w:tcW w:w="1020" w:type="dxa"/>
            <w:vAlign w:val="bottom"/>
            <w:tcBorders>
              <w:bottom w:val="single" w:sz="8" w:color="51555C"/>
            </w:tcBorders>
          </w:tcPr>
          <w:p>
            <w:pPr>
              <w:jc w:val="right"/>
              <w:ind w:right="88"/>
              <w:spacing w:after="0"/>
              <w:rPr>
                <w:sz w:val="20"/>
                <w:szCs w:val="20"/>
                <w:color w:val="auto"/>
              </w:rPr>
            </w:pPr>
            <w:r>
              <w:rPr>
                <w:rFonts w:ascii="Calibri" w:cs="Calibri" w:eastAsia="Calibri" w:hAnsi="Calibri"/>
                <w:sz w:val="14"/>
                <w:szCs w:val="14"/>
                <w:color w:val="51555C"/>
              </w:rPr>
              <w:t>12.8</w:t>
            </w:r>
          </w:p>
        </w:tc>
        <w:tc>
          <w:tcPr>
            <w:tcW w:w="100" w:type="dxa"/>
            <w:vAlign w:val="bottom"/>
            <w:tcBorders>
              <w:bottom w:val="single" w:sz="8" w:color="51555C"/>
            </w:tcBorders>
          </w:tcPr>
          <w:p>
            <w:pPr>
              <w:spacing w:after="0"/>
              <w:rPr>
                <w:sz w:val="19"/>
                <w:szCs w:val="19"/>
                <w:color w:val="auto"/>
              </w:rPr>
            </w:pPr>
          </w:p>
        </w:tc>
        <w:tc>
          <w:tcPr>
            <w:tcW w:w="1220" w:type="dxa"/>
            <w:vAlign w:val="bottom"/>
            <w:tcBorders>
              <w:bottom w:val="single" w:sz="8" w:color="51555C"/>
            </w:tcBorders>
          </w:tcPr>
          <w:p>
            <w:pPr>
              <w:jc w:val="right"/>
              <w:ind w:right="88"/>
              <w:spacing w:after="0"/>
              <w:rPr>
                <w:sz w:val="20"/>
                <w:szCs w:val="20"/>
                <w:color w:val="auto"/>
              </w:rPr>
            </w:pPr>
            <w:r>
              <w:rPr>
                <w:rFonts w:ascii="Calibri" w:cs="Calibri" w:eastAsia="Calibri" w:hAnsi="Calibri"/>
                <w:sz w:val="14"/>
                <w:szCs w:val="14"/>
                <w:color w:val="51555C"/>
              </w:rPr>
              <w:t>48.6</w:t>
            </w:r>
          </w:p>
        </w:tc>
      </w:tr>
      <w:tr>
        <w:trPr>
          <w:trHeight w:val="229"/>
        </w:trPr>
        <w:tc>
          <w:tcPr>
            <w:tcW w:w="5840" w:type="dxa"/>
            <w:vAlign w:val="bottom"/>
            <w:tcBorders>
              <w:bottom w:val="single" w:sz="8" w:color="EBFBFF"/>
            </w:tcBorders>
            <w:shd w:val="clear" w:color="auto" w:fill="EBFBFF"/>
          </w:tcPr>
          <w:p>
            <w:pPr>
              <w:ind w:left="240"/>
              <w:spacing w:after="0" w:line="208" w:lineRule="exact"/>
              <w:rPr>
                <w:sz w:val="20"/>
                <w:szCs w:val="20"/>
                <w:color w:val="auto"/>
              </w:rPr>
            </w:pPr>
            <w:r>
              <w:rPr>
                <w:rFonts w:ascii="Calibri" w:cs="Calibri" w:eastAsia="Calibri" w:hAnsi="Calibri"/>
                <w:sz w:val="14"/>
                <w:szCs w:val="14"/>
                <w:color w:val="51555C"/>
              </w:rPr>
              <w:t>Subtotal</w:t>
            </w:r>
            <w:r>
              <w:rPr>
                <w:rFonts w:ascii="Calibri" w:cs="Calibri" w:eastAsia="Calibri" w:hAnsi="Calibri"/>
                <w:sz w:val="18"/>
                <w:szCs w:val="18"/>
                <w:color w:val="51555C"/>
                <w:vertAlign w:val="superscript"/>
              </w:rPr>
              <w:t>(1)</w:t>
            </w:r>
          </w:p>
        </w:tc>
        <w:tc>
          <w:tcPr>
            <w:tcW w:w="300" w:type="dxa"/>
            <w:vAlign w:val="bottom"/>
            <w:tcBorders>
              <w:bottom w:val="single" w:sz="8" w:color="EBFBFF"/>
            </w:tcBorders>
            <w:shd w:val="clear" w:color="auto" w:fill="EBFBFF"/>
          </w:tcPr>
          <w:p>
            <w:pPr>
              <w:spacing w:after="0"/>
              <w:rPr>
                <w:sz w:val="19"/>
                <w:szCs w:val="19"/>
                <w:color w:val="auto"/>
              </w:rPr>
            </w:pP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35.0</w:t>
            </w:r>
          </w:p>
        </w:tc>
        <w:tc>
          <w:tcPr>
            <w:tcW w:w="260" w:type="dxa"/>
            <w:vAlign w:val="bottom"/>
            <w:tcBorders>
              <w:bottom w:val="single" w:sz="8" w:color="EBFBFF"/>
            </w:tcBorders>
            <w:shd w:val="clear" w:color="auto" w:fill="EBFBFF"/>
          </w:tcPr>
          <w:p>
            <w:pPr>
              <w:spacing w:after="0"/>
              <w:rPr>
                <w:sz w:val="19"/>
                <w:szCs w:val="19"/>
                <w:color w:val="auto"/>
              </w:rPr>
            </w:pPr>
          </w:p>
        </w:tc>
        <w:tc>
          <w:tcPr>
            <w:tcW w:w="10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57.5</w:t>
            </w:r>
          </w:p>
        </w:tc>
        <w:tc>
          <w:tcPr>
            <w:tcW w:w="120" w:type="dxa"/>
            <w:vAlign w:val="bottom"/>
            <w:tcBorders>
              <w:bottom w:val="single" w:sz="8" w:color="EBFBFF"/>
            </w:tcBorders>
            <w:shd w:val="clear" w:color="auto" w:fill="EBFBFF"/>
          </w:tcPr>
          <w:p>
            <w:pPr>
              <w:spacing w:after="0"/>
              <w:rPr>
                <w:sz w:val="19"/>
                <w:szCs w:val="19"/>
                <w:color w:val="auto"/>
              </w:rPr>
            </w:pPr>
          </w:p>
        </w:tc>
        <w:tc>
          <w:tcPr>
            <w:tcW w:w="300" w:type="dxa"/>
            <w:vAlign w:val="bottom"/>
            <w:tcBorders>
              <w:bottom w:val="single" w:sz="8" w:color="EBFBFF"/>
            </w:tcBorders>
            <w:shd w:val="clear" w:color="auto" w:fill="EBFBFF"/>
          </w:tcPr>
          <w:p>
            <w:pPr>
              <w:spacing w:after="0"/>
              <w:rPr>
                <w:sz w:val="19"/>
                <w:szCs w:val="19"/>
                <w:color w:val="auto"/>
              </w:rPr>
            </w:pP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140.8</w:t>
            </w:r>
          </w:p>
        </w:tc>
        <w:tc>
          <w:tcPr>
            <w:tcW w:w="100" w:type="dxa"/>
            <w:vAlign w:val="bottom"/>
            <w:tcBorders>
              <w:bottom w:val="single" w:sz="8" w:color="EBFBFF"/>
            </w:tcBorders>
            <w:shd w:val="clear" w:color="auto" w:fill="EBFBFF"/>
          </w:tcPr>
          <w:p>
            <w:pPr>
              <w:spacing w:after="0"/>
              <w:rPr>
                <w:sz w:val="19"/>
                <w:szCs w:val="19"/>
                <w:color w:val="auto"/>
              </w:rPr>
            </w:pPr>
          </w:p>
        </w:tc>
        <w:tc>
          <w:tcPr>
            <w:tcW w:w="12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197.9</w:t>
            </w:r>
          </w:p>
        </w:tc>
      </w:tr>
      <w:tr>
        <w:trPr>
          <w:trHeight w:val="202"/>
        </w:trPr>
        <w:tc>
          <w:tcPr>
            <w:tcW w:w="5840" w:type="dxa"/>
            <w:vAlign w:val="bottom"/>
          </w:tcPr>
          <w:p>
            <w:pPr>
              <w:ind w:left="20"/>
              <w:spacing w:after="0" w:line="202" w:lineRule="exact"/>
              <w:rPr>
                <w:sz w:val="20"/>
                <w:szCs w:val="20"/>
                <w:color w:val="auto"/>
              </w:rPr>
            </w:pPr>
            <w:r>
              <w:rPr>
                <w:rFonts w:ascii="Calibri" w:cs="Calibri" w:eastAsia="Calibri" w:hAnsi="Calibri"/>
                <w:sz w:val="14"/>
                <w:szCs w:val="14"/>
                <w:b w:val="1"/>
                <w:bCs w:val="1"/>
                <w:color w:val="51555C"/>
              </w:rPr>
              <w:t>Non-GAAP income from operatons</w:t>
            </w:r>
            <w:r>
              <w:rPr>
                <w:rFonts w:ascii="Calibri" w:cs="Calibri" w:eastAsia="Calibri" w:hAnsi="Calibri"/>
                <w:sz w:val="18"/>
                <w:szCs w:val="18"/>
                <w:b w:val="1"/>
                <w:bCs w:val="1"/>
                <w:color w:val="51555C"/>
                <w:vertAlign w:val="superscript"/>
              </w:rPr>
              <w:t>(1)</w:t>
            </w:r>
          </w:p>
        </w:tc>
        <w:tc>
          <w:tcPr>
            <w:tcW w:w="300" w:type="dxa"/>
            <w:vAlign w:val="bottom"/>
            <w:tcBorders>
              <w:top w:val="single" w:sz="8" w:color="51555C"/>
            </w:tcBorders>
          </w:tcPr>
          <w:p>
            <w:pPr>
              <w:jc w:val="right"/>
              <w:ind w:right="128"/>
              <w:spacing w:after="0"/>
              <w:rPr>
                <w:sz w:val="20"/>
                <w:szCs w:val="20"/>
                <w:color w:val="auto"/>
              </w:rPr>
            </w:pPr>
            <w:r>
              <w:rPr>
                <w:rFonts w:ascii="Calibri" w:cs="Calibri" w:eastAsia="Calibri" w:hAnsi="Calibri"/>
                <w:sz w:val="14"/>
                <w:szCs w:val="14"/>
                <w:color w:val="51555C"/>
              </w:rPr>
              <w:t>$</w:t>
            </w:r>
          </w:p>
        </w:tc>
        <w:tc>
          <w:tcPr>
            <w:tcW w:w="102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78.9</w:t>
            </w:r>
          </w:p>
        </w:tc>
        <w:tc>
          <w:tcPr>
            <w:tcW w:w="26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w:t>
            </w:r>
          </w:p>
        </w:tc>
        <w:tc>
          <w:tcPr>
            <w:tcW w:w="1060" w:type="dxa"/>
            <w:vAlign w:val="bottom"/>
            <w:tcBorders>
              <w:top w:val="single" w:sz="8" w:color="51555C"/>
            </w:tcBorders>
          </w:tcPr>
          <w:p>
            <w:pPr>
              <w:jc w:val="right"/>
              <w:ind w:right="68"/>
              <w:spacing w:after="0"/>
              <w:rPr>
                <w:sz w:val="20"/>
                <w:szCs w:val="20"/>
                <w:color w:val="auto"/>
              </w:rPr>
            </w:pPr>
            <w:r>
              <w:rPr>
                <w:rFonts w:ascii="Calibri" w:cs="Calibri" w:eastAsia="Calibri" w:hAnsi="Calibri"/>
                <w:sz w:val="14"/>
                <w:szCs w:val="14"/>
                <w:color w:val="51555C"/>
              </w:rPr>
              <w:t>79.6</w:t>
            </w:r>
          </w:p>
        </w:tc>
        <w:tc>
          <w:tcPr>
            <w:tcW w:w="120" w:type="dxa"/>
            <w:vAlign w:val="bottom"/>
          </w:tcPr>
          <w:p>
            <w:pPr>
              <w:spacing w:after="0"/>
              <w:rPr>
                <w:sz w:val="17"/>
                <w:szCs w:val="17"/>
                <w:color w:val="auto"/>
              </w:rPr>
            </w:pPr>
          </w:p>
        </w:tc>
        <w:tc>
          <w:tcPr>
            <w:tcW w:w="300" w:type="dxa"/>
            <w:vAlign w:val="bottom"/>
            <w:tcBorders>
              <w:top w:val="single" w:sz="8" w:color="51555C"/>
            </w:tcBorders>
          </w:tcPr>
          <w:p>
            <w:pPr>
              <w:jc w:val="right"/>
              <w:ind w:right="148"/>
              <w:spacing w:after="0"/>
              <w:rPr>
                <w:sz w:val="20"/>
                <w:szCs w:val="20"/>
                <w:color w:val="auto"/>
              </w:rPr>
            </w:pPr>
            <w:r>
              <w:rPr>
                <w:rFonts w:ascii="Calibri" w:cs="Calibri" w:eastAsia="Calibri" w:hAnsi="Calibri"/>
                <w:sz w:val="14"/>
                <w:szCs w:val="14"/>
                <w:color w:val="51555C"/>
                <w:w w:val="83"/>
              </w:rPr>
              <w:t>$</w:t>
            </w:r>
          </w:p>
        </w:tc>
        <w:tc>
          <w:tcPr>
            <w:tcW w:w="102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237.4</w:t>
            </w:r>
          </w:p>
        </w:tc>
        <w:tc>
          <w:tcPr>
            <w:tcW w:w="100" w:type="dxa"/>
            <w:vAlign w:val="bottom"/>
            <w:tcBorders>
              <w:top w:val="single" w:sz="8" w:color="51555C"/>
            </w:tcBorders>
          </w:tcPr>
          <w:p>
            <w:pPr>
              <w:jc w:val="right"/>
              <w:spacing w:after="0"/>
              <w:rPr>
                <w:sz w:val="20"/>
                <w:szCs w:val="20"/>
                <w:color w:val="auto"/>
              </w:rPr>
            </w:pPr>
            <w:r>
              <w:rPr>
                <w:rFonts w:ascii="Calibri" w:cs="Calibri" w:eastAsia="Calibri" w:hAnsi="Calibri"/>
                <w:sz w:val="14"/>
                <w:szCs w:val="14"/>
                <w:color w:val="51555C"/>
                <w:w w:val="83"/>
              </w:rPr>
              <w:t>$</w:t>
            </w:r>
          </w:p>
        </w:tc>
        <w:tc>
          <w:tcPr>
            <w:tcW w:w="122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210.3</w:t>
            </w:r>
          </w:p>
        </w:tc>
      </w:tr>
      <w:tr>
        <w:trPr>
          <w:trHeight w:val="21"/>
        </w:trPr>
        <w:tc>
          <w:tcPr>
            <w:tcW w:w="5840" w:type="dxa"/>
            <w:vAlign w:val="bottom"/>
            <w:tcBorders>
              <w:bottom w:val="single" w:sz="8" w:color="EBFBFF"/>
            </w:tcBorders>
          </w:tcPr>
          <w:p>
            <w:pPr>
              <w:spacing w:after="0" w:line="20" w:lineRule="exact"/>
              <w:rPr>
                <w:sz w:val="1"/>
                <w:szCs w:val="1"/>
                <w:color w:val="auto"/>
              </w:rPr>
            </w:pPr>
          </w:p>
        </w:tc>
        <w:tc>
          <w:tcPr>
            <w:tcW w:w="300" w:type="dxa"/>
            <w:vAlign w:val="bottom"/>
            <w:tcBorders>
              <w:bottom w:val="single" w:sz="8" w:color="51555C"/>
            </w:tcBorders>
          </w:tcPr>
          <w:p>
            <w:pPr>
              <w:spacing w:after="0" w:line="20" w:lineRule="exact"/>
              <w:rPr>
                <w:sz w:val="1"/>
                <w:szCs w:val="1"/>
                <w:color w:val="auto"/>
              </w:rPr>
            </w:pPr>
          </w:p>
        </w:tc>
        <w:tc>
          <w:tcPr>
            <w:tcW w:w="1020" w:type="dxa"/>
            <w:vAlign w:val="bottom"/>
            <w:tcBorders>
              <w:bottom w:val="single" w:sz="8" w:color="51555C"/>
            </w:tcBorders>
          </w:tcPr>
          <w:p>
            <w:pPr>
              <w:spacing w:after="0" w:line="20" w:lineRule="exact"/>
              <w:rPr>
                <w:sz w:val="1"/>
                <w:szCs w:val="1"/>
                <w:color w:val="auto"/>
              </w:rPr>
            </w:pPr>
          </w:p>
        </w:tc>
        <w:tc>
          <w:tcPr>
            <w:tcW w:w="260" w:type="dxa"/>
            <w:vAlign w:val="bottom"/>
            <w:tcBorders>
              <w:bottom w:val="single" w:sz="8" w:color="51555C"/>
            </w:tcBorders>
          </w:tcPr>
          <w:p>
            <w:pPr>
              <w:spacing w:after="0" w:line="20" w:lineRule="exact"/>
              <w:rPr>
                <w:sz w:val="1"/>
                <w:szCs w:val="1"/>
                <w:color w:val="auto"/>
              </w:rPr>
            </w:pPr>
          </w:p>
        </w:tc>
        <w:tc>
          <w:tcPr>
            <w:tcW w:w="1060" w:type="dxa"/>
            <w:vAlign w:val="bottom"/>
            <w:tcBorders>
              <w:bottom w:val="single" w:sz="8" w:color="51555C"/>
            </w:tcBorders>
          </w:tcPr>
          <w:p>
            <w:pPr>
              <w:spacing w:after="0" w:line="20" w:lineRule="exact"/>
              <w:rPr>
                <w:sz w:val="1"/>
                <w:szCs w:val="1"/>
                <w:color w:val="auto"/>
              </w:rPr>
            </w:pPr>
          </w:p>
        </w:tc>
        <w:tc>
          <w:tcPr>
            <w:tcW w:w="120" w:type="dxa"/>
            <w:vAlign w:val="bottom"/>
            <w:tcBorders>
              <w:bottom w:val="single" w:sz="8" w:color="EBFBFF"/>
            </w:tcBorders>
          </w:tcPr>
          <w:p>
            <w:pPr>
              <w:spacing w:after="0" w:line="20" w:lineRule="exact"/>
              <w:rPr>
                <w:sz w:val="1"/>
                <w:szCs w:val="1"/>
                <w:color w:val="auto"/>
              </w:rPr>
            </w:pPr>
          </w:p>
        </w:tc>
        <w:tc>
          <w:tcPr>
            <w:tcW w:w="300" w:type="dxa"/>
            <w:vAlign w:val="bottom"/>
            <w:tcBorders>
              <w:bottom w:val="single" w:sz="8" w:color="51555C"/>
            </w:tcBorders>
          </w:tcPr>
          <w:p>
            <w:pPr>
              <w:spacing w:after="0" w:line="20" w:lineRule="exact"/>
              <w:rPr>
                <w:sz w:val="1"/>
                <w:szCs w:val="1"/>
                <w:color w:val="auto"/>
              </w:rPr>
            </w:pPr>
          </w:p>
        </w:tc>
        <w:tc>
          <w:tcPr>
            <w:tcW w:w="1020" w:type="dxa"/>
            <w:vAlign w:val="bottom"/>
            <w:tcBorders>
              <w:bottom w:val="single" w:sz="8" w:color="51555C"/>
            </w:tcBorders>
          </w:tcPr>
          <w:p>
            <w:pPr>
              <w:spacing w:after="0" w:line="20" w:lineRule="exact"/>
              <w:rPr>
                <w:sz w:val="1"/>
                <w:szCs w:val="1"/>
                <w:color w:val="auto"/>
              </w:rPr>
            </w:pPr>
          </w:p>
        </w:tc>
        <w:tc>
          <w:tcPr>
            <w:tcW w:w="100" w:type="dxa"/>
            <w:vAlign w:val="bottom"/>
            <w:tcBorders>
              <w:bottom w:val="single" w:sz="8" w:color="51555C"/>
            </w:tcBorders>
          </w:tcPr>
          <w:p>
            <w:pPr>
              <w:spacing w:after="0" w:line="20" w:lineRule="exact"/>
              <w:rPr>
                <w:sz w:val="1"/>
                <w:szCs w:val="1"/>
                <w:color w:val="auto"/>
              </w:rPr>
            </w:pPr>
          </w:p>
        </w:tc>
        <w:tc>
          <w:tcPr>
            <w:tcW w:w="1220" w:type="dxa"/>
            <w:vAlign w:val="bottom"/>
            <w:tcBorders>
              <w:bottom w:val="single" w:sz="8" w:color="51555C"/>
            </w:tcBorders>
          </w:tcPr>
          <w:p>
            <w:pPr>
              <w:spacing w:after="0" w:line="20" w:lineRule="exact"/>
              <w:rPr>
                <w:sz w:val="1"/>
                <w:szCs w:val="1"/>
                <w:color w:val="auto"/>
              </w:rPr>
            </w:pPr>
          </w:p>
        </w:tc>
      </w:tr>
      <w:tr>
        <w:trPr>
          <w:trHeight w:val="203"/>
        </w:trPr>
        <w:tc>
          <w:tcPr>
            <w:tcW w:w="5840" w:type="dxa"/>
            <w:vAlign w:val="bottom"/>
            <w:tcBorders>
              <w:bottom w:val="single" w:sz="8" w:color="EBFBFF"/>
            </w:tcBorders>
            <w:shd w:val="clear" w:color="auto" w:fill="EBFBFF"/>
          </w:tcPr>
          <w:p>
            <w:pPr>
              <w:ind w:left="140"/>
              <w:spacing w:after="0" w:line="163" w:lineRule="exact"/>
              <w:rPr>
                <w:sz w:val="20"/>
                <w:szCs w:val="20"/>
                <w:color w:val="auto"/>
              </w:rPr>
            </w:pPr>
            <w:r>
              <w:rPr>
                <w:rFonts w:ascii="Calibri" w:cs="Calibri" w:eastAsia="Calibri" w:hAnsi="Calibri"/>
                <w:sz w:val="14"/>
                <w:szCs w:val="14"/>
                <w:b w:val="1"/>
                <w:bCs w:val="1"/>
                <w:color w:val="51555C"/>
              </w:rPr>
              <w:t>Non-GAAP operatng margin</w:t>
            </w:r>
          </w:p>
        </w:tc>
        <w:tc>
          <w:tcPr>
            <w:tcW w:w="300" w:type="dxa"/>
            <w:vAlign w:val="bottom"/>
            <w:tcBorders>
              <w:bottom w:val="single" w:sz="8" w:color="EBFBFF"/>
            </w:tcBorders>
            <w:shd w:val="clear" w:color="auto" w:fill="EBFBFF"/>
          </w:tcPr>
          <w:p>
            <w:pPr>
              <w:spacing w:after="0"/>
              <w:rPr>
                <w:sz w:val="17"/>
                <w:szCs w:val="17"/>
                <w:color w:val="auto"/>
              </w:rPr>
            </w:pPr>
          </w:p>
        </w:tc>
        <w:tc>
          <w:tcPr>
            <w:tcW w:w="102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27.5 %</w:t>
            </w:r>
          </w:p>
        </w:tc>
        <w:tc>
          <w:tcPr>
            <w:tcW w:w="260" w:type="dxa"/>
            <w:vAlign w:val="bottom"/>
            <w:tcBorders>
              <w:bottom w:val="single" w:sz="8" w:color="EBFBFF"/>
            </w:tcBorders>
            <w:shd w:val="clear" w:color="auto" w:fill="EBFBFF"/>
          </w:tcPr>
          <w:p>
            <w:pPr>
              <w:spacing w:after="0"/>
              <w:rPr>
                <w:sz w:val="17"/>
                <w:szCs w:val="17"/>
                <w:color w:val="auto"/>
              </w:rPr>
            </w:pPr>
          </w:p>
        </w:tc>
        <w:tc>
          <w:tcPr>
            <w:tcW w:w="106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28.7 %</w:t>
            </w:r>
          </w:p>
        </w:tc>
        <w:tc>
          <w:tcPr>
            <w:tcW w:w="120" w:type="dxa"/>
            <w:vAlign w:val="bottom"/>
            <w:tcBorders>
              <w:bottom w:val="single" w:sz="8" w:color="EBFBFF"/>
            </w:tcBorders>
            <w:shd w:val="clear" w:color="auto" w:fill="EBFBFF"/>
          </w:tcPr>
          <w:p>
            <w:pPr>
              <w:spacing w:after="0"/>
              <w:rPr>
                <w:sz w:val="17"/>
                <w:szCs w:val="17"/>
                <w:color w:val="auto"/>
              </w:rPr>
            </w:pPr>
          </w:p>
        </w:tc>
        <w:tc>
          <w:tcPr>
            <w:tcW w:w="300" w:type="dxa"/>
            <w:vAlign w:val="bottom"/>
            <w:tcBorders>
              <w:bottom w:val="single" w:sz="8" w:color="EBFBFF"/>
            </w:tcBorders>
            <w:shd w:val="clear" w:color="auto" w:fill="EBFBFF"/>
          </w:tcPr>
          <w:p>
            <w:pPr>
              <w:spacing w:after="0"/>
              <w:rPr>
                <w:sz w:val="17"/>
                <w:szCs w:val="17"/>
                <w:color w:val="auto"/>
              </w:rPr>
            </w:pPr>
          </w:p>
        </w:tc>
        <w:tc>
          <w:tcPr>
            <w:tcW w:w="102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27.8 %</w:t>
            </w:r>
          </w:p>
        </w:tc>
        <w:tc>
          <w:tcPr>
            <w:tcW w:w="100" w:type="dxa"/>
            <w:vAlign w:val="bottom"/>
            <w:tcBorders>
              <w:bottom w:val="single" w:sz="8" w:color="EBFBFF"/>
            </w:tcBorders>
            <w:shd w:val="clear" w:color="auto" w:fill="EBFBFF"/>
          </w:tcPr>
          <w:p>
            <w:pPr>
              <w:spacing w:after="0"/>
              <w:rPr>
                <w:sz w:val="17"/>
                <w:szCs w:val="17"/>
                <w:color w:val="auto"/>
              </w:rPr>
            </w:pPr>
          </w:p>
        </w:tc>
        <w:tc>
          <w:tcPr>
            <w:tcW w:w="122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26.0 %</w:t>
            </w:r>
          </w:p>
        </w:tc>
      </w:tr>
      <w:tr>
        <w:trPr>
          <w:trHeight w:val="54"/>
        </w:trPr>
        <w:tc>
          <w:tcPr>
            <w:tcW w:w="5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0"/>
        </w:trPr>
        <w:tc>
          <w:tcPr>
            <w:tcW w:w="58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GAAP income (loss) before provision (beneft) for income taxes</w:t>
            </w:r>
          </w:p>
        </w:tc>
        <w:tc>
          <w:tcPr>
            <w:tcW w:w="300" w:type="dxa"/>
            <w:vAlign w:val="bottom"/>
            <w:tcBorders>
              <w:bottom w:val="single" w:sz="8" w:color="EBFBFF"/>
            </w:tcBorders>
            <w:shd w:val="clear" w:color="auto" w:fill="EBFBFF"/>
          </w:tcPr>
          <w:p>
            <w:pPr>
              <w:jc w:val="right"/>
              <w:ind w:right="128"/>
              <w:spacing w:after="0"/>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32.7</w:t>
            </w:r>
          </w:p>
        </w:tc>
        <w:tc>
          <w:tcPr>
            <w:tcW w:w="26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w:t>
            </w:r>
          </w:p>
        </w:tc>
        <w:tc>
          <w:tcPr>
            <w:tcW w:w="10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18.1</w:t>
            </w:r>
          </w:p>
        </w:tc>
        <w:tc>
          <w:tcPr>
            <w:tcW w:w="420" w:type="dxa"/>
            <w:vAlign w:val="bottom"/>
            <w:tcBorders>
              <w:bottom w:val="single" w:sz="8" w:color="EBFBFF"/>
            </w:tcBorders>
            <w:gridSpan w:val="2"/>
            <w:shd w:val="clear" w:color="auto" w:fill="EBFBFF"/>
          </w:tcPr>
          <w:p>
            <w:pPr>
              <w:jc w:val="right"/>
              <w:ind w:right="148"/>
              <w:spacing w:after="0"/>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66.2</w:t>
            </w:r>
          </w:p>
        </w:tc>
        <w:tc>
          <w:tcPr>
            <w:tcW w:w="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w w:val="83"/>
              </w:rPr>
              <w:t>$</w:t>
            </w:r>
          </w:p>
        </w:tc>
        <w:tc>
          <w:tcPr>
            <w:tcW w:w="122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(8.6)</w:t>
            </w:r>
          </w:p>
        </w:tc>
      </w:tr>
      <w:tr>
        <w:trPr>
          <w:trHeight w:val="170"/>
        </w:trPr>
        <w:tc>
          <w:tcPr>
            <w:tcW w:w="5840" w:type="dxa"/>
            <w:vAlign w:val="bottom"/>
          </w:tcPr>
          <w:p>
            <w:pPr>
              <w:ind w:left="20"/>
              <w:spacing w:after="0"/>
              <w:rPr>
                <w:sz w:val="20"/>
                <w:szCs w:val="20"/>
                <w:color w:val="auto"/>
              </w:rPr>
            </w:pPr>
            <w:r>
              <w:rPr>
                <w:rFonts w:ascii="Calibri" w:cs="Calibri" w:eastAsia="Calibri" w:hAnsi="Calibri"/>
                <w:sz w:val="14"/>
                <w:szCs w:val="14"/>
                <w:b w:val="1"/>
                <w:bCs w:val="1"/>
                <w:color w:val="51555C"/>
              </w:rPr>
              <w:t>GAAP net income (loss)</w:t>
            </w:r>
          </w:p>
        </w:tc>
        <w:tc>
          <w:tcPr>
            <w:tcW w:w="300" w:type="dxa"/>
            <w:vAlign w:val="bottom"/>
          </w:tcPr>
          <w:p>
            <w:pPr>
              <w:jc w:val="right"/>
              <w:ind w:right="128"/>
              <w:spacing w:after="0"/>
              <w:rPr>
                <w:sz w:val="20"/>
                <w:szCs w:val="20"/>
                <w:color w:val="auto"/>
              </w:rPr>
            </w:pPr>
            <w:r>
              <w:rPr>
                <w:rFonts w:ascii="Calibri" w:cs="Calibri" w:eastAsia="Calibri" w:hAnsi="Calibri"/>
                <w:sz w:val="14"/>
                <w:szCs w:val="14"/>
                <w:color w:val="51555C"/>
              </w:rPr>
              <w:t>$</w:t>
            </w: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20.5</w:t>
            </w:r>
          </w:p>
        </w:tc>
        <w:tc>
          <w:tcPr>
            <w:tcW w:w="260" w:type="dxa"/>
            <w:vAlign w:val="bottom"/>
          </w:tcPr>
          <w:p>
            <w:pPr>
              <w:jc w:val="right"/>
              <w:ind w:right="88"/>
              <w:spacing w:after="0"/>
              <w:rPr>
                <w:sz w:val="20"/>
                <w:szCs w:val="20"/>
                <w:color w:val="auto"/>
              </w:rPr>
            </w:pPr>
            <w:r>
              <w:rPr>
                <w:rFonts w:ascii="Calibri" w:cs="Calibri" w:eastAsia="Calibri" w:hAnsi="Calibri"/>
                <w:sz w:val="14"/>
                <w:szCs w:val="14"/>
                <w:color w:val="51555C"/>
              </w:rPr>
              <w:t>$</w:t>
            </w:r>
          </w:p>
        </w:tc>
        <w:tc>
          <w:tcPr>
            <w:tcW w:w="1060" w:type="dxa"/>
            <w:vAlign w:val="bottom"/>
          </w:tcPr>
          <w:p>
            <w:pPr>
              <w:jc w:val="right"/>
              <w:ind w:right="68"/>
              <w:spacing w:after="0"/>
              <w:rPr>
                <w:sz w:val="20"/>
                <w:szCs w:val="20"/>
                <w:color w:val="auto"/>
              </w:rPr>
            </w:pPr>
            <w:r>
              <w:rPr>
                <w:rFonts w:ascii="Calibri" w:cs="Calibri" w:eastAsia="Calibri" w:hAnsi="Calibri"/>
                <w:sz w:val="14"/>
                <w:szCs w:val="14"/>
                <w:color w:val="51555C"/>
              </w:rPr>
              <w:t>9.0</w:t>
            </w:r>
          </w:p>
        </w:tc>
        <w:tc>
          <w:tcPr>
            <w:tcW w:w="420" w:type="dxa"/>
            <w:vAlign w:val="bottom"/>
            <w:gridSpan w:val="2"/>
          </w:tcPr>
          <w:p>
            <w:pPr>
              <w:jc w:val="right"/>
              <w:ind w:right="148"/>
              <w:spacing w:after="0"/>
              <w:rPr>
                <w:sz w:val="20"/>
                <w:szCs w:val="20"/>
                <w:color w:val="auto"/>
              </w:rPr>
            </w:pPr>
            <w:r>
              <w:rPr>
                <w:rFonts w:ascii="Calibri" w:cs="Calibri" w:eastAsia="Calibri" w:hAnsi="Calibri"/>
                <w:sz w:val="14"/>
                <w:szCs w:val="14"/>
                <w:color w:val="51555C"/>
              </w:rPr>
              <w:t>$</w:t>
            </w: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47.6</w:t>
            </w:r>
          </w:p>
        </w:tc>
        <w:tc>
          <w:tcPr>
            <w:tcW w:w="100" w:type="dxa"/>
            <w:vAlign w:val="bottom"/>
          </w:tcPr>
          <w:p>
            <w:pPr>
              <w:jc w:val="right"/>
              <w:spacing w:after="0"/>
              <w:rPr>
                <w:sz w:val="20"/>
                <w:szCs w:val="20"/>
                <w:color w:val="auto"/>
              </w:rPr>
            </w:pPr>
            <w:r>
              <w:rPr>
                <w:rFonts w:ascii="Calibri" w:cs="Calibri" w:eastAsia="Calibri" w:hAnsi="Calibri"/>
                <w:sz w:val="14"/>
                <w:szCs w:val="14"/>
                <w:color w:val="51555C"/>
                <w:w w:val="83"/>
              </w:rPr>
              <w:t>$</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51555C"/>
              </w:rPr>
              <w:t>(3.6)</w:t>
            </w:r>
          </w:p>
        </w:tc>
      </w:tr>
      <w:tr>
        <w:trPr>
          <w:trHeight w:val="60"/>
        </w:trPr>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09"/>
        </w:trPr>
        <w:tc>
          <w:tcPr>
            <w:tcW w:w="58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Shares used in computng GAAP diluted earnings (loss) per share</w:t>
            </w:r>
          </w:p>
        </w:tc>
        <w:tc>
          <w:tcPr>
            <w:tcW w:w="3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51,632,569</w:t>
            </w:r>
          </w:p>
        </w:tc>
        <w:tc>
          <w:tcPr>
            <w:tcW w:w="2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54,089,897</w:t>
            </w:r>
          </w:p>
        </w:tc>
        <w:tc>
          <w:tcPr>
            <w:tcW w:w="120" w:type="dxa"/>
            <w:vAlign w:val="bottom"/>
            <w:tcBorders>
              <w:bottom w:val="single" w:sz="8" w:color="EBFBFF"/>
            </w:tcBorders>
            <w:shd w:val="clear" w:color="auto" w:fill="EBFBFF"/>
          </w:tcPr>
          <w:p>
            <w:pPr>
              <w:spacing w:after="0"/>
              <w:rPr>
                <w:sz w:val="18"/>
                <w:szCs w:val="18"/>
                <w:color w:val="auto"/>
              </w:rPr>
            </w:pPr>
          </w:p>
        </w:tc>
        <w:tc>
          <w:tcPr>
            <w:tcW w:w="3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52,107,147</w:t>
            </w:r>
          </w:p>
        </w:tc>
        <w:tc>
          <w:tcPr>
            <w:tcW w:w="100" w:type="dxa"/>
            <w:vAlign w:val="bottom"/>
            <w:tcBorders>
              <w:bottom w:val="single" w:sz="8" w:color="EBFBFF"/>
            </w:tcBorders>
            <w:shd w:val="clear" w:color="auto" w:fill="EBFBFF"/>
          </w:tcPr>
          <w:p>
            <w:pPr>
              <w:spacing w:after="0"/>
              <w:rPr>
                <w:sz w:val="18"/>
                <w:szCs w:val="18"/>
                <w:color w:val="auto"/>
              </w:rPr>
            </w:pPr>
          </w:p>
        </w:tc>
        <w:tc>
          <w:tcPr>
            <w:tcW w:w="12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52,495,556</w:t>
            </w:r>
          </w:p>
        </w:tc>
      </w:tr>
      <w:tr>
        <w:trPr>
          <w:trHeight w:val="170"/>
        </w:trPr>
        <w:tc>
          <w:tcPr>
            <w:tcW w:w="5840" w:type="dxa"/>
            <w:vAlign w:val="bottom"/>
          </w:tcPr>
          <w:p>
            <w:pPr>
              <w:ind w:left="140"/>
              <w:spacing w:after="0"/>
              <w:rPr>
                <w:sz w:val="20"/>
                <w:szCs w:val="20"/>
                <w:color w:val="auto"/>
              </w:rPr>
            </w:pPr>
            <w:r>
              <w:rPr>
                <w:rFonts w:ascii="Calibri" w:cs="Calibri" w:eastAsia="Calibri" w:hAnsi="Calibri"/>
                <w:sz w:val="14"/>
                <w:szCs w:val="14"/>
                <w:b w:val="1"/>
                <w:bCs w:val="1"/>
                <w:color w:val="51555C"/>
              </w:rPr>
              <w:t>GAAP diluted earnings (loss) per share</w:t>
            </w:r>
          </w:p>
        </w:tc>
        <w:tc>
          <w:tcPr>
            <w:tcW w:w="300" w:type="dxa"/>
            <w:vAlign w:val="bottom"/>
          </w:tcPr>
          <w:p>
            <w:pPr>
              <w:jc w:val="right"/>
              <w:ind w:right="128"/>
              <w:spacing w:after="0"/>
              <w:rPr>
                <w:sz w:val="20"/>
                <w:szCs w:val="20"/>
                <w:color w:val="auto"/>
              </w:rPr>
            </w:pPr>
            <w:r>
              <w:rPr>
                <w:rFonts w:ascii="Calibri" w:cs="Calibri" w:eastAsia="Calibri" w:hAnsi="Calibri"/>
                <w:sz w:val="14"/>
                <w:szCs w:val="14"/>
                <w:color w:val="51555C"/>
              </w:rPr>
              <w:t>$</w:t>
            </w: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0.40</w:t>
            </w:r>
          </w:p>
        </w:tc>
        <w:tc>
          <w:tcPr>
            <w:tcW w:w="260" w:type="dxa"/>
            <w:vAlign w:val="bottom"/>
          </w:tcPr>
          <w:p>
            <w:pPr>
              <w:jc w:val="right"/>
              <w:ind w:right="88"/>
              <w:spacing w:after="0"/>
              <w:rPr>
                <w:sz w:val="20"/>
                <w:szCs w:val="20"/>
                <w:color w:val="auto"/>
              </w:rPr>
            </w:pPr>
            <w:r>
              <w:rPr>
                <w:rFonts w:ascii="Calibri" w:cs="Calibri" w:eastAsia="Calibri" w:hAnsi="Calibri"/>
                <w:sz w:val="14"/>
                <w:szCs w:val="14"/>
                <w:color w:val="51555C"/>
              </w:rPr>
              <w:t>$</w:t>
            </w:r>
          </w:p>
        </w:tc>
        <w:tc>
          <w:tcPr>
            <w:tcW w:w="1060" w:type="dxa"/>
            <w:vAlign w:val="bottom"/>
          </w:tcPr>
          <w:p>
            <w:pPr>
              <w:jc w:val="right"/>
              <w:ind w:right="68"/>
              <w:spacing w:after="0"/>
              <w:rPr>
                <w:sz w:val="20"/>
                <w:szCs w:val="20"/>
                <w:color w:val="auto"/>
              </w:rPr>
            </w:pPr>
            <w:r>
              <w:rPr>
                <w:rFonts w:ascii="Calibri" w:cs="Calibri" w:eastAsia="Calibri" w:hAnsi="Calibri"/>
                <w:sz w:val="14"/>
                <w:szCs w:val="14"/>
                <w:color w:val="51555C"/>
              </w:rPr>
              <w:t>0.17</w:t>
            </w:r>
          </w:p>
        </w:tc>
        <w:tc>
          <w:tcPr>
            <w:tcW w:w="420" w:type="dxa"/>
            <w:vAlign w:val="bottom"/>
            <w:gridSpan w:val="2"/>
          </w:tcPr>
          <w:p>
            <w:pPr>
              <w:jc w:val="right"/>
              <w:ind w:right="148"/>
              <w:spacing w:after="0"/>
              <w:rPr>
                <w:sz w:val="20"/>
                <w:szCs w:val="20"/>
                <w:color w:val="auto"/>
              </w:rPr>
            </w:pPr>
            <w:r>
              <w:rPr>
                <w:rFonts w:ascii="Calibri" w:cs="Calibri" w:eastAsia="Calibri" w:hAnsi="Calibri"/>
                <w:sz w:val="14"/>
                <w:szCs w:val="14"/>
                <w:color w:val="51555C"/>
              </w:rPr>
              <w:t>$</w:t>
            </w: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0.91</w:t>
            </w:r>
          </w:p>
        </w:tc>
        <w:tc>
          <w:tcPr>
            <w:tcW w:w="100" w:type="dxa"/>
            <w:vAlign w:val="bottom"/>
          </w:tcPr>
          <w:p>
            <w:pPr>
              <w:jc w:val="right"/>
              <w:spacing w:after="0"/>
              <w:rPr>
                <w:sz w:val="20"/>
                <w:szCs w:val="20"/>
                <w:color w:val="auto"/>
              </w:rPr>
            </w:pPr>
            <w:r>
              <w:rPr>
                <w:rFonts w:ascii="Calibri" w:cs="Calibri" w:eastAsia="Calibri" w:hAnsi="Calibri"/>
                <w:sz w:val="14"/>
                <w:szCs w:val="14"/>
                <w:color w:val="51555C"/>
                <w:w w:val="83"/>
              </w:rPr>
              <w:t>$</w:t>
            </w: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51555C"/>
              </w:rPr>
              <w:t>(0.07)</w:t>
            </w:r>
          </w:p>
        </w:tc>
      </w:tr>
      <w:tr>
        <w:trPr>
          <w:trHeight w:val="60"/>
        </w:trPr>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10"/>
        </w:trPr>
        <w:tc>
          <w:tcPr>
            <w:tcW w:w="58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Non-GAAP adjustments:</w:t>
            </w:r>
          </w:p>
        </w:tc>
        <w:tc>
          <w:tcPr>
            <w:tcW w:w="3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2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spacing w:after="0"/>
              <w:rPr>
                <w:sz w:val="18"/>
                <w:szCs w:val="18"/>
                <w:color w:val="auto"/>
              </w:rPr>
            </w:pPr>
          </w:p>
        </w:tc>
        <w:tc>
          <w:tcPr>
            <w:tcW w:w="120" w:type="dxa"/>
            <w:vAlign w:val="bottom"/>
            <w:tcBorders>
              <w:bottom w:val="single" w:sz="8" w:color="EBFBFF"/>
            </w:tcBorders>
            <w:shd w:val="clear" w:color="auto" w:fill="EBFBFF"/>
          </w:tcPr>
          <w:p>
            <w:pPr>
              <w:spacing w:after="0"/>
              <w:rPr>
                <w:sz w:val="18"/>
                <w:szCs w:val="18"/>
                <w:color w:val="auto"/>
              </w:rPr>
            </w:pPr>
          </w:p>
        </w:tc>
        <w:tc>
          <w:tcPr>
            <w:tcW w:w="3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100" w:type="dxa"/>
            <w:vAlign w:val="bottom"/>
            <w:tcBorders>
              <w:bottom w:val="single" w:sz="8" w:color="EBFBFF"/>
            </w:tcBorders>
            <w:shd w:val="clear" w:color="auto" w:fill="EBFBFF"/>
          </w:tcPr>
          <w:p>
            <w:pPr>
              <w:spacing w:after="0"/>
              <w:rPr>
                <w:sz w:val="18"/>
                <w:szCs w:val="18"/>
                <w:color w:val="auto"/>
              </w:rPr>
            </w:pPr>
          </w:p>
        </w:tc>
        <w:tc>
          <w:tcPr>
            <w:tcW w:w="1220" w:type="dxa"/>
            <w:vAlign w:val="bottom"/>
            <w:tcBorders>
              <w:bottom w:val="single" w:sz="8" w:color="EBFBFF"/>
            </w:tcBorders>
            <w:shd w:val="clear" w:color="auto" w:fill="EBFBFF"/>
          </w:tcPr>
          <w:p>
            <w:pPr>
              <w:spacing w:after="0"/>
              <w:rPr>
                <w:sz w:val="18"/>
                <w:szCs w:val="18"/>
                <w:color w:val="auto"/>
              </w:rPr>
            </w:pPr>
          </w:p>
        </w:tc>
      </w:tr>
      <w:tr>
        <w:trPr>
          <w:trHeight w:val="170"/>
        </w:trPr>
        <w:tc>
          <w:tcPr>
            <w:tcW w:w="5840" w:type="dxa"/>
            <w:vAlign w:val="bottom"/>
          </w:tcPr>
          <w:p>
            <w:pPr>
              <w:ind w:left="140"/>
              <w:spacing w:after="0"/>
              <w:rPr>
                <w:sz w:val="20"/>
                <w:szCs w:val="20"/>
                <w:color w:val="auto"/>
              </w:rPr>
            </w:pPr>
            <w:r>
              <w:rPr>
                <w:rFonts w:ascii="Calibri" w:cs="Calibri" w:eastAsia="Calibri" w:hAnsi="Calibri"/>
                <w:sz w:val="14"/>
                <w:szCs w:val="14"/>
                <w:color w:val="51555C"/>
              </w:rPr>
              <w:t>Add: GAAP income tax provision (beneft)</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12.1</w:t>
            </w:r>
          </w:p>
        </w:tc>
        <w:tc>
          <w:tcPr>
            <w:tcW w:w="2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alibri" w:cs="Calibri" w:eastAsia="Calibri" w:hAnsi="Calibri"/>
                <w:sz w:val="14"/>
                <w:szCs w:val="14"/>
                <w:color w:val="51555C"/>
              </w:rPr>
              <w:t>9.1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18.6</w:t>
            </w:r>
          </w:p>
        </w:tc>
        <w:tc>
          <w:tcPr>
            <w:tcW w:w="10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51555C"/>
              </w:rPr>
              <w:t>(5.0)</w:t>
            </w:r>
          </w:p>
        </w:tc>
      </w:tr>
      <w:tr>
        <w:trPr>
          <w:trHeight w:val="60"/>
        </w:trPr>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30"/>
        </w:trPr>
        <w:tc>
          <w:tcPr>
            <w:tcW w:w="58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Total non-GAAP adjustments afectng income from operatons</w:t>
            </w:r>
          </w:p>
        </w:tc>
        <w:tc>
          <w:tcPr>
            <w:tcW w:w="300" w:type="dxa"/>
            <w:vAlign w:val="bottom"/>
            <w:tcBorders>
              <w:bottom w:val="single" w:sz="8" w:color="EBFBFF"/>
            </w:tcBorders>
            <w:shd w:val="clear" w:color="auto" w:fill="EBFBFF"/>
          </w:tcPr>
          <w:p>
            <w:pPr>
              <w:spacing w:after="0"/>
              <w:rPr>
                <w:sz w:val="19"/>
                <w:szCs w:val="19"/>
                <w:color w:val="auto"/>
              </w:rPr>
            </w:pP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35.0</w:t>
            </w:r>
          </w:p>
        </w:tc>
        <w:tc>
          <w:tcPr>
            <w:tcW w:w="260" w:type="dxa"/>
            <w:vAlign w:val="bottom"/>
            <w:tcBorders>
              <w:bottom w:val="single" w:sz="8" w:color="EBFBFF"/>
            </w:tcBorders>
            <w:shd w:val="clear" w:color="auto" w:fill="EBFBFF"/>
          </w:tcPr>
          <w:p>
            <w:pPr>
              <w:spacing w:after="0"/>
              <w:rPr>
                <w:sz w:val="19"/>
                <w:szCs w:val="19"/>
                <w:color w:val="auto"/>
              </w:rPr>
            </w:pPr>
          </w:p>
        </w:tc>
        <w:tc>
          <w:tcPr>
            <w:tcW w:w="10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57.5</w:t>
            </w:r>
          </w:p>
        </w:tc>
        <w:tc>
          <w:tcPr>
            <w:tcW w:w="120" w:type="dxa"/>
            <w:vAlign w:val="bottom"/>
            <w:tcBorders>
              <w:bottom w:val="single" w:sz="8" w:color="EBFBFF"/>
            </w:tcBorders>
            <w:shd w:val="clear" w:color="auto" w:fill="EBFBFF"/>
          </w:tcPr>
          <w:p>
            <w:pPr>
              <w:spacing w:after="0"/>
              <w:rPr>
                <w:sz w:val="19"/>
                <w:szCs w:val="19"/>
                <w:color w:val="auto"/>
              </w:rPr>
            </w:pPr>
          </w:p>
        </w:tc>
        <w:tc>
          <w:tcPr>
            <w:tcW w:w="300" w:type="dxa"/>
            <w:vAlign w:val="bottom"/>
            <w:tcBorders>
              <w:bottom w:val="single" w:sz="8" w:color="EBFBFF"/>
            </w:tcBorders>
            <w:shd w:val="clear" w:color="auto" w:fill="EBFBFF"/>
          </w:tcPr>
          <w:p>
            <w:pPr>
              <w:spacing w:after="0"/>
              <w:rPr>
                <w:sz w:val="19"/>
                <w:szCs w:val="19"/>
                <w:color w:val="auto"/>
              </w:rPr>
            </w:pP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140.8</w:t>
            </w:r>
          </w:p>
        </w:tc>
        <w:tc>
          <w:tcPr>
            <w:tcW w:w="100" w:type="dxa"/>
            <w:vAlign w:val="bottom"/>
            <w:tcBorders>
              <w:bottom w:val="single" w:sz="8" w:color="EBFBFF"/>
            </w:tcBorders>
            <w:shd w:val="clear" w:color="auto" w:fill="EBFBFF"/>
          </w:tcPr>
          <w:p>
            <w:pPr>
              <w:spacing w:after="0"/>
              <w:rPr>
                <w:sz w:val="19"/>
                <w:szCs w:val="19"/>
                <w:color w:val="auto"/>
              </w:rPr>
            </w:pPr>
          </w:p>
        </w:tc>
        <w:tc>
          <w:tcPr>
            <w:tcW w:w="12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197.9</w:t>
            </w:r>
          </w:p>
        </w:tc>
      </w:tr>
      <w:tr>
        <w:trPr>
          <w:trHeight w:val="163"/>
        </w:trPr>
        <w:tc>
          <w:tcPr>
            <w:tcW w:w="5840" w:type="dxa"/>
            <w:vAlign w:val="bottom"/>
          </w:tcPr>
          <w:p>
            <w:pPr>
              <w:ind w:left="20"/>
              <w:spacing w:after="0" w:line="163" w:lineRule="exact"/>
              <w:rPr>
                <w:sz w:val="20"/>
                <w:szCs w:val="20"/>
                <w:color w:val="auto"/>
              </w:rPr>
            </w:pPr>
            <w:r>
              <w:rPr>
                <w:rFonts w:ascii="Calibri" w:cs="Calibri" w:eastAsia="Calibri" w:hAnsi="Calibri"/>
                <w:sz w:val="14"/>
                <w:szCs w:val="14"/>
                <w:b w:val="1"/>
                <w:bCs w:val="1"/>
                <w:color w:val="51555C"/>
              </w:rPr>
              <w:t>Non-GAAP income before provision for income taxes</w:t>
            </w:r>
          </w:p>
        </w:tc>
        <w:tc>
          <w:tcPr>
            <w:tcW w:w="300" w:type="dxa"/>
            <w:vAlign w:val="bottom"/>
            <w:tcBorders>
              <w:top w:val="single" w:sz="8" w:color="51555C"/>
            </w:tcBorders>
          </w:tcPr>
          <w:p>
            <w:pPr>
              <w:spacing w:after="0"/>
              <w:rPr>
                <w:sz w:val="14"/>
                <w:szCs w:val="14"/>
                <w:color w:val="auto"/>
              </w:rPr>
            </w:pPr>
          </w:p>
        </w:tc>
        <w:tc>
          <w:tcPr>
            <w:tcW w:w="1020" w:type="dxa"/>
            <w:vAlign w:val="bottom"/>
            <w:tcBorders>
              <w:top w:val="single" w:sz="8" w:color="51555C"/>
            </w:tcBorders>
          </w:tcPr>
          <w:p>
            <w:pPr>
              <w:jc w:val="right"/>
              <w:ind w:right="88"/>
              <w:spacing w:after="0" w:line="164" w:lineRule="exact"/>
              <w:rPr>
                <w:sz w:val="20"/>
                <w:szCs w:val="20"/>
                <w:color w:val="auto"/>
              </w:rPr>
            </w:pPr>
            <w:r>
              <w:rPr>
                <w:rFonts w:ascii="Calibri" w:cs="Calibri" w:eastAsia="Calibri" w:hAnsi="Calibri"/>
                <w:sz w:val="14"/>
                <w:szCs w:val="14"/>
                <w:color w:val="51555C"/>
              </w:rPr>
              <w:t>67.7</w:t>
            </w:r>
          </w:p>
        </w:tc>
        <w:tc>
          <w:tcPr>
            <w:tcW w:w="260" w:type="dxa"/>
            <w:vAlign w:val="bottom"/>
            <w:tcBorders>
              <w:top w:val="single" w:sz="8" w:color="51555C"/>
            </w:tcBorders>
          </w:tcPr>
          <w:p>
            <w:pPr>
              <w:spacing w:after="0"/>
              <w:rPr>
                <w:sz w:val="14"/>
                <w:szCs w:val="14"/>
                <w:color w:val="auto"/>
              </w:rPr>
            </w:pPr>
          </w:p>
        </w:tc>
        <w:tc>
          <w:tcPr>
            <w:tcW w:w="1060" w:type="dxa"/>
            <w:vAlign w:val="bottom"/>
            <w:tcBorders>
              <w:top w:val="single" w:sz="8" w:color="51555C"/>
            </w:tcBorders>
          </w:tcPr>
          <w:p>
            <w:pPr>
              <w:jc w:val="right"/>
              <w:ind w:right="68"/>
              <w:spacing w:after="0" w:line="164" w:lineRule="exact"/>
              <w:rPr>
                <w:sz w:val="20"/>
                <w:szCs w:val="20"/>
                <w:color w:val="auto"/>
              </w:rPr>
            </w:pPr>
            <w:r>
              <w:rPr>
                <w:rFonts w:ascii="Calibri" w:cs="Calibri" w:eastAsia="Calibri" w:hAnsi="Calibri"/>
                <w:sz w:val="14"/>
                <w:szCs w:val="14"/>
                <w:color w:val="51555C"/>
              </w:rPr>
              <w:t>75.6</w:t>
            </w:r>
          </w:p>
        </w:tc>
        <w:tc>
          <w:tcPr>
            <w:tcW w:w="120" w:type="dxa"/>
            <w:vAlign w:val="bottom"/>
          </w:tcPr>
          <w:p>
            <w:pPr>
              <w:spacing w:after="0"/>
              <w:rPr>
                <w:sz w:val="14"/>
                <w:szCs w:val="14"/>
                <w:color w:val="auto"/>
              </w:rPr>
            </w:pPr>
          </w:p>
        </w:tc>
        <w:tc>
          <w:tcPr>
            <w:tcW w:w="300" w:type="dxa"/>
            <w:vAlign w:val="bottom"/>
            <w:tcBorders>
              <w:top w:val="single" w:sz="8" w:color="51555C"/>
            </w:tcBorders>
          </w:tcPr>
          <w:p>
            <w:pPr>
              <w:spacing w:after="0"/>
              <w:rPr>
                <w:sz w:val="14"/>
                <w:szCs w:val="14"/>
                <w:color w:val="auto"/>
              </w:rPr>
            </w:pPr>
          </w:p>
        </w:tc>
        <w:tc>
          <w:tcPr>
            <w:tcW w:w="1020" w:type="dxa"/>
            <w:vAlign w:val="bottom"/>
            <w:tcBorders>
              <w:top w:val="single" w:sz="8" w:color="51555C"/>
            </w:tcBorders>
          </w:tcPr>
          <w:p>
            <w:pPr>
              <w:jc w:val="right"/>
              <w:ind w:right="88"/>
              <w:spacing w:after="0" w:line="164" w:lineRule="exact"/>
              <w:rPr>
                <w:sz w:val="20"/>
                <w:szCs w:val="20"/>
                <w:color w:val="auto"/>
              </w:rPr>
            </w:pPr>
            <w:r>
              <w:rPr>
                <w:rFonts w:ascii="Calibri" w:cs="Calibri" w:eastAsia="Calibri" w:hAnsi="Calibri"/>
                <w:sz w:val="14"/>
                <w:szCs w:val="14"/>
                <w:color w:val="51555C"/>
              </w:rPr>
              <w:t>207.0</w:t>
            </w:r>
          </w:p>
        </w:tc>
        <w:tc>
          <w:tcPr>
            <w:tcW w:w="100" w:type="dxa"/>
            <w:vAlign w:val="bottom"/>
            <w:tcBorders>
              <w:top w:val="single" w:sz="8" w:color="51555C"/>
            </w:tcBorders>
          </w:tcPr>
          <w:p>
            <w:pPr>
              <w:spacing w:after="0"/>
              <w:rPr>
                <w:sz w:val="14"/>
                <w:szCs w:val="14"/>
                <w:color w:val="auto"/>
              </w:rPr>
            </w:pPr>
          </w:p>
        </w:tc>
        <w:tc>
          <w:tcPr>
            <w:tcW w:w="1220" w:type="dxa"/>
            <w:vAlign w:val="bottom"/>
            <w:tcBorders>
              <w:top w:val="single" w:sz="8" w:color="51555C"/>
            </w:tcBorders>
          </w:tcPr>
          <w:p>
            <w:pPr>
              <w:jc w:val="right"/>
              <w:ind w:right="88"/>
              <w:spacing w:after="0" w:line="164" w:lineRule="exact"/>
              <w:rPr>
                <w:sz w:val="20"/>
                <w:szCs w:val="20"/>
                <w:color w:val="auto"/>
              </w:rPr>
            </w:pPr>
            <w:r>
              <w:rPr>
                <w:rFonts w:ascii="Calibri" w:cs="Calibri" w:eastAsia="Calibri" w:hAnsi="Calibri"/>
                <w:sz w:val="14"/>
                <w:szCs w:val="14"/>
                <w:color w:val="51555C"/>
              </w:rPr>
              <w:t>189.3</w:t>
            </w:r>
          </w:p>
        </w:tc>
      </w:tr>
      <w:tr>
        <w:trPr>
          <w:trHeight w:val="60"/>
        </w:trPr>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29"/>
        </w:trPr>
        <w:tc>
          <w:tcPr>
            <w:tcW w:w="5840" w:type="dxa"/>
            <w:vAlign w:val="bottom"/>
            <w:shd w:val="clear" w:color="auto" w:fill="EBFBFF"/>
          </w:tcPr>
          <w:p>
            <w:pPr>
              <w:ind w:left="20"/>
              <w:spacing w:after="0" w:line="216" w:lineRule="exact"/>
              <w:rPr>
                <w:sz w:val="20"/>
                <w:szCs w:val="20"/>
                <w:color w:val="auto"/>
              </w:rPr>
            </w:pPr>
            <w:r>
              <w:rPr>
                <w:rFonts w:ascii="Calibri" w:cs="Calibri" w:eastAsia="Calibri" w:hAnsi="Calibri"/>
                <w:sz w:val="14"/>
                <w:szCs w:val="14"/>
                <w:color w:val="51555C"/>
              </w:rPr>
              <w:t>Assumed non-GAAP income tax provision</w:t>
            </w:r>
            <w:r>
              <w:rPr>
                <w:rFonts w:ascii="Calibri" w:cs="Calibri" w:eastAsia="Calibri" w:hAnsi="Calibri"/>
                <w:sz w:val="18"/>
                <w:szCs w:val="18"/>
                <w:color w:val="51555C"/>
                <w:vertAlign w:val="superscript"/>
              </w:rPr>
              <w:t>(3)</w:t>
            </w:r>
          </w:p>
        </w:tc>
        <w:tc>
          <w:tcPr>
            <w:tcW w:w="300" w:type="dxa"/>
            <w:vAlign w:val="bottom"/>
            <w:tcBorders>
              <w:bottom w:val="single" w:sz="8" w:color="51555C"/>
            </w:tcBorders>
            <w:shd w:val="clear" w:color="auto" w:fill="EBFBFF"/>
          </w:tcPr>
          <w:p>
            <w:pPr>
              <w:spacing w:after="0"/>
              <w:rPr>
                <w:sz w:val="19"/>
                <w:szCs w:val="19"/>
                <w:color w:val="auto"/>
              </w:rPr>
            </w:pPr>
          </w:p>
        </w:tc>
        <w:tc>
          <w:tcPr>
            <w:tcW w:w="1020" w:type="dxa"/>
            <w:vAlign w:val="bottom"/>
            <w:tcBorders>
              <w:bottom w:val="single" w:sz="8" w:color="51555C"/>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16.6</w:t>
            </w:r>
          </w:p>
        </w:tc>
        <w:tc>
          <w:tcPr>
            <w:tcW w:w="260" w:type="dxa"/>
            <w:vAlign w:val="bottom"/>
            <w:tcBorders>
              <w:bottom w:val="single" w:sz="8" w:color="51555C"/>
            </w:tcBorders>
            <w:shd w:val="clear" w:color="auto" w:fill="EBFBFF"/>
          </w:tcPr>
          <w:p>
            <w:pPr>
              <w:spacing w:after="0"/>
              <w:rPr>
                <w:sz w:val="19"/>
                <w:szCs w:val="19"/>
                <w:color w:val="auto"/>
              </w:rPr>
            </w:pPr>
          </w:p>
        </w:tc>
        <w:tc>
          <w:tcPr>
            <w:tcW w:w="1060" w:type="dxa"/>
            <w:vAlign w:val="bottom"/>
            <w:tcBorders>
              <w:bottom w:val="single" w:sz="8" w:color="51555C"/>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15.1</w:t>
            </w:r>
          </w:p>
        </w:tc>
        <w:tc>
          <w:tcPr>
            <w:tcW w:w="120" w:type="dxa"/>
            <w:vAlign w:val="bottom"/>
            <w:shd w:val="clear" w:color="auto" w:fill="EBFBFF"/>
          </w:tcPr>
          <w:p>
            <w:pPr>
              <w:spacing w:after="0"/>
              <w:rPr>
                <w:sz w:val="19"/>
                <w:szCs w:val="19"/>
                <w:color w:val="auto"/>
              </w:rPr>
            </w:pPr>
          </w:p>
        </w:tc>
        <w:tc>
          <w:tcPr>
            <w:tcW w:w="300" w:type="dxa"/>
            <w:vAlign w:val="bottom"/>
            <w:tcBorders>
              <w:bottom w:val="single" w:sz="8" w:color="51555C"/>
            </w:tcBorders>
            <w:shd w:val="clear" w:color="auto" w:fill="EBFBFF"/>
          </w:tcPr>
          <w:p>
            <w:pPr>
              <w:spacing w:after="0"/>
              <w:rPr>
                <w:sz w:val="19"/>
                <w:szCs w:val="19"/>
                <w:color w:val="auto"/>
              </w:rPr>
            </w:pPr>
          </w:p>
        </w:tc>
        <w:tc>
          <w:tcPr>
            <w:tcW w:w="1020" w:type="dxa"/>
            <w:vAlign w:val="bottom"/>
            <w:tcBorders>
              <w:bottom w:val="single" w:sz="8" w:color="51555C"/>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50.7</w:t>
            </w:r>
          </w:p>
        </w:tc>
        <w:tc>
          <w:tcPr>
            <w:tcW w:w="100" w:type="dxa"/>
            <w:vAlign w:val="bottom"/>
            <w:tcBorders>
              <w:bottom w:val="single" w:sz="8" w:color="51555C"/>
            </w:tcBorders>
            <w:shd w:val="clear" w:color="auto" w:fill="EBFBFF"/>
          </w:tcPr>
          <w:p>
            <w:pPr>
              <w:spacing w:after="0"/>
              <w:rPr>
                <w:sz w:val="19"/>
                <w:szCs w:val="19"/>
                <w:color w:val="auto"/>
              </w:rPr>
            </w:pPr>
          </w:p>
        </w:tc>
        <w:tc>
          <w:tcPr>
            <w:tcW w:w="1220" w:type="dxa"/>
            <w:vAlign w:val="bottom"/>
            <w:tcBorders>
              <w:bottom w:val="single" w:sz="8" w:color="51555C"/>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37.9</w:t>
            </w:r>
          </w:p>
        </w:tc>
      </w:tr>
      <w:tr>
        <w:trPr>
          <w:trHeight w:val="202"/>
        </w:trPr>
        <w:tc>
          <w:tcPr>
            <w:tcW w:w="5840" w:type="dxa"/>
            <w:vAlign w:val="bottom"/>
          </w:tcPr>
          <w:p>
            <w:pPr>
              <w:ind w:left="20"/>
              <w:spacing w:after="0" w:line="202" w:lineRule="exact"/>
              <w:rPr>
                <w:sz w:val="20"/>
                <w:szCs w:val="20"/>
                <w:color w:val="auto"/>
              </w:rPr>
            </w:pPr>
            <w:r>
              <w:rPr>
                <w:rFonts w:ascii="Calibri" w:cs="Calibri" w:eastAsia="Calibri" w:hAnsi="Calibri"/>
                <w:sz w:val="14"/>
                <w:szCs w:val="14"/>
                <w:b w:val="1"/>
                <w:bCs w:val="1"/>
                <w:color w:val="51555C"/>
              </w:rPr>
              <w:t>Non-GAAP net income</w:t>
            </w:r>
            <w:r>
              <w:rPr>
                <w:rFonts w:ascii="Calibri" w:cs="Calibri" w:eastAsia="Calibri" w:hAnsi="Calibri"/>
                <w:sz w:val="18"/>
                <w:szCs w:val="18"/>
                <w:b w:val="1"/>
                <w:bCs w:val="1"/>
                <w:color w:val="51555C"/>
                <w:vertAlign w:val="superscript"/>
              </w:rPr>
              <w:t>(1)</w:t>
            </w:r>
          </w:p>
        </w:tc>
        <w:tc>
          <w:tcPr>
            <w:tcW w:w="300" w:type="dxa"/>
            <w:vAlign w:val="bottom"/>
          </w:tcPr>
          <w:p>
            <w:pPr>
              <w:jc w:val="right"/>
              <w:ind w:right="128"/>
              <w:spacing w:after="0"/>
              <w:rPr>
                <w:sz w:val="20"/>
                <w:szCs w:val="20"/>
                <w:color w:val="auto"/>
              </w:rPr>
            </w:pPr>
            <w:r>
              <w:rPr>
                <w:rFonts w:ascii="Calibri" w:cs="Calibri" w:eastAsia="Calibri" w:hAnsi="Calibri"/>
                <w:sz w:val="14"/>
                <w:szCs w:val="14"/>
                <w:color w:val="51555C"/>
              </w:rPr>
              <w:t>$</w:t>
            </w: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51.1</w:t>
            </w:r>
          </w:p>
        </w:tc>
        <w:tc>
          <w:tcPr>
            <w:tcW w:w="260" w:type="dxa"/>
            <w:vAlign w:val="bottom"/>
          </w:tcPr>
          <w:p>
            <w:pPr>
              <w:jc w:val="right"/>
              <w:ind w:right="88"/>
              <w:spacing w:after="0"/>
              <w:rPr>
                <w:sz w:val="20"/>
                <w:szCs w:val="20"/>
                <w:color w:val="auto"/>
              </w:rPr>
            </w:pPr>
            <w:r>
              <w:rPr>
                <w:rFonts w:ascii="Calibri" w:cs="Calibri" w:eastAsia="Calibri" w:hAnsi="Calibri"/>
                <w:sz w:val="14"/>
                <w:szCs w:val="14"/>
                <w:color w:val="51555C"/>
              </w:rPr>
              <w:t>$</w:t>
            </w:r>
          </w:p>
        </w:tc>
        <w:tc>
          <w:tcPr>
            <w:tcW w:w="1060" w:type="dxa"/>
            <w:vAlign w:val="bottom"/>
          </w:tcPr>
          <w:p>
            <w:pPr>
              <w:jc w:val="right"/>
              <w:ind w:right="68"/>
              <w:spacing w:after="0"/>
              <w:rPr>
                <w:sz w:val="20"/>
                <w:szCs w:val="20"/>
                <w:color w:val="auto"/>
              </w:rPr>
            </w:pPr>
            <w:r>
              <w:rPr>
                <w:rFonts w:ascii="Calibri" w:cs="Calibri" w:eastAsia="Calibri" w:hAnsi="Calibri"/>
                <w:sz w:val="14"/>
                <w:szCs w:val="14"/>
                <w:color w:val="51555C"/>
              </w:rPr>
              <w:t>60.5</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Calibri" w:cs="Calibri" w:eastAsia="Calibri" w:hAnsi="Calibri"/>
                <w:sz w:val="14"/>
                <w:szCs w:val="14"/>
                <w:color w:val="51555C"/>
                <w:w w:val="83"/>
              </w:rPr>
              <w:t>$</w:t>
            </w:r>
          </w:p>
        </w:tc>
        <w:tc>
          <w:tcPr>
            <w:tcW w:w="1020" w:type="dxa"/>
            <w:vAlign w:val="bottom"/>
          </w:tcPr>
          <w:p>
            <w:pPr>
              <w:jc w:val="right"/>
              <w:ind w:right="88"/>
              <w:spacing w:after="0"/>
              <w:rPr>
                <w:sz w:val="20"/>
                <w:szCs w:val="20"/>
                <w:color w:val="auto"/>
              </w:rPr>
            </w:pPr>
            <w:r>
              <w:rPr>
                <w:rFonts w:ascii="Calibri" w:cs="Calibri" w:eastAsia="Calibri" w:hAnsi="Calibri"/>
                <w:sz w:val="14"/>
                <w:szCs w:val="14"/>
                <w:color w:val="51555C"/>
              </w:rPr>
              <w:t>156.3</w:t>
            </w:r>
          </w:p>
        </w:tc>
        <w:tc>
          <w:tcPr>
            <w:tcW w:w="100" w:type="dxa"/>
            <w:vAlign w:val="bottom"/>
          </w:tcPr>
          <w:p>
            <w:pPr>
              <w:jc w:val="right"/>
              <w:spacing w:after="0"/>
              <w:rPr>
                <w:sz w:val="20"/>
                <w:szCs w:val="20"/>
                <w:color w:val="auto"/>
              </w:rPr>
            </w:pPr>
            <w:r>
              <w:rPr>
                <w:rFonts w:ascii="Calibri" w:cs="Calibri" w:eastAsia="Calibri" w:hAnsi="Calibri"/>
                <w:sz w:val="14"/>
                <w:szCs w:val="14"/>
                <w:color w:val="51555C"/>
                <w:w w:val="83"/>
              </w:rPr>
              <w:t>$</w:t>
            </w:r>
          </w:p>
        </w:tc>
        <w:tc>
          <w:tcPr>
            <w:tcW w:w="1220" w:type="dxa"/>
            <w:vAlign w:val="bottom"/>
          </w:tcPr>
          <w:p>
            <w:pPr>
              <w:jc w:val="right"/>
              <w:ind w:right="88"/>
              <w:spacing w:after="0"/>
              <w:rPr>
                <w:sz w:val="20"/>
                <w:szCs w:val="20"/>
                <w:color w:val="auto"/>
              </w:rPr>
            </w:pPr>
            <w:r>
              <w:rPr>
                <w:rFonts w:ascii="Calibri" w:cs="Calibri" w:eastAsia="Calibri" w:hAnsi="Calibri"/>
                <w:sz w:val="14"/>
                <w:szCs w:val="14"/>
                <w:color w:val="51555C"/>
              </w:rPr>
              <w:t>151.5</w:t>
            </w:r>
          </w:p>
        </w:tc>
      </w:tr>
      <w:tr>
        <w:trPr>
          <w:trHeight w:val="60"/>
        </w:trPr>
        <w:tc>
          <w:tcPr>
            <w:tcW w:w="5840" w:type="dxa"/>
            <w:vAlign w:val="bottom"/>
            <w:tcBorders>
              <w:bottom w:val="single" w:sz="8" w:color="EBFBFF"/>
            </w:tcBorders>
          </w:tcPr>
          <w:p>
            <w:pPr>
              <w:spacing w:after="0"/>
              <w:rPr>
                <w:sz w:val="4"/>
                <w:szCs w:val="4"/>
                <w:color w:val="auto"/>
              </w:rPr>
            </w:pPr>
          </w:p>
        </w:tc>
        <w:tc>
          <w:tcPr>
            <w:tcW w:w="30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106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30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100" w:type="dxa"/>
            <w:vAlign w:val="bottom"/>
            <w:tcBorders>
              <w:bottom w:val="single" w:sz="8" w:color="51555C"/>
            </w:tcBorders>
          </w:tcPr>
          <w:p>
            <w:pPr>
              <w:spacing w:after="0"/>
              <w:rPr>
                <w:sz w:val="4"/>
                <w:szCs w:val="4"/>
                <w:color w:val="auto"/>
              </w:rPr>
            </w:pPr>
          </w:p>
        </w:tc>
        <w:tc>
          <w:tcPr>
            <w:tcW w:w="1220" w:type="dxa"/>
            <w:vAlign w:val="bottom"/>
            <w:tcBorders>
              <w:bottom w:val="single" w:sz="8" w:color="51555C"/>
            </w:tcBorders>
          </w:tcPr>
          <w:p>
            <w:pPr>
              <w:spacing w:after="0"/>
              <w:rPr>
                <w:sz w:val="4"/>
                <w:szCs w:val="4"/>
                <w:color w:val="auto"/>
              </w:rPr>
            </w:pPr>
          </w:p>
        </w:tc>
      </w:tr>
      <w:tr>
        <w:trPr>
          <w:trHeight w:val="170"/>
        </w:trPr>
        <w:tc>
          <w:tcPr>
            <w:tcW w:w="5840" w:type="dxa"/>
            <w:vAlign w:val="bottom"/>
            <w:tcBorders>
              <w:top w:val="single" w:sz="8" w:color="EBFBFF"/>
            </w:tcBorders>
          </w:tcPr>
          <w:p>
            <w:pPr>
              <w:ind w:left="20"/>
              <w:spacing w:after="0"/>
              <w:rPr>
                <w:sz w:val="20"/>
                <w:szCs w:val="20"/>
                <w:color w:val="auto"/>
              </w:rPr>
            </w:pPr>
            <w:r>
              <w:rPr>
                <w:rFonts w:ascii="Calibri" w:cs="Calibri" w:eastAsia="Calibri" w:hAnsi="Calibri"/>
                <w:sz w:val="14"/>
                <w:szCs w:val="14"/>
                <w:color w:val="51555C"/>
              </w:rPr>
              <w:t>Shares used in computng non-GAAP diluted earnings per share</w:t>
            </w:r>
          </w:p>
        </w:tc>
        <w:tc>
          <w:tcPr>
            <w:tcW w:w="300" w:type="dxa"/>
            <w:vAlign w:val="bottom"/>
            <w:tcBorders>
              <w:top w:val="single" w:sz="8" w:color="EBFBFF"/>
            </w:tcBorders>
          </w:tcPr>
          <w:p>
            <w:pPr>
              <w:spacing w:after="0"/>
              <w:rPr>
                <w:sz w:val="14"/>
                <w:szCs w:val="14"/>
                <w:color w:val="auto"/>
              </w:rPr>
            </w:pPr>
          </w:p>
        </w:tc>
        <w:tc>
          <w:tcPr>
            <w:tcW w:w="1020" w:type="dxa"/>
            <w:vAlign w:val="bottom"/>
            <w:tcBorders>
              <w:top w:val="single" w:sz="8" w:color="EBFBFF"/>
            </w:tcBorders>
          </w:tcPr>
          <w:p>
            <w:pPr>
              <w:jc w:val="right"/>
              <w:ind w:right="88"/>
              <w:spacing w:after="0"/>
              <w:rPr>
                <w:sz w:val="20"/>
                <w:szCs w:val="20"/>
                <w:color w:val="auto"/>
              </w:rPr>
            </w:pPr>
            <w:r>
              <w:rPr>
                <w:rFonts w:ascii="Calibri" w:cs="Calibri" w:eastAsia="Calibri" w:hAnsi="Calibri"/>
                <w:sz w:val="14"/>
                <w:szCs w:val="14"/>
                <w:color w:val="51555C"/>
              </w:rPr>
              <w:t>51,632,569</w:t>
            </w:r>
          </w:p>
        </w:tc>
        <w:tc>
          <w:tcPr>
            <w:tcW w:w="260" w:type="dxa"/>
            <w:vAlign w:val="bottom"/>
            <w:tcBorders>
              <w:top w:val="single" w:sz="8" w:color="EBFBFF"/>
            </w:tcBorders>
          </w:tcPr>
          <w:p>
            <w:pPr>
              <w:spacing w:after="0"/>
              <w:rPr>
                <w:sz w:val="14"/>
                <w:szCs w:val="14"/>
                <w:color w:val="auto"/>
              </w:rPr>
            </w:pPr>
          </w:p>
        </w:tc>
        <w:tc>
          <w:tcPr>
            <w:tcW w:w="1060" w:type="dxa"/>
            <w:vAlign w:val="bottom"/>
            <w:tcBorders>
              <w:top w:val="single" w:sz="8" w:color="EBFBFF"/>
            </w:tcBorders>
          </w:tcPr>
          <w:p>
            <w:pPr>
              <w:jc w:val="right"/>
              <w:ind w:right="68"/>
              <w:spacing w:after="0"/>
              <w:rPr>
                <w:sz w:val="20"/>
                <w:szCs w:val="20"/>
                <w:color w:val="auto"/>
              </w:rPr>
            </w:pPr>
            <w:r>
              <w:rPr>
                <w:rFonts w:ascii="Calibri" w:cs="Calibri" w:eastAsia="Calibri" w:hAnsi="Calibri"/>
                <w:sz w:val="14"/>
                <w:szCs w:val="14"/>
                <w:color w:val="51555C"/>
              </w:rPr>
              <w:t>54,089,897</w:t>
            </w:r>
          </w:p>
        </w:tc>
        <w:tc>
          <w:tcPr>
            <w:tcW w:w="120" w:type="dxa"/>
            <w:vAlign w:val="bottom"/>
            <w:tcBorders>
              <w:top w:val="single" w:sz="8" w:color="EBFBFF"/>
            </w:tcBorders>
          </w:tcPr>
          <w:p>
            <w:pPr>
              <w:spacing w:after="0"/>
              <w:rPr>
                <w:sz w:val="14"/>
                <w:szCs w:val="14"/>
                <w:color w:val="auto"/>
              </w:rPr>
            </w:pPr>
          </w:p>
        </w:tc>
        <w:tc>
          <w:tcPr>
            <w:tcW w:w="300" w:type="dxa"/>
            <w:vAlign w:val="bottom"/>
            <w:tcBorders>
              <w:top w:val="single" w:sz="8" w:color="EBFBFF"/>
            </w:tcBorders>
          </w:tcPr>
          <w:p>
            <w:pPr>
              <w:spacing w:after="0"/>
              <w:rPr>
                <w:sz w:val="14"/>
                <w:szCs w:val="14"/>
                <w:color w:val="auto"/>
              </w:rPr>
            </w:pPr>
          </w:p>
        </w:tc>
        <w:tc>
          <w:tcPr>
            <w:tcW w:w="1020" w:type="dxa"/>
            <w:vAlign w:val="bottom"/>
            <w:tcBorders>
              <w:top w:val="single" w:sz="8" w:color="EBFBFF"/>
            </w:tcBorders>
          </w:tcPr>
          <w:p>
            <w:pPr>
              <w:jc w:val="right"/>
              <w:ind w:right="88"/>
              <w:spacing w:after="0"/>
              <w:rPr>
                <w:sz w:val="20"/>
                <w:szCs w:val="20"/>
                <w:color w:val="auto"/>
              </w:rPr>
            </w:pPr>
            <w:r>
              <w:rPr>
                <w:rFonts w:ascii="Calibri" w:cs="Calibri" w:eastAsia="Calibri" w:hAnsi="Calibri"/>
                <w:sz w:val="14"/>
                <w:szCs w:val="14"/>
                <w:color w:val="51555C"/>
              </w:rPr>
              <w:t>52,107,147</w:t>
            </w:r>
          </w:p>
        </w:tc>
        <w:tc>
          <w:tcPr>
            <w:tcW w:w="100" w:type="dxa"/>
            <w:vAlign w:val="bottom"/>
            <w:tcBorders>
              <w:top w:val="single" w:sz="8" w:color="EBFBFF"/>
            </w:tcBorders>
          </w:tcPr>
          <w:p>
            <w:pPr>
              <w:spacing w:after="0"/>
              <w:rPr>
                <w:sz w:val="14"/>
                <w:szCs w:val="14"/>
                <w:color w:val="auto"/>
              </w:rPr>
            </w:pPr>
          </w:p>
        </w:tc>
        <w:tc>
          <w:tcPr>
            <w:tcW w:w="1220" w:type="dxa"/>
            <w:vAlign w:val="bottom"/>
            <w:tcBorders>
              <w:top w:val="single" w:sz="8" w:color="EBFBFF"/>
            </w:tcBorders>
          </w:tcPr>
          <w:p>
            <w:pPr>
              <w:jc w:val="right"/>
              <w:ind w:right="88"/>
              <w:spacing w:after="0"/>
              <w:rPr>
                <w:sz w:val="20"/>
                <w:szCs w:val="20"/>
                <w:color w:val="auto"/>
              </w:rPr>
            </w:pPr>
            <w:r>
              <w:rPr>
                <w:rFonts w:ascii="Calibri" w:cs="Calibri" w:eastAsia="Calibri" w:hAnsi="Calibri"/>
                <w:sz w:val="14"/>
                <w:szCs w:val="14"/>
                <w:color w:val="51555C"/>
              </w:rPr>
              <w:t>53,469,768</w:t>
            </w:r>
          </w:p>
        </w:tc>
      </w:tr>
      <w:tr>
        <w:trPr>
          <w:trHeight w:val="60"/>
        </w:trPr>
        <w:tc>
          <w:tcPr>
            <w:tcW w:w="5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10"/>
        </w:trPr>
        <w:tc>
          <w:tcPr>
            <w:tcW w:w="58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b w:val="1"/>
                <w:bCs w:val="1"/>
                <w:color w:val="51555C"/>
              </w:rPr>
              <w:t>Non-GAAP diluted earnings per share</w:t>
            </w:r>
          </w:p>
        </w:tc>
        <w:tc>
          <w:tcPr>
            <w:tcW w:w="300" w:type="dxa"/>
            <w:vAlign w:val="bottom"/>
            <w:tcBorders>
              <w:bottom w:val="single" w:sz="8" w:color="EBFBFF"/>
            </w:tcBorders>
            <w:shd w:val="clear" w:color="auto" w:fill="EBFBFF"/>
          </w:tcPr>
          <w:p>
            <w:pPr>
              <w:jc w:val="right"/>
              <w:ind w:right="128"/>
              <w:spacing w:after="0"/>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0.99</w:t>
            </w:r>
          </w:p>
        </w:tc>
        <w:tc>
          <w:tcPr>
            <w:tcW w:w="26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w:t>
            </w:r>
          </w:p>
        </w:tc>
        <w:tc>
          <w:tcPr>
            <w:tcW w:w="10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1.12</w:t>
            </w:r>
          </w:p>
        </w:tc>
        <w:tc>
          <w:tcPr>
            <w:tcW w:w="420" w:type="dxa"/>
            <w:vAlign w:val="bottom"/>
            <w:tcBorders>
              <w:bottom w:val="single" w:sz="8" w:color="EBFBFF"/>
            </w:tcBorders>
            <w:gridSpan w:val="2"/>
            <w:shd w:val="clear" w:color="auto" w:fill="EBFBFF"/>
          </w:tcPr>
          <w:p>
            <w:pPr>
              <w:jc w:val="right"/>
              <w:ind w:right="148"/>
              <w:spacing w:after="0"/>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3.00</w:t>
            </w:r>
          </w:p>
        </w:tc>
        <w:tc>
          <w:tcPr>
            <w:tcW w:w="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w w:val="83"/>
              </w:rPr>
              <w:t>$</w:t>
            </w:r>
          </w:p>
        </w:tc>
        <w:tc>
          <w:tcPr>
            <w:tcW w:w="12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2.83</w:t>
            </w:r>
          </w:p>
        </w:tc>
      </w:tr>
      <w:tr>
        <w:trPr>
          <w:trHeight w:val="20"/>
        </w:trPr>
        <w:tc>
          <w:tcPr>
            <w:tcW w:w="584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260" w:type="dxa"/>
            <w:vAlign w:val="bottom"/>
            <w:shd w:val="clear" w:color="auto" w:fill="0CD973"/>
          </w:tcPr>
          <w:p>
            <w:pPr>
              <w:spacing w:after="0" w:line="20" w:lineRule="exact"/>
              <w:rPr>
                <w:sz w:val="1"/>
                <w:szCs w:val="1"/>
                <w:color w:val="auto"/>
              </w:rPr>
            </w:pPr>
          </w:p>
        </w:tc>
        <w:tc>
          <w:tcPr>
            <w:tcW w:w="106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1220" w:type="dxa"/>
            <w:vAlign w:val="bottom"/>
            <w:shd w:val="clear" w:color="auto" w:fill="0CD9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-5185410</wp:posOffset>
            </wp:positionV>
            <wp:extent cx="34290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47" w:lineRule="exact"/>
        <w:rPr>
          <w:sz w:val="20"/>
          <w:szCs w:val="20"/>
          <w:color w:val="auto"/>
        </w:rPr>
      </w:pPr>
    </w:p>
    <w:p>
      <w:pPr>
        <w:ind w:left="340" w:hanging="332"/>
        <w:spacing w:after="0" w:line="233" w:lineRule="auto"/>
        <w:tabs>
          <w:tab w:leader="none" w:pos="338" w:val="left"/>
        </w:tabs>
        <w:numPr>
          <w:ilvl w:val="0"/>
          <w:numId w:val="28"/>
        </w:numPr>
        <w:rPr>
          <w:rFonts w:ascii="Calibri" w:cs="Calibri" w:eastAsia="Calibri" w:hAnsi="Calibri"/>
          <w:sz w:val="14"/>
          <w:szCs w:val="14"/>
          <w:color w:val="51555C"/>
        </w:rPr>
      </w:pPr>
      <w:r>
        <w:rPr>
          <w:rFonts w:ascii="Calibri" w:cs="Calibri" w:eastAsia="Calibri" w:hAnsi="Calibri"/>
          <w:sz w:val="14"/>
          <w:szCs w:val="14"/>
          <w:color w:val="51555C"/>
        </w:rPr>
        <w:t>The individual amounts for each year may not sum to subtotal, non-GAAP gross proft, non-GAAP income from operatons, non-GAAP income before provision for income taxes or non-GAAP net income due to rounding.</w:t>
      </w:r>
    </w:p>
    <w:p>
      <w:pPr>
        <w:spacing w:after="0" w:line="5" w:lineRule="exact"/>
        <w:rPr>
          <w:rFonts w:ascii="Calibri" w:cs="Calibri" w:eastAsia="Calibri" w:hAnsi="Calibri"/>
          <w:sz w:val="14"/>
          <w:szCs w:val="14"/>
          <w:color w:val="51555C"/>
        </w:rPr>
      </w:pPr>
    </w:p>
    <w:p>
      <w:pPr>
        <w:jc w:val="both"/>
        <w:ind w:left="340" w:hanging="332"/>
        <w:spacing w:after="0" w:line="242" w:lineRule="auto"/>
        <w:tabs>
          <w:tab w:leader="none" w:pos="338" w:val="left"/>
        </w:tabs>
        <w:numPr>
          <w:ilvl w:val="0"/>
          <w:numId w:val="28"/>
        </w:numPr>
        <w:rPr>
          <w:rFonts w:ascii="Calibri" w:cs="Calibri" w:eastAsia="Calibri" w:hAnsi="Calibri"/>
          <w:sz w:val="14"/>
          <w:szCs w:val="14"/>
          <w:color w:val="51555C"/>
        </w:rPr>
      </w:pPr>
      <w:r>
        <w:rPr>
          <w:rFonts w:ascii="Calibri" w:cs="Calibri" w:eastAsia="Calibri" w:hAnsi="Calibri"/>
          <w:sz w:val="14"/>
          <w:szCs w:val="14"/>
          <w:color w:val="51555C"/>
        </w:rPr>
        <w:t>Includes Security Incident-related costs incurred during the three months ended September 30, 2024 which were insignifcant, during the nine months ended September 30, 2024 of $12.8 million, which included approximately $6.8 million in recorded liabilites for loss contngencies, and during the three and nine months ended September 30, 2023 of $4.1 million and $48.6 million, respectvely, which included approximately $0.0 million and $30.0 million, respectvely, in recorded aggregate liabilites for loss contngencies. Recorded expenses consisted primarily of payments to third-party service providers and consultants, including legal fees, as well as setlements of customer claims, negotated setlements and accruals for certain loss contngencies. Not included in this adjustment were costs associated with enhancements to our cybersecurity program. For full year 2024, we currently expect pre-tax expenses of approximately $5 million to $10 million and cash outlays of approximately $8 million to $13 million for ongoing legal fees related to the Security Incident. Not included in these ranges are our previous setlements or current accruals for loss contngencies related to the maters discussed below. In line with our policy, legal fees are expensed as incurred. As of September 30, 2024, we have recorded approximately $0.7 million in aggregate liabilites for loss contngencies based primarily on recent negotatons with certain customers related to the Security Incident that we believe we can reasonably estmate. During the third quarter of 2024, we paid $6.8 million in connecton with our setlement with the Atorney General of the State of California (as previously disclosed on June 14, 2024). It is reasonably possible that our estmated or actual losses may change in the near term for those maters and be materially in excess of the amounts accrued, but we are unable at this tme to reasonably estmate the possible additonal loss. There are other Security Incident-related maters, including customer claims, customer consttuent class actons and governmental investgatons, for which we have not recorded a liability for a loss contngency as of September 30, 2024 because we are unable at this tme to reasonably estmate the possible loss or range of loss. Each of these maters could, separately or in the aggregate, result in an adverse judgment, setlement, fne, penalty or other resoluton, the amount, scope and tming of which we are currently unable to predict, but could have a material adverse impact on our results of operatons, cash fows or fnancial conditon.</w:t>
      </w: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40</w:t>
      </w:r>
      <w:r>
        <w:rPr>
          <w:sz w:val="20"/>
          <w:szCs w:val="20"/>
          <w:color w:val="auto"/>
        </w:rPr>
        <w:tab/>
      </w:r>
      <w:r>
        <w:rPr>
          <w:sz w:val="1"/>
          <w:szCs w:val="1"/>
          <w:color w:val="auto"/>
        </w:rPr>
        <w:drawing>
          <wp:inline distT="0" distB="0" distL="0" distR="0">
            <wp:extent cx="651510" cy="1714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42" w:lineRule="exact"/>
        <w:rPr>
          <w:sz w:val="20"/>
          <w:szCs w:val="20"/>
          <w:color w:val="auto"/>
        </w:rPr>
      </w:pPr>
    </w:p>
    <w:p>
      <w:pPr>
        <w:ind w:left="340" w:right="40" w:hanging="332"/>
        <w:spacing w:after="0" w:line="245" w:lineRule="auto"/>
        <w:tabs>
          <w:tab w:leader="none" w:pos="338" w:val="left"/>
        </w:tabs>
        <w:numPr>
          <w:ilvl w:val="0"/>
          <w:numId w:val="29"/>
        </w:numPr>
        <w:rPr>
          <w:rFonts w:ascii="Calibri" w:cs="Calibri" w:eastAsia="Calibri" w:hAnsi="Calibri"/>
          <w:sz w:val="14"/>
          <w:szCs w:val="14"/>
          <w:color w:val="51555C"/>
        </w:rPr>
      </w:pPr>
      <w:r>
        <w:rPr>
          <w:rFonts w:ascii="Calibri" w:cs="Calibri" w:eastAsia="Calibri" w:hAnsi="Calibri"/>
          <w:sz w:val="14"/>
          <w:szCs w:val="14"/>
          <w:color w:val="51555C"/>
        </w:rPr>
        <w:t>Beginning in 2024, we now apply a non-GAAP efectve tax rate of 24.5% when calculatng non-GAAP net income and non-GAAP diluted earnings per share. For the three and nine months ended September 30, 2023, the tax impact related to non-GAAP adjustments is calculated under our historical non-GAAP efectve tax rate of 20.0%.</w:t>
      </w:r>
    </w:p>
    <w:p>
      <w:pPr>
        <w:spacing w:after="0" w:line="16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Non-GAAP organic revenue growth</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additon, we use non-GAAP organic revenue growth, non-GAAP organic revenue growth on a constant currency basis, non-GAAP organic recurring revenue growth and non-GAAP organic recurring revenue growth on a constant currency basis in analyzing our operatng performance. We believe that these non-GAAP measures are useful to investors, as a supplement to GAAP measures, for evaluatng the periodic growth of our business on a consistent basis. Each of these measures of non-GAAP organic revenue growth excludes incremental acquisiton-related revenue atributable to companies, if any, acquired in the current fscal year. For companies, if any, acquired in the immediately preceding fscal year, each of these non-GAAP organic revenue growth measures refects presentaton of full year incremental non-GAAP revenue derived from such companies as if they were combined throughout the prior period. In additon,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tme in both the prior and current periods. We believe this presentaton provides a more comparable representaton of our current business’ organic revenue growth and revenue run-rate.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8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2120" w:type="dxa"/>
            <w:vAlign w:val="bottom"/>
            <w:tcBorders>
              <w:right w:val="single" w:sz="8" w:color="004054"/>
            </w:tcBorders>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Three months ended</w:t>
            </w:r>
          </w:p>
        </w:tc>
        <w:tc>
          <w:tcPr>
            <w:tcW w:w="80" w:type="dxa"/>
            <w:vAlign w:val="bottom"/>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80" w:type="dxa"/>
            <w:vAlign w:val="bottom"/>
            <w:shd w:val="clear" w:color="auto" w:fill="004054"/>
          </w:tcPr>
          <w:p>
            <w:pPr>
              <w:spacing w:after="0"/>
              <w:rPr>
                <w:sz w:val="15"/>
                <w:szCs w:val="15"/>
                <w:color w:val="auto"/>
              </w:rPr>
            </w:pPr>
          </w:p>
        </w:tc>
        <w:tc>
          <w:tcPr>
            <w:tcW w:w="1240" w:type="dxa"/>
            <w:vAlign w:val="bottom"/>
            <w:gridSpan w:val="2"/>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c>
          <w:tcPr>
            <w:tcW w:w="20" w:type="dxa"/>
            <w:vAlign w:val="bottom"/>
            <w:shd w:val="clear" w:color="auto" w:fill="004054"/>
          </w:tcPr>
          <w:p>
            <w:pPr>
              <w:spacing w:after="0"/>
              <w:rPr>
                <w:sz w:val="15"/>
                <w:szCs w:val="15"/>
                <w:color w:val="auto"/>
              </w:rPr>
            </w:pPr>
          </w:p>
        </w:tc>
      </w:tr>
      <w:tr>
        <w:trPr>
          <w:trHeight w:val="170"/>
        </w:trPr>
        <w:tc>
          <w:tcPr>
            <w:tcW w:w="5980" w:type="dxa"/>
            <w:vAlign w:val="bottom"/>
            <w:shd w:val="clear" w:color="auto" w:fill="004054"/>
          </w:tcPr>
          <w:p>
            <w:pPr>
              <w:spacing w:after="0"/>
              <w:rPr>
                <w:sz w:val="14"/>
                <w:szCs w:val="14"/>
                <w:color w:val="auto"/>
              </w:rPr>
            </w:pPr>
          </w:p>
        </w:tc>
        <w:tc>
          <w:tcPr>
            <w:tcW w:w="460" w:type="dxa"/>
            <w:vAlign w:val="bottom"/>
            <w:shd w:val="clear" w:color="auto" w:fill="004054"/>
          </w:tcPr>
          <w:p>
            <w:pPr>
              <w:spacing w:after="0"/>
              <w:rPr>
                <w:sz w:val="14"/>
                <w:szCs w:val="14"/>
                <w:color w:val="auto"/>
              </w:rPr>
            </w:pPr>
          </w:p>
        </w:tc>
        <w:tc>
          <w:tcPr>
            <w:tcW w:w="880" w:type="dxa"/>
            <w:vAlign w:val="bottom"/>
            <w:shd w:val="clear" w:color="auto" w:fill="004054"/>
          </w:tcPr>
          <w:p>
            <w:pPr>
              <w:spacing w:after="0"/>
              <w:rPr>
                <w:sz w:val="14"/>
                <w:szCs w:val="14"/>
                <w:color w:val="auto"/>
              </w:rPr>
            </w:pPr>
          </w:p>
        </w:tc>
        <w:tc>
          <w:tcPr>
            <w:tcW w:w="200" w:type="dxa"/>
            <w:vAlign w:val="bottom"/>
            <w:shd w:val="clear" w:color="auto" w:fill="004054"/>
          </w:tcPr>
          <w:p>
            <w:pPr>
              <w:spacing w:after="0"/>
              <w:rPr>
                <w:sz w:val="14"/>
                <w:szCs w:val="14"/>
                <w:color w:val="auto"/>
              </w:rPr>
            </w:pPr>
          </w:p>
        </w:tc>
        <w:tc>
          <w:tcPr>
            <w:tcW w:w="104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80" w:type="dxa"/>
            <w:vAlign w:val="bottom"/>
          </w:tcPr>
          <w:p>
            <w:pPr>
              <w:spacing w:after="0"/>
              <w:rPr>
                <w:sz w:val="14"/>
                <w:szCs w:val="14"/>
                <w:color w:val="auto"/>
              </w:rPr>
            </w:pPr>
          </w:p>
        </w:tc>
        <w:tc>
          <w:tcPr>
            <w:tcW w:w="480" w:type="dxa"/>
            <w:vAlign w:val="bottom"/>
            <w:shd w:val="clear" w:color="auto" w:fill="004054"/>
          </w:tcPr>
          <w:p>
            <w:pPr>
              <w:spacing w:after="0"/>
              <w:rPr>
                <w:sz w:val="14"/>
                <w:szCs w:val="14"/>
                <w:color w:val="auto"/>
              </w:rPr>
            </w:pPr>
          </w:p>
        </w:tc>
        <w:tc>
          <w:tcPr>
            <w:tcW w:w="880" w:type="dxa"/>
            <w:vAlign w:val="bottom"/>
            <w:shd w:val="clear" w:color="auto" w:fill="004054"/>
          </w:tcPr>
          <w:p>
            <w:pPr>
              <w:spacing w:after="0"/>
              <w:rPr>
                <w:sz w:val="14"/>
                <w:szCs w:val="14"/>
                <w:color w:val="auto"/>
              </w:rPr>
            </w:pPr>
          </w:p>
        </w:tc>
        <w:tc>
          <w:tcPr>
            <w:tcW w:w="220" w:type="dxa"/>
            <w:vAlign w:val="bottom"/>
            <w:shd w:val="clear" w:color="auto" w:fill="004054"/>
          </w:tcPr>
          <w:p>
            <w:pPr>
              <w:spacing w:after="0"/>
              <w:rPr>
                <w:sz w:val="14"/>
                <w:szCs w:val="14"/>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20" w:type="dxa"/>
            <w:vAlign w:val="bottom"/>
            <w:shd w:val="clear" w:color="auto" w:fill="004054"/>
          </w:tcPr>
          <w:p>
            <w:pPr>
              <w:spacing w:after="0"/>
              <w:rPr>
                <w:sz w:val="14"/>
                <w:szCs w:val="14"/>
                <w:color w:val="auto"/>
              </w:rPr>
            </w:pPr>
          </w:p>
        </w:tc>
      </w:tr>
      <w:tr>
        <w:trPr>
          <w:trHeight w:val="378"/>
        </w:trPr>
        <w:tc>
          <w:tcPr>
            <w:tcW w:w="59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460" w:type="dxa"/>
            <w:vAlign w:val="bottom"/>
            <w:shd w:val="clear" w:color="auto" w:fill="004054"/>
          </w:tcPr>
          <w:p>
            <w:pPr>
              <w:spacing w:after="0"/>
              <w:rPr>
                <w:sz w:val="24"/>
                <w:szCs w:val="24"/>
                <w:color w:val="auto"/>
              </w:rPr>
            </w:pPr>
          </w:p>
        </w:tc>
        <w:tc>
          <w:tcPr>
            <w:tcW w:w="8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00" w:type="dxa"/>
            <w:vAlign w:val="bottom"/>
            <w:shd w:val="clear" w:color="auto" w:fill="004054"/>
          </w:tcPr>
          <w:p>
            <w:pPr>
              <w:spacing w:after="0"/>
              <w:rPr>
                <w:sz w:val="24"/>
                <w:szCs w:val="24"/>
                <w:color w:val="auto"/>
              </w:rPr>
            </w:pPr>
          </w:p>
        </w:tc>
        <w:tc>
          <w:tcPr>
            <w:tcW w:w="104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80" w:type="dxa"/>
            <w:vAlign w:val="bottom"/>
          </w:tcPr>
          <w:p>
            <w:pPr>
              <w:spacing w:after="0"/>
              <w:rPr>
                <w:sz w:val="24"/>
                <w:szCs w:val="24"/>
                <w:color w:val="auto"/>
              </w:rPr>
            </w:pPr>
          </w:p>
        </w:tc>
        <w:tc>
          <w:tcPr>
            <w:tcW w:w="480" w:type="dxa"/>
            <w:vAlign w:val="bottom"/>
            <w:shd w:val="clear" w:color="auto" w:fill="004054"/>
          </w:tcPr>
          <w:p>
            <w:pPr>
              <w:spacing w:after="0"/>
              <w:rPr>
                <w:sz w:val="24"/>
                <w:szCs w:val="24"/>
                <w:color w:val="auto"/>
              </w:rPr>
            </w:pPr>
          </w:p>
        </w:tc>
        <w:tc>
          <w:tcPr>
            <w:tcW w:w="8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20" w:type="dxa"/>
            <w:vAlign w:val="bottom"/>
            <w:shd w:val="clear" w:color="auto" w:fill="004054"/>
          </w:tcPr>
          <w:p>
            <w:pPr>
              <w:spacing w:after="0"/>
              <w:rPr>
                <w:sz w:val="24"/>
                <w:szCs w:val="24"/>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24"/>
                <w:szCs w:val="24"/>
                <w:color w:val="auto"/>
              </w:rPr>
            </w:pPr>
          </w:p>
        </w:tc>
      </w:tr>
      <w:tr>
        <w:trPr>
          <w:trHeight w:val="80"/>
        </w:trPr>
        <w:tc>
          <w:tcPr>
            <w:tcW w:w="5980" w:type="dxa"/>
            <w:vAlign w:val="bottom"/>
            <w:tcBorders>
              <w:bottom w:val="single" w:sz="8" w:color="004054"/>
            </w:tcBorders>
            <w:shd w:val="clear" w:color="auto" w:fill="004054"/>
          </w:tcPr>
          <w:p>
            <w:pPr>
              <w:spacing w:after="0"/>
              <w:rPr>
                <w:sz w:val="7"/>
                <w:szCs w:val="7"/>
                <w:color w:val="auto"/>
              </w:rPr>
            </w:pPr>
          </w:p>
        </w:tc>
        <w:tc>
          <w:tcPr>
            <w:tcW w:w="460" w:type="dxa"/>
            <w:vAlign w:val="bottom"/>
            <w:tcBorders>
              <w:bottom w:val="single" w:sz="8" w:color="004054"/>
            </w:tcBorders>
            <w:shd w:val="clear" w:color="auto" w:fill="004054"/>
          </w:tcPr>
          <w:p>
            <w:pPr>
              <w:spacing w:after="0"/>
              <w:rPr>
                <w:sz w:val="7"/>
                <w:szCs w:val="7"/>
                <w:color w:val="auto"/>
              </w:rPr>
            </w:pPr>
          </w:p>
        </w:tc>
        <w:tc>
          <w:tcPr>
            <w:tcW w:w="880" w:type="dxa"/>
            <w:vAlign w:val="bottom"/>
            <w:tcBorders>
              <w:bottom w:val="single" w:sz="8" w:color="004054"/>
            </w:tcBorders>
            <w:shd w:val="clear" w:color="auto" w:fill="004054"/>
          </w:tcPr>
          <w:p>
            <w:pPr>
              <w:spacing w:after="0"/>
              <w:rPr>
                <w:sz w:val="7"/>
                <w:szCs w:val="7"/>
                <w:color w:val="auto"/>
              </w:rPr>
            </w:pPr>
          </w:p>
        </w:tc>
        <w:tc>
          <w:tcPr>
            <w:tcW w:w="200" w:type="dxa"/>
            <w:vAlign w:val="bottom"/>
            <w:tcBorders>
              <w:bottom w:val="single" w:sz="8" w:color="004054"/>
            </w:tcBorders>
            <w:shd w:val="clear" w:color="auto" w:fill="004054"/>
          </w:tcPr>
          <w:p>
            <w:pPr>
              <w:spacing w:after="0"/>
              <w:rPr>
                <w:sz w:val="7"/>
                <w:szCs w:val="7"/>
                <w:color w:val="auto"/>
              </w:rPr>
            </w:pPr>
          </w:p>
        </w:tc>
        <w:tc>
          <w:tcPr>
            <w:tcW w:w="1040" w:type="dxa"/>
            <w:vAlign w:val="bottom"/>
            <w:tcBorders>
              <w:bottom w:val="single" w:sz="8" w:color="004054"/>
              <w:right w:val="single" w:sz="8" w:color="004054"/>
            </w:tcBorders>
            <w:shd w:val="clear" w:color="auto" w:fill="004054"/>
          </w:tcPr>
          <w:p>
            <w:pPr>
              <w:spacing w:after="0"/>
              <w:rPr>
                <w:sz w:val="7"/>
                <w:szCs w:val="7"/>
                <w:color w:val="auto"/>
              </w:rPr>
            </w:pPr>
          </w:p>
        </w:tc>
        <w:tc>
          <w:tcPr>
            <w:tcW w:w="80" w:type="dxa"/>
            <w:vAlign w:val="bottom"/>
            <w:tcBorders>
              <w:bottom w:val="single" w:sz="8" w:color="EBFBFF"/>
            </w:tcBorders>
          </w:tcPr>
          <w:p>
            <w:pPr>
              <w:spacing w:after="0"/>
              <w:rPr>
                <w:sz w:val="7"/>
                <w:szCs w:val="7"/>
                <w:color w:val="auto"/>
              </w:rPr>
            </w:pPr>
          </w:p>
        </w:tc>
        <w:tc>
          <w:tcPr>
            <w:tcW w:w="480" w:type="dxa"/>
            <w:vAlign w:val="bottom"/>
            <w:tcBorders>
              <w:bottom w:val="single" w:sz="8" w:color="004054"/>
            </w:tcBorders>
            <w:shd w:val="clear" w:color="auto" w:fill="004054"/>
          </w:tcPr>
          <w:p>
            <w:pPr>
              <w:spacing w:after="0"/>
              <w:rPr>
                <w:sz w:val="7"/>
                <w:szCs w:val="7"/>
                <w:color w:val="auto"/>
              </w:rPr>
            </w:pPr>
          </w:p>
        </w:tc>
        <w:tc>
          <w:tcPr>
            <w:tcW w:w="880" w:type="dxa"/>
            <w:vAlign w:val="bottom"/>
            <w:tcBorders>
              <w:bottom w:val="single" w:sz="8" w:color="004054"/>
            </w:tcBorders>
            <w:shd w:val="clear" w:color="auto" w:fill="004054"/>
          </w:tcPr>
          <w:p>
            <w:pPr>
              <w:spacing w:after="0"/>
              <w:rPr>
                <w:sz w:val="7"/>
                <w:szCs w:val="7"/>
                <w:color w:val="auto"/>
              </w:rPr>
            </w:pPr>
          </w:p>
        </w:tc>
        <w:tc>
          <w:tcPr>
            <w:tcW w:w="220" w:type="dxa"/>
            <w:vAlign w:val="bottom"/>
            <w:tcBorders>
              <w:bottom w:val="single" w:sz="8" w:color="004054"/>
            </w:tcBorders>
            <w:shd w:val="clear" w:color="auto" w:fill="004054"/>
          </w:tcPr>
          <w:p>
            <w:pPr>
              <w:spacing w:after="0"/>
              <w:rPr>
                <w:sz w:val="7"/>
                <w:szCs w:val="7"/>
                <w:color w:val="auto"/>
              </w:rPr>
            </w:pPr>
          </w:p>
        </w:tc>
        <w:tc>
          <w:tcPr>
            <w:tcW w:w="1020" w:type="dxa"/>
            <w:vAlign w:val="bottom"/>
            <w:tcBorders>
              <w:bottom w:val="single" w:sz="8" w:color="004054"/>
            </w:tcBorders>
            <w:shd w:val="clear" w:color="auto" w:fill="004054"/>
          </w:tcPr>
          <w:p>
            <w:pPr>
              <w:spacing w:after="0"/>
              <w:rPr>
                <w:sz w:val="7"/>
                <w:szCs w:val="7"/>
                <w:color w:val="auto"/>
              </w:rPr>
            </w:pPr>
          </w:p>
        </w:tc>
        <w:tc>
          <w:tcPr>
            <w:tcW w:w="20" w:type="dxa"/>
            <w:vAlign w:val="bottom"/>
            <w:tcBorders>
              <w:bottom w:val="single" w:sz="8" w:color="004054"/>
            </w:tcBorders>
            <w:shd w:val="clear" w:color="auto" w:fill="004054"/>
          </w:tcPr>
          <w:p>
            <w:pPr>
              <w:spacing w:after="0"/>
              <w:rPr>
                <w:sz w:val="7"/>
                <w:szCs w:val="7"/>
                <w:color w:val="auto"/>
              </w:rPr>
            </w:pPr>
          </w:p>
        </w:tc>
      </w:tr>
      <w:tr>
        <w:trPr>
          <w:trHeight w:val="203"/>
        </w:trPr>
        <w:tc>
          <w:tcPr>
            <w:tcW w:w="5980" w:type="dxa"/>
            <w:vAlign w:val="bottom"/>
            <w:tcBorders>
              <w:top w:val="single" w:sz="8" w:color="004054"/>
            </w:tcBorders>
            <w:shd w:val="clear" w:color="auto" w:fill="EBFBFF"/>
          </w:tcPr>
          <w:p>
            <w:pPr>
              <w:ind w:left="20"/>
              <w:spacing w:after="0" w:line="203" w:lineRule="exact"/>
              <w:rPr>
                <w:sz w:val="20"/>
                <w:szCs w:val="20"/>
                <w:color w:val="auto"/>
              </w:rPr>
            </w:pPr>
            <w:r>
              <w:rPr>
                <w:rFonts w:ascii="Calibri" w:cs="Calibri" w:eastAsia="Calibri" w:hAnsi="Calibri"/>
                <w:sz w:val="14"/>
                <w:szCs w:val="14"/>
                <w:color w:val="51555C"/>
              </w:rPr>
              <w:t>GAAP revenue</w:t>
            </w:r>
            <w:r>
              <w:rPr>
                <w:rFonts w:ascii="Calibri" w:cs="Calibri" w:eastAsia="Calibri" w:hAnsi="Calibri"/>
                <w:sz w:val="18"/>
                <w:szCs w:val="18"/>
                <w:color w:val="51555C"/>
                <w:vertAlign w:val="superscript"/>
              </w:rPr>
              <w:t>(1)</w:t>
            </w:r>
          </w:p>
        </w:tc>
        <w:tc>
          <w:tcPr>
            <w:tcW w:w="460" w:type="dxa"/>
            <w:vAlign w:val="bottom"/>
            <w:tcBorders>
              <w:top w:val="single" w:sz="8" w:color="004054"/>
            </w:tcBorders>
            <w:shd w:val="clear" w:color="auto" w:fill="EBFBFF"/>
          </w:tcPr>
          <w:p>
            <w:pPr>
              <w:jc w:val="right"/>
              <w:ind w:right="308"/>
              <w:spacing w:after="0"/>
              <w:rPr>
                <w:sz w:val="20"/>
                <w:szCs w:val="20"/>
                <w:color w:val="auto"/>
              </w:rPr>
            </w:pPr>
            <w:r>
              <w:rPr>
                <w:rFonts w:ascii="Calibri" w:cs="Calibri" w:eastAsia="Calibri" w:hAnsi="Calibri"/>
                <w:sz w:val="14"/>
                <w:szCs w:val="14"/>
                <w:color w:val="51555C"/>
                <w:w w:val="83"/>
              </w:rPr>
              <w:t>$</w:t>
            </w:r>
          </w:p>
        </w:tc>
        <w:tc>
          <w:tcPr>
            <w:tcW w:w="880" w:type="dxa"/>
            <w:vAlign w:val="bottom"/>
            <w:tcBorders>
              <w:top w:val="single" w:sz="8" w:color="004054"/>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286.7</w:t>
            </w:r>
          </w:p>
        </w:tc>
        <w:tc>
          <w:tcPr>
            <w:tcW w:w="200" w:type="dxa"/>
            <w:vAlign w:val="bottom"/>
            <w:tcBorders>
              <w:top w:val="single" w:sz="8" w:color="004054"/>
            </w:tcBorders>
            <w:shd w:val="clear" w:color="auto" w:fill="EBFBFF"/>
          </w:tcPr>
          <w:p>
            <w:pPr>
              <w:jc w:val="right"/>
              <w:ind w:right="4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top w:val="single" w:sz="8" w:color="004054"/>
              <w:right w:val="single" w:sz="8" w:color="EBFBFF"/>
            </w:tcBorders>
            <w:shd w:val="clear" w:color="auto" w:fill="EBFBFF"/>
          </w:tcPr>
          <w:p>
            <w:pPr>
              <w:jc w:val="right"/>
              <w:ind w:right="8"/>
              <w:spacing w:after="0"/>
              <w:rPr>
                <w:sz w:val="20"/>
                <w:szCs w:val="20"/>
                <w:color w:val="auto"/>
              </w:rPr>
            </w:pPr>
            <w:r>
              <w:rPr>
                <w:rFonts w:ascii="Calibri" w:cs="Calibri" w:eastAsia="Calibri" w:hAnsi="Calibri"/>
                <w:sz w:val="14"/>
                <w:szCs w:val="14"/>
                <w:color w:val="51555C"/>
              </w:rPr>
              <w:t>277.6</w:t>
            </w:r>
          </w:p>
        </w:tc>
        <w:tc>
          <w:tcPr>
            <w:tcW w:w="80" w:type="dxa"/>
            <w:vAlign w:val="bottom"/>
            <w:tcBorders>
              <w:top w:val="single" w:sz="8" w:color="EBFBFF"/>
            </w:tcBorders>
            <w:shd w:val="clear" w:color="auto" w:fill="EBFBFF"/>
          </w:tcPr>
          <w:p>
            <w:pPr>
              <w:spacing w:after="0"/>
              <w:rPr>
                <w:sz w:val="17"/>
                <w:szCs w:val="17"/>
                <w:color w:val="auto"/>
              </w:rPr>
            </w:pPr>
          </w:p>
        </w:tc>
        <w:tc>
          <w:tcPr>
            <w:tcW w:w="480" w:type="dxa"/>
            <w:vAlign w:val="bottom"/>
            <w:tcBorders>
              <w:top w:val="single" w:sz="8" w:color="EBFBFF"/>
            </w:tcBorders>
            <w:shd w:val="clear" w:color="auto" w:fill="EBFBFF"/>
          </w:tcPr>
          <w:p>
            <w:pPr>
              <w:jc w:val="right"/>
              <w:ind w:right="308"/>
              <w:spacing w:after="0" w:line="150" w:lineRule="exact"/>
              <w:rPr>
                <w:sz w:val="20"/>
                <w:szCs w:val="20"/>
                <w:color w:val="auto"/>
              </w:rPr>
            </w:pPr>
            <w:r>
              <w:rPr>
                <w:rFonts w:ascii="Calibri" w:cs="Calibri" w:eastAsia="Calibri" w:hAnsi="Calibri"/>
                <w:sz w:val="14"/>
                <w:szCs w:val="14"/>
                <w:color w:val="51555C"/>
              </w:rPr>
              <w:t>$</w:t>
            </w:r>
          </w:p>
        </w:tc>
        <w:tc>
          <w:tcPr>
            <w:tcW w:w="880" w:type="dxa"/>
            <w:vAlign w:val="bottom"/>
            <w:tcBorders>
              <w:top w:val="single" w:sz="8" w:color="EBFBFF"/>
            </w:tcBorders>
            <w:shd w:val="clear" w:color="auto" w:fill="EBFBFF"/>
          </w:tcPr>
          <w:p>
            <w:pPr>
              <w:jc w:val="right"/>
              <w:ind w:right="88"/>
              <w:spacing w:after="0" w:line="150" w:lineRule="exact"/>
              <w:rPr>
                <w:sz w:val="20"/>
                <w:szCs w:val="20"/>
                <w:color w:val="auto"/>
              </w:rPr>
            </w:pPr>
            <w:r>
              <w:rPr>
                <w:rFonts w:ascii="Calibri" w:cs="Calibri" w:eastAsia="Calibri" w:hAnsi="Calibri"/>
                <w:sz w:val="14"/>
                <w:szCs w:val="14"/>
                <w:color w:val="51555C"/>
              </w:rPr>
              <w:t>853.3</w:t>
            </w:r>
          </w:p>
        </w:tc>
        <w:tc>
          <w:tcPr>
            <w:tcW w:w="220" w:type="dxa"/>
            <w:vAlign w:val="bottom"/>
            <w:tcBorders>
              <w:top w:val="single" w:sz="8" w:color="EBFBFF"/>
            </w:tcBorders>
            <w:shd w:val="clear" w:color="auto" w:fill="EBFBFF"/>
          </w:tcPr>
          <w:p>
            <w:pPr>
              <w:jc w:val="right"/>
              <w:ind w:right="68"/>
              <w:spacing w:after="0" w:line="150" w:lineRule="exact"/>
              <w:rPr>
                <w:sz w:val="20"/>
                <w:szCs w:val="20"/>
                <w:color w:val="auto"/>
              </w:rPr>
            </w:pPr>
            <w:r>
              <w:rPr>
                <w:rFonts w:ascii="Calibri" w:cs="Calibri" w:eastAsia="Calibri" w:hAnsi="Calibri"/>
                <w:sz w:val="14"/>
                <w:szCs w:val="14"/>
                <w:color w:val="51555C"/>
                <w:w w:val="83"/>
              </w:rPr>
              <w:t>$</w:t>
            </w:r>
          </w:p>
        </w:tc>
        <w:tc>
          <w:tcPr>
            <w:tcW w:w="1020" w:type="dxa"/>
            <w:vAlign w:val="bottom"/>
            <w:tcBorders>
              <w:top w:val="single" w:sz="8" w:color="EBFBFF"/>
            </w:tcBorders>
            <w:shd w:val="clear" w:color="auto" w:fill="EBFBFF"/>
          </w:tcPr>
          <w:p>
            <w:pPr>
              <w:jc w:val="right"/>
              <w:spacing w:after="0" w:line="150" w:lineRule="exact"/>
              <w:rPr>
                <w:sz w:val="20"/>
                <w:szCs w:val="20"/>
                <w:color w:val="auto"/>
              </w:rPr>
            </w:pPr>
            <w:r>
              <w:rPr>
                <w:rFonts w:ascii="Calibri" w:cs="Calibri" w:eastAsia="Calibri" w:hAnsi="Calibri"/>
                <w:sz w:val="14"/>
                <w:szCs w:val="14"/>
                <w:color w:val="51555C"/>
              </w:rPr>
              <w:t>810.4</w:t>
            </w:r>
          </w:p>
        </w:tc>
        <w:tc>
          <w:tcPr>
            <w:tcW w:w="20" w:type="dxa"/>
            <w:vAlign w:val="bottom"/>
          </w:tcPr>
          <w:p>
            <w:pPr>
              <w:spacing w:after="0"/>
              <w:rPr>
                <w:sz w:val="17"/>
                <w:szCs w:val="17"/>
                <w:color w:val="auto"/>
              </w:rPr>
            </w:pPr>
          </w:p>
        </w:tc>
      </w:tr>
      <w:tr>
        <w:trPr>
          <w:trHeight w:val="170"/>
        </w:trPr>
        <w:tc>
          <w:tcPr>
            <w:tcW w:w="5980" w:type="dxa"/>
            <w:vAlign w:val="bottom"/>
          </w:tcPr>
          <w:p>
            <w:pPr>
              <w:ind w:left="20"/>
              <w:spacing w:after="0"/>
              <w:rPr>
                <w:sz w:val="20"/>
                <w:szCs w:val="20"/>
                <w:color w:val="auto"/>
              </w:rPr>
            </w:pPr>
            <w:r>
              <w:rPr>
                <w:rFonts w:ascii="Calibri" w:cs="Calibri" w:eastAsia="Calibri" w:hAnsi="Calibri"/>
                <w:sz w:val="14"/>
                <w:szCs w:val="14"/>
                <w:b w:val="1"/>
                <w:bCs w:val="1"/>
                <w:color w:val="51555C"/>
              </w:rPr>
              <w:t>GAAP revenue growth</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b w:val="1"/>
                <w:bCs w:val="1"/>
                <w:color w:val="51555C"/>
              </w:rPr>
              <w:t>3.3 %</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b w:val="1"/>
                <w:bCs w:val="1"/>
                <w:color w:val="51555C"/>
              </w:rPr>
              <w:t>5.3 %</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60"/>
        </w:trPr>
        <w:tc>
          <w:tcPr>
            <w:tcW w:w="59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29"/>
        </w:trPr>
        <w:tc>
          <w:tcPr>
            <w:tcW w:w="5980" w:type="dxa"/>
            <w:vAlign w:val="bottom"/>
            <w:shd w:val="clear" w:color="auto" w:fill="EBFBFF"/>
          </w:tcPr>
          <w:p>
            <w:pPr>
              <w:ind w:left="140"/>
              <w:spacing w:after="0" w:line="216" w:lineRule="exact"/>
              <w:rPr>
                <w:sz w:val="20"/>
                <w:szCs w:val="20"/>
                <w:color w:val="auto"/>
              </w:rPr>
            </w:pPr>
            <w:r>
              <w:rPr>
                <w:rFonts w:ascii="Calibri" w:cs="Calibri" w:eastAsia="Calibri" w:hAnsi="Calibri"/>
                <w:sz w:val="14"/>
                <w:szCs w:val="14"/>
                <w:color w:val="51555C"/>
              </w:rPr>
              <w:t>Less: Non-GAAP revenue from divested businesses</w:t>
            </w:r>
            <w:r>
              <w:rPr>
                <w:rFonts w:ascii="Calibri" w:cs="Calibri" w:eastAsia="Calibri" w:hAnsi="Calibri"/>
                <w:sz w:val="18"/>
                <w:szCs w:val="18"/>
                <w:color w:val="51555C"/>
                <w:vertAlign w:val="superscript"/>
              </w:rPr>
              <w:t>(2)</w:t>
            </w:r>
          </w:p>
        </w:tc>
        <w:tc>
          <w:tcPr>
            <w:tcW w:w="460" w:type="dxa"/>
            <w:vAlign w:val="bottom"/>
            <w:tcBorders>
              <w:bottom w:val="single" w:sz="8" w:color="51555C"/>
            </w:tcBorders>
            <w:shd w:val="clear" w:color="auto" w:fill="EBFBFF"/>
          </w:tcPr>
          <w:p>
            <w:pPr>
              <w:spacing w:after="0"/>
              <w:rPr>
                <w:sz w:val="19"/>
                <w:szCs w:val="19"/>
                <w:color w:val="auto"/>
              </w:rPr>
            </w:pPr>
          </w:p>
        </w:tc>
        <w:tc>
          <w:tcPr>
            <w:tcW w:w="880" w:type="dxa"/>
            <w:vAlign w:val="bottom"/>
            <w:tcBorders>
              <w:bottom w:val="single" w:sz="8" w:color="51555C"/>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w:t>
            </w:r>
          </w:p>
        </w:tc>
        <w:tc>
          <w:tcPr>
            <w:tcW w:w="200" w:type="dxa"/>
            <w:vAlign w:val="bottom"/>
            <w:tcBorders>
              <w:bottom w:val="single" w:sz="8" w:color="51555C"/>
            </w:tcBorders>
            <w:shd w:val="clear" w:color="auto" w:fill="EBFBFF"/>
          </w:tcPr>
          <w:p>
            <w:pPr>
              <w:spacing w:after="0"/>
              <w:rPr>
                <w:sz w:val="19"/>
                <w:szCs w:val="19"/>
                <w:color w:val="auto"/>
              </w:rPr>
            </w:pPr>
          </w:p>
        </w:tc>
        <w:tc>
          <w:tcPr>
            <w:tcW w:w="1040" w:type="dxa"/>
            <w:vAlign w:val="bottom"/>
            <w:tcBorders>
              <w:bottom w:val="single" w:sz="8" w:color="51555C"/>
              <w:right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(2.7)</w:t>
            </w:r>
          </w:p>
        </w:tc>
        <w:tc>
          <w:tcPr>
            <w:tcW w:w="80" w:type="dxa"/>
            <w:vAlign w:val="bottom"/>
            <w:shd w:val="clear" w:color="auto" w:fill="EBFBFF"/>
          </w:tcPr>
          <w:p>
            <w:pPr>
              <w:spacing w:after="0"/>
              <w:rPr>
                <w:sz w:val="19"/>
                <w:szCs w:val="19"/>
                <w:color w:val="auto"/>
              </w:rPr>
            </w:pPr>
          </w:p>
        </w:tc>
        <w:tc>
          <w:tcPr>
            <w:tcW w:w="480" w:type="dxa"/>
            <w:vAlign w:val="bottom"/>
            <w:tcBorders>
              <w:bottom w:val="single" w:sz="8" w:color="51555C"/>
            </w:tcBorders>
            <w:shd w:val="clear" w:color="auto" w:fill="EBFBFF"/>
          </w:tcPr>
          <w:p>
            <w:pPr>
              <w:spacing w:after="0"/>
              <w:rPr>
                <w:sz w:val="19"/>
                <w:szCs w:val="19"/>
                <w:color w:val="auto"/>
              </w:rPr>
            </w:pPr>
          </w:p>
        </w:tc>
        <w:tc>
          <w:tcPr>
            <w:tcW w:w="880" w:type="dxa"/>
            <w:vAlign w:val="bottom"/>
            <w:tcBorders>
              <w:bottom w:val="single" w:sz="8" w:color="51555C"/>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w:t>
            </w:r>
          </w:p>
        </w:tc>
        <w:tc>
          <w:tcPr>
            <w:tcW w:w="220" w:type="dxa"/>
            <w:vAlign w:val="bottom"/>
            <w:tcBorders>
              <w:bottom w:val="single" w:sz="8" w:color="51555C"/>
            </w:tcBorders>
            <w:shd w:val="clear" w:color="auto" w:fill="EBFBFF"/>
          </w:tcPr>
          <w:p>
            <w:pPr>
              <w:spacing w:after="0"/>
              <w:rPr>
                <w:sz w:val="19"/>
                <w:szCs w:val="19"/>
                <w:color w:val="auto"/>
              </w:rPr>
            </w:pPr>
          </w:p>
        </w:tc>
        <w:tc>
          <w:tcPr>
            <w:tcW w:w="102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4"/>
                <w:szCs w:val="14"/>
                <w:color w:val="51555C"/>
              </w:rPr>
              <w:t>(5.2)</w:t>
            </w:r>
          </w:p>
        </w:tc>
        <w:tc>
          <w:tcPr>
            <w:tcW w:w="20" w:type="dxa"/>
            <w:vAlign w:val="bottom"/>
          </w:tcPr>
          <w:p>
            <w:pPr>
              <w:spacing w:after="0"/>
              <w:rPr>
                <w:sz w:val="19"/>
                <w:szCs w:val="19"/>
                <w:color w:val="auto"/>
              </w:rPr>
            </w:pPr>
          </w:p>
        </w:tc>
      </w:tr>
      <w:tr>
        <w:trPr>
          <w:trHeight w:val="202"/>
        </w:trPr>
        <w:tc>
          <w:tcPr>
            <w:tcW w:w="5980" w:type="dxa"/>
            <w:vAlign w:val="bottom"/>
          </w:tcPr>
          <w:p>
            <w:pPr>
              <w:ind w:left="20"/>
              <w:spacing w:after="0" w:line="202" w:lineRule="exact"/>
              <w:rPr>
                <w:sz w:val="20"/>
                <w:szCs w:val="20"/>
                <w:color w:val="auto"/>
              </w:rPr>
            </w:pPr>
            <w:r>
              <w:rPr>
                <w:rFonts w:ascii="Calibri" w:cs="Calibri" w:eastAsia="Calibri" w:hAnsi="Calibri"/>
                <w:sz w:val="14"/>
                <w:szCs w:val="14"/>
                <w:color w:val="51555C"/>
              </w:rPr>
              <w:t>Non-GAAP organic revenue</w:t>
            </w:r>
            <w:r>
              <w:rPr>
                <w:rFonts w:ascii="Calibri" w:cs="Calibri" w:eastAsia="Calibri" w:hAnsi="Calibri"/>
                <w:sz w:val="18"/>
                <w:szCs w:val="18"/>
                <w:color w:val="51555C"/>
                <w:vertAlign w:val="superscript"/>
              </w:rPr>
              <w:t>(3)</w:t>
            </w:r>
          </w:p>
        </w:tc>
        <w:tc>
          <w:tcPr>
            <w:tcW w:w="460" w:type="dxa"/>
            <w:vAlign w:val="bottom"/>
          </w:tcPr>
          <w:p>
            <w:pPr>
              <w:jc w:val="right"/>
              <w:ind w:right="308"/>
              <w:spacing w:after="0"/>
              <w:rPr>
                <w:sz w:val="20"/>
                <w:szCs w:val="20"/>
                <w:color w:val="auto"/>
              </w:rPr>
            </w:pPr>
            <w:r>
              <w:rPr>
                <w:rFonts w:ascii="Calibri" w:cs="Calibri" w:eastAsia="Calibri" w:hAnsi="Calibri"/>
                <w:sz w:val="14"/>
                <w:szCs w:val="14"/>
                <w:color w:val="51555C"/>
                <w:w w:val="83"/>
              </w:rPr>
              <w:t>$</w:t>
            </w:r>
          </w:p>
        </w:tc>
        <w:tc>
          <w:tcPr>
            <w:tcW w:w="880" w:type="dxa"/>
            <w:vAlign w:val="bottom"/>
          </w:tcPr>
          <w:p>
            <w:pPr>
              <w:jc w:val="right"/>
              <w:ind w:right="108"/>
              <w:spacing w:after="0"/>
              <w:rPr>
                <w:sz w:val="20"/>
                <w:szCs w:val="20"/>
                <w:color w:val="auto"/>
              </w:rPr>
            </w:pPr>
            <w:r>
              <w:rPr>
                <w:rFonts w:ascii="Calibri" w:cs="Calibri" w:eastAsia="Calibri" w:hAnsi="Calibri"/>
                <w:sz w:val="14"/>
                <w:szCs w:val="14"/>
                <w:color w:val="51555C"/>
              </w:rPr>
              <w:t>286.7</w:t>
            </w:r>
          </w:p>
        </w:tc>
        <w:tc>
          <w:tcPr>
            <w:tcW w:w="200" w:type="dxa"/>
            <w:vAlign w:val="bottom"/>
          </w:tcPr>
          <w:p>
            <w:pPr>
              <w:jc w:val="right"/>
              <w:ind w:right="48"/>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ind w:right="8"/>
              <w:spacing w:after="0"/>
              <w:rPr>
                <w:sz w:val="20"/>
                <w:szCs w:val="20"/>
                <w:color w:val="auto"/>
              </w:rPr>
            </w:pPr>
            <w:r>
              <w:rPr>
                <w:rFonts w:ascii="Calibri" w:cs="Calibri" w:eastAsia="Calibri" w:hAnsi="Calibri"/>
                <w:sz w:val="14"/>
                <w:szCs w:val="14"/>
                <w:color w:val="51555C"/>
              </w:rPr>
              <w:t>274.9</w:t>
            </w:r>
          </w:p>
        </w:tc>
        <w:tc>
          <w:tcPr>
            <w:tcW w:w="8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Pr>
          <w:p>
            <w:pPr>
              <w:jc w:val="right"/>
              <w:ind w:right="88"/>
              <w:spacing w:after="0"/>
              <w:rPr>
                <w:sz w:val="20"/>
                <w:szCs w:val="20"/>
                <w:color w:val="auto"/>
              </w:rPr>
            </w:pPr>
            <w:r>
              <w:rPr>
                <w:rFonts w:ascii="Calibri" w:cs="Calibri" w:eastAsia="Calibri" w:hAnsi="Calibri"/>
                <w:sz w:val="14"/>
                <w:szCs w:val="14"/>
                <w:color w:val="51555C"/>
              </w:rPr>
              <w:t>853.3</w:t>
            </w:r>
          </w:p>
        </w:tc>
        <w:tc>
          <w:tcPr>
            <w:tcW w:w="220" w:type="dxa"/>
            <w:vAlign w:val="bottom"/>
          </w:tcPr>
          <w:p>
            <w:pPr>
              <w:jc w:val="right"/>
              <w:ind w:right="68"/>
              <w:spacing w:after="0"/>
              <w:rPr>
                <w:sz w:val="20"/>
                <w:szCs w:val="20"/>
                <w:color w:val="auto"/>
              </w:rPr>
            </w:pPr>
            <w:r>
              <w:rPr>
                <w:rFonts w:ascii="Calibri" w:cs="Calibri" w:eastAsia="Calibri" w:hAnsi="Calibri"/>
                <w:sz w:val="14"/>
                <w:szCs w:val="14"/>
                <w:color w:val="51555C"/>
                <w:w w:val="83"/>
              </w:rPr>
              <w:t>$</w:t>
            </w: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805.2</w:t>
            </w:r>
          </w:p>
        </w:tc>
        <w:tc>
          <w:tcPr>
            <w:tcW w:w="20" w:type="dxa"/>
            <w:vAlign w:val="bottom"/>
          </w:tcPr>
          <w:p>
            <w:pPr>
              <w:spacing w:after="0"/>
              <w:rPr>
                <w:sz w:val="17"/>
                <w:szCs w:val="17"/>
                <w:color w:val="auto"/>
              </w:rPr>
            </w:pPr>
          </w:p>
        </w:tc>
      </w:tr>
      <w:tr>
        <w:trPr>
          <w:trHeight w:val="21"/>
        </w:trPr>
        <w:tc>
          <w:tcPr>
            <w:tcW w:w="5980" w:type="dxa"/>
            <w:vAlign w:val="bottom"/>
            <w:tcBorders>
              <w:bottom w:val="single" w:sz="8" w:color="EBFBFF"/>
            </w:tcBorders>
          </w:tcPr>
          <w:p>
            <w:pPr>
              <w:spacing w:after="0" w:line="20" w:lineRule="exact"/>
              <w:rPr>
                <w:sz w:val="1"/>
                <w:szCs w:val="1"/>
                <w:color w:val="auto"/>
              </w:rPr>
            </w:pPr>
          </w:p>
        </w:tc>
        <w:tc>
          <w:tcPr>
            <w:tcW w:w="460" w:type="dxa"/>
            <w:vAlign w:val="bottom"/>
            <w:tcBorders>
              <w:bottom w:val="single" w:sz="8" w:color="51555C"/>
            </w:tcBorders>
          </w:tcPr>
          <w:p>
            <w:pPr>
              <w:spacing w:after="0" w:line="20" w:lineRule="exact"/>
              <w:rPr>
                <w:sz w:val="1"/>
                <w:szCs w:val="1"/>
                <w:color w:val="auto"/>
              </w:rPr>
            </w:pPr>
          </w:p>
        </w:tc>
        <w:tc>
          <w:tcPr>
            <w:tcW w:w="880" w:type="dxa"/>
            <w:vAlign w:val="bottom"/>
            <w:tcBorders>
              <w:bottom w:val="single" w:sz="8" w:color="51555C"/>
            </w:tcBorders>
          </w:tcPr>
          <w:p>
            <w:pPr>
              <w:spacing w:after="0" w:line="20" w:lineRule="exact"/>
              <w:rPr>
                <w:sz w:val="1"/>
                <w:szCs w:val="1"/>
                <w:color w:val="auto"/>
              </w:rPr>
            </w:pPr>
          </w:p>
        </w:tc>
        <w:tc>
          <w:tcPr>
            <w:tcW w:w="200" w:type="dxa"/>
            <w:vAlign w:val="bottom"/>
            <w:tcBorders>
              <w:bottom w:val="single" w:sz="8" w:color="51555C"/>
            </w:tcBorders>
          </w:tcPr>
          <w:p>
            <w:pPr>
              <w:spacing w:after="0" w:line="20" w:lineRule="exact"/>
              <w:rPr>
                <w:sz w:val="1"/>
                <w:szCs w:val="1"/>
                <w:color w:val="auto"/>
              </w:rPr>
            </w:pPr>
          </w:p>
        </w:tc>
        <w:tc>
          <w:tcPr>
            <w:tcW w:w="1040" w:type="dxa"/>
            <w:vAlign w:val="bottom"/>
            <w:tcBorders>
              <w:bottom w:val="single" w:sz="8" w:color="51555C"/>
            </w:tcBorders>
          </w:tcPr>
          <w:p>
            <w:pPr>
              <w:spacing w:after="0" w:line="20" w:lineRule="exact"/>
              <w:rPr>
                <w:sz w:val="1"/>
                <w:szCs w:val="1"/>
                <w:color w:val="auto"/>
              </w:rPr>
            </w:pPr>
          </w:p>
        </w:tc>
        <w:tc>
          <w:tcPr>
            <w:tcW w:w="80" w:type="dxa"/>
            <w:vAlign w:val="bottom"/>
            <w:tcBorders>
              <w:bottom w:val="single" w:sz="8" w:color="EBFBFF"/>
            </w:tcBorders>
          </w:tcPr>
          <w:p>
            <w:pPr>
              <w:spacing w:after="0" w:line="20" w:lineRule="exact"/>
              <w:rPr>
                <w:sz w:val="1"/>
                <w:szCs w:val="1"/>
                <w:color w:val="auto"/>
              </w:rPr>
            </w:pPr>
          </w:p>
        </w:tc>
        <w:tc>
          <w:tcPr>
            <w:tcW w:w="480" w:type="dxa"/>
            <w:vAlign w:val="bottom"/>
            <w:tcBorders>
              <w:bottom w:val="single" w:sz="8" w:color="51555C"/>
            </w:tcBorders>
          </w:tcPr>
          <w:p>
            <w:pPr>
              <w:spacing w:after="0" w:line="20" w:lineRule="exact"/>
              <w:rPr>
                <w:sz w:val="1"/>
                <w:szCs w:val="1"/>
                <w:color w:val="auto"/>
              </w:rPr>
            </w:pPr>
          </w:p>
        </w:tc>
        <w:tc>
          <w:tcPr>
            <w:tcW w:w="880" w:type="dxa"/>
            <w:vAlign w:val="bottom"/>
            <w:tcBorders>
              <w:bottom w:val="single" w:sz="8" w:color="51555C"/>
            </w:tcBorders>
          </w:tcPr>
          <w:p>
            <w:pPr>
              <w:spacing w:after="0" w:line="20" w:lineRule="exact"/>
              <w:rPr>
                <w:sz w:val="1"/>
                <w:szCs w:val="1"/>
                <w:color w:val="auto"/>
              </w:rPr>
            </w:pPr>
          </w:p>
        </w:tc>
        <w:tc>
          <w:tcPr>
            <w:tcW w:w="220" w:type="dxa"/>
            <w:vAlign w:val="bottom"/>
            <w:tcBorders>
              <w:bottom w:val="single" w:sz="8" w:color="51555C"/>
            </w:tcBorders>
          </w:tcPr>
          <w:p>
            <w:pPr>
              <w:spacing w:after="0" w:line="20" w:lineRule="exact"/>
              <w:rPr>
                <w:sz w:val="1"/>
                <w:szCs w:val="1"/>
                <w:color w:val="auto"/>
              </w:rPr>
            </w:pPr>
          </w:p>
        </w:tc>
        <w:tc>
          <w:tcPr>
            <w:tcW w:w="1020" w:type="dxa"/>
            <w:vAlign w:val="bottom"/>
            <w:tcBorders>
              <w:bottom w:val="single" w:sz="8" w:color="51555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598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b w:val="1"/>
                <w:bCs w:val="1"/>
                <w:color w:val="51555C"/>
              </w:rPr>
              <w:t>Non-GAAP organic revenue growth</w:t>
            </w:r>
          </w:p>
        </w:tc>
        <w:tc>
          <w:tcPr>
            <w:tcW w:w="460" w:type="dxa"/>
            <w:vAlign w:val="bottom"/>
            <w:tcBorders>
              <w:bottom w:val="single" w:sz="8" w:color="EBFBFF"/>
            </w:tcBorders>
            <w:shd w:val="clear" w:color="auto" w:fill="EBFBFF"/>
          </w:tcPr>
          <w:p>
            <w:pPr>
              <w:spacing w:after="0"/>
              <w:rPr>
                <w:sz w:val="17"/>
                <w:szCs w:val="17"/>
                <w:color w:val="auto"/>
              </w:rPr>
            </w:pPr>
          </w:p>
        </w:tc>
        <w:tc>
          <w:tcPr>
            <w:tcW w:w="88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b w:val="1"/>
                <w:bCs w:val="1"/>
                <w:color w:val="51555C"/>
              </w:rPr>
              <w:t>4.3 %</w:t>
            </w:r>
          </w:p>
        </w:tc>
        <w:tc>
          <w:tcPr>
            <w:tcW w:w="200" w:type="dxa"/>
            <w:vAlign w:val="bottom"/>
            <w:tcBorders>
              <w:bottom w:val="single" w:sz="8" w:color="EBFBFF"/>
            </w:tcBorders>
            <w:shd w:val="clear" w:color="auto" w:fill="EBFBFF"/>
          </w:tcPr>
          <w:p>
            <w:pPr>
              <w:spacing w:after="0"/>
              <w:rPr>
                <w:sz w:val="17"/>
                <w:szCs w:val="17"/>
                <w:color w:val="auto"/>
              </w:rPr>
            </w:pPr>
          </w:p>
        </w:tc>
        <w:tc>
          <w:tcPr>
            <w:tcW w:w="1040" w:type="dxa"/>
            <w:vAlign w:val="bottom"/>
            <w:tcBorders>
              <w:bottom w:val="single" w:sz="8" w:color="EBFBFF"/>
              <w:right w:val="single" w:sz="8" w:color="EBFBFF"/>
            </w:tcBorders>
            <w:shd w:val="clear" w:color="auto" w:fill="EBFBFF"/>
          </w:tcPr>
          <w:p>
            <w:pPr>
              <w:spacing w:after="0"/>
              <w:rPr>
                <w:sz w:val="17"/>
                <w:szCs w:val="17"/>
                <w:color w:val="auto"/>
              </w:rPr>
            </w:pPr>
          </w:p>
        </w:tc>
        <w:tc>
          <w:tcPr>
            <w:tcW w:w="80" w:type="dxa"/>
            <w:vAlign w:val="bottom"/>
            <w:tcBorders>
              <w:bottom w:val="single" w:sz="8" w:color="EBFBFF"/>
            </w:tcBorders>
            <w:shd w:val="clear" w:color="auto" w:fill="EBFBFF"/>
          </w:tcPr>
          <w:p>
            <w:pPr>
              <w:spacing w:after="0"/>
              <w:rPr>
                <w:sz w:val="17"/>
                <w:szCs w:val="17"/>
                <w:color w:val="auto"/>
              </w:rPr>
            </w:pPr>
          </w:p>
        </w:tc>
        <w:tc>
          <w:tcPr>
            <w:tcW w:w="480" w:type="dxa"/>
            <w:vAlign w:val="bottom"/>
            <w:tcBorders>
              <w:bottom w:val="single" w:sz="8" w:color="EBFBFF"/>
            </w:tcBorders>
            <w:shd w:val="clear" w:color="auto" w:fill="EBFBFF"/>
          </w:tcPr>
          <w:p>
            <w:pPr>
              <w:spacing w:after="0"/>
              <w:rPr>
                <w:sz w:val="17"/>
                <w:szCs w:val="17"/>
                <w:color w:val="auto"/>
              </w:rPr>
            </w:pPr>
          </w:p>
        </w:tc>
        <w:tc>
          <w:tcPr>
            <w:tcW w:w="88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b w:val="1"/>
                <w:bCs w:val="1"/>
                <w:color w:val="51555C"/>
              </w:rPr>
              <w:t>6.0 %</w:t>
            </w:r>
          </w:p>
        </w:tc>
        <w:tc>
          <w:tcPr>
            <w:tcW w:w="220" w:type="dxa"/>
            <w:vAlign w:val="bottom"/>
            <w:tcBorders>
              <w:bottom w:val="single" w:sz="8" w:color="EBFBFF"/>
            </w:tcBorders>
            <w:shd w:val="clear" w:color="auto" w:fill="EBFBFF"/>
          </w:tcPr>
          <w:p>
            <w:pPr>
              <w:spacing w:after="0"/>
              <w:rPr>
                <w:sz w:val="17"/>
                <w:szCs w:val="17"/>
                <w:color w:val="auto"/>
              </w:rPr>
            </w:pPr>
          </w:p>
        </w:tc>
        <w:tc>
          <w:tcPr>
            <w:tcW w:w="102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5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9"/>
        </w:trPr>
        <w:tc>
          <w:tcPr>
            <w:tcW w:w="5980" w:type="dxa"/>
            <w:vAlign w:val="bottom"/>
            <w:shd w:val="clear" w:color="auto" w:fill="EBFBFF"/>
          </w:tcPr>
          <w:p>
            <w:pPr>
              <w:ind w:left="20"/>
              <w:spacing w:after="0" w:line="216" w:lineRule="exact"/>
              <w:rPr>
                <w:sz w:val="20"/>
                <w:szCs w:val="20"/>
                <w:color w:val="auto"/>
              </w:rPr>
            </w:pPr>
            <w:r>
              <w:rPr>
                <w:rFonts w:ascii="Calibri" w:cs="Calibri" w:eastAsia="Calibri" w:hAnsi="Calibri"/>
                <w:sz w:val="14"/>
                <w:szCs w:val="14"/>
                <w:color w:val="51555C"/>
              </w:rPr>
              <w:t>Non-GAAP organic revenue</w:t>
            </w:r>
            <w:r>
              <w:rPr>
                <w:rFonts w:ascii="Calibri" w:cs="Calibri" w:eastAsia="Calibri" w:hAnsi="Calibri"/>
                <w:sz w:val="18"/>
                <w:szCs w:val="18"/>
                <w:color w:val="51555C"/>
                <w:vertAlign w:val="superscript"/>
              </w:rPr>
              <w:t>(3)</w:t>
            </w:r>
          </w:p>
        </w:tc>
        <w:tc>
          <w:tcPr>
            <w:tcW w:w="460" w:type="dxa"/>
            <w:vAlign w:val="bottom"/>
            <w:shd w:val="clear" w:color="auto" w:fill="EBFBFF"/>
          </w:tcPr>
          <w:p>
            <w:pPr>
              <w:jc w:val="right"/>
              <w:ind w:right="308"/>
              <w:spacing w:after="0"/>
              <w:rPr>
                <w:sz w:val="20"/>
                <w:szCs w:val="20"/>
                <w:color w:val="auto"/>
              </w:rPr>
            </w:pPr>
            <w:r>
              <w:rPr>
                <w:rFonts w:ascii="Calibri" w:cs="Calibri" w:eastAsia="Calibri" w:hAnsi="Calibri"/>
                <w:sz w:val="14"/>
                <w:szCs w:val="14"/>
                <w:color w:val="51555C"/>
                <w:w w:val="83"/>
              </w:rPr>
              <w:t>$</w:t>
            </w:r>
          </w:p>
        </w:tc>
        <w:tc>
          <w:tcPr>
            <w:tcW w:w="880" w:type="dxa"/>
            <w:vAlign w:val="bottom"/>
            <w:shd w:val="clear" w:color="auto" w:fill="EBFBFF"/>
          </w:tcPr>
          <w:p>
            <w:pPr>
              <w:jc w:val="right"/>
              <w:ind w:right="108"/>
              <w:spacing w:after="0"/>
              <w:rPr>
                <w:sz w:val="20"/>
                <w:szCs w:val="20"/>
                <w:color w:val="auto"/>
              </w:rPr>
            </w:pPr>
            <w:r>
              <w:rPr>
                <w:rFonts w:ascii="Calibri" w:cs="Calibri" w:eastAsia="Calibri" w:hAnsi="Calibri"/>
                <w:sz w:val="14"/>
                <w:szCs w:val="14"/>
                <w:color w:val="51555C"/>
              </w:rPr>
              <w:t>286.7</w:t>
            </w:r>
          </w:p>
        </w:tc>
        <w:tc>
          <w:tcPr>
            <w:tcW w:w="200" w:type="dxa"/>
            <w:vAlign w:val="bottom"/>
            <w:shd w:val="clear" w:color="auto" w:fill="EBFBFF"/>
          </w:tcPr>
          <w:p>
            <w:pPr>
              <w:jc w:val="right"/>
              <w:ind w:right="4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right w:val="single" w:sz="8" w:color="EBFBFF"/>
            </w:tcBorders>
            <w:shd w:val="clear" w:color="auto" w:fill="EBFBFF"/>
          </w:tcPr>
          <w:p>
            <w:pPr>
              <w:jc w:val="right"/>
              <w:ind w:right="8"/>
              <w:spacing w:after="0"/>
              <w:rPr>
                <w:sz w:val="20"/>
                <w:szCs w:val="20"/>
                <w:color w:val="auto"/>
              </w:rPr>
            </w:pPr>
            <w:r>
              <w:rPr>
                <w:rFonts w:ascii="Calibri" w:cs="Calibri" w:eastAsia="Calibri" w:hAnsi="Calibri"/>
                <w:sz w:val="14"/>
                <w:szCs w:val="14"/>
                <w:color w:val="51555C"/>
              </w:rPr>
              <w:t>274.9</w:t>
            </w:r>
          </w:p>
        </w:tc>
        <w:tc>
          <w:tcPr>
            <w:tcW w:w="560" w:type="dxa"/>
            <w:vAlign w:val="bottom"/>
            <w:gridSpan w:val="2"/>
            <w:shd w:val="clear" w:color="auto" w:fill="EBFBFF"/>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shd w:val="clear" w:color="auto" w:fill="EBFBFF"/>
          </w:tcPr>
          <w:p>
            <w:pPr>
              <w:jc w:val="right"/>
              <w:ind w:right="88"/>
              <w:spacing w:after="0"/>
              <w:rPr>
                <w:sz w:val="20"/>
                <w:szCs w:val="20"/>
                <w:color w:val="auto"/>
              </w:rPr>
            </w:pPr>
            <w:r>
              <w:rPr>
                <w:rFonts w:ascii="Calibri" w:cs="Calibri" w:eastAsia="Calibri" w:hAnsi="Calibri"/>
                <w:sz w:val="14"/>
                <w:szCs w:val="14"/>
                <w:color w:val="51555C"/>
              </w:rPr>
              <w:t>853.3</w:t>
            </w:r>
          </w:p>
        </w:tc>
        <w:tc>
          <w:tcPr>
            <w:tcW w:w="220" w:type="dxa"/>
            <w:vAlign w:val="bottom"/>
            <w:shd w:val="clear" w:color="auto" w:fill="EBFBFF"/>
          </w:tcPr>
          <w:p>
            <w:pPr>
              <w:jc w:val="right"/>
              <w:ind w:right="68"/>
              <w:spacing w:after="0"/>
              <w:rPr>
                <w:sz w:val="20"/>
                <w:szCs w:val="20"/>
                <w:color w:val="auto"/>
              </w:rPr>
            </w:pPr>
            <w:r>
              <w:rPr>
                <w:rFonts w:ascii="Calibri" w:cs="Calibri" w:eastAsia="Calibri" w:hAnsi="Calibri"/>
                <w:sz w:val="14"/>
                <w:szCs w:val="14"/>
                <w:color w:val="51555C"/>
                <w:w w:val="83"/>
              </w:rPr>
              <w:t>$</w:t>
            </w:r>
          </w:p>
        </w:tc>
        <w:tc>
          <w:tcPr>
            <w:tcW w:w="1020" w:type="dxa"/>
            <w:vAlign w:val="bottom"/>
            <w:shd w:val="clear" w:color="auto" w:fill="EBFBFF"/>
          </w:tcPr>
          <w:p>
            <w:pPr>
              <w:jc w:val="right"/>
              <w:spacing w:after="0"/>
              <w:rPr>
                <w:sz w:val="20"/>
                <w:szCs w:val="20"/>
                <w:color w:val="auto"/>
              </w:rPr>
            </w:pPr>
            <w:r>
              <w:rPr>
                <w:rFonts w:ascii="Calibri" w:cs="Calibri" w:eastAsia="Calibri" w:hAnsi="Calibri"/>
                <w:sz w:val="14"/>
                <w:szCs w:val="14"/>
                <w:color w:val="51555C"/>
              </w:rPr>
              <w:t>805.2</w:t>
            </w:r>
          </w:p>
        </w:tc>
        <w:tc>
          <w:tcPr>
            <w:tcW w:w="20" w:type="dxa"/>
            <w:vAlign w:val="bottom"/>
          </w:tcPr>
          <w:p>
            <w:pPr>
              <w:spacing w:after="0"/>
              <w:rPr>
                <w:sz w:val="19"/>
                <w:szCs w:val="19"/>
                <w:color w:val="auto"/>
              </w:rPr>
            </w:pPr>
          </w:p>
        </w:tc>
      </w:tr>
      <w:tr>
        <w:trPr>
          <w:trHeight w:val="223"/>
        </w:trPr>
        <w:tc>
          <w:tcPr>
            <w:tcW w:w="5980" w:type="dxa"/>
            <w:vAlign w:val="bottom"/>
            <w:tcBorders>
              <w:bottom w:val="single" w:sz="8" w:color="EBFBFF"/>
            </w:tcBorders>
          </w:tcPr>
          <w:p>
            <w:pPr>
              <w:ind w:left="20"/>
              <w:spacing w:after="0" w:line="216" w:lineRule="exact"/>
              <w:rPr>
                <w:sz w:val="20"/>
                <w:szCs w:val="20"/>
                <w:color w:val="auto"/>
              </w:rPr>
            </w:pPr>
            <w:r>
              <w:rPr>
                <w:rFonts w:ascii="Calibri" w:cs="Calibri" w:eastAsia="Calibri" w:hAnsi="Calibri"/>
                <w:sz w:val="14"/>
                <w:szCs w:val="14"/>
                <w:color w:val="51555C"/>
              </w:rPr>
              <w:t>Foreign currency impact on Non-GAAP organic revenue</w:t>
            </w:r>
            <w:r>
              <w:rPr>
                <w:rFonts w:ascii="Calibri" w:cs="Calibri" w:eastAsia="Calibri" w:hAnsi="Calibri"/>
                <w:sz w:val="18"/>
                <w:szCs w:val="18"/>
                <w:color w:val="51555C"/>
                <w:vertAlign w:val="superscript"/>
              </w:rPr>
              <w:t>(4)</w:t>
            </w:r>
          </w:p>
        </w:tc>
        <w:tc>
          <w:tcPr>
            <w:tcW w:w="460" w:type="dxa"/>
            <w:vAlign w:val="bottom"/>
            <w:tcBorders>
              <w:bottom w:val="single" w:sz="8" w:color="51555C"/>
            </w:tcBorders>
          </w:tcPr>
          <w:p>
            <w:pPr>
              <w:spacing w:after="0"/>
              <w:rPr>
                <w:sz w:val="19"/>
                <w:szCs w:val="19"/>
                <w:color w:val="auto"/>
              </w:rPr>
            </w:pPr>
          </w:p>
        </w:tc>
        <w:tc>
          <w:tcPr>
            <w:tcW w:w="880" w:type="dxa"/>
            <w:vAlign w:val="bottom"/>
            <w:tcBorders>
              <w:bottom w:val="single" w:sz="8" w:color="51555C"/>
            </w:tcBorders>
          </w:tcPr>
          <w:p>
            <w:pPr>
              <w:jc w:val="right"/>
              <w:ind w:right="68"/>
              <w:spacing w:after="0"/>
              <w:rPr>
                <w:sz w:val="20"/>
                <w:szCs w:val="20"/>
                <w:color w:val="auto"/>
              </w:rPr>
            </w:pPr>
            <w:r>
              <w:rPr>
                <w:rFonts w:ascii="Calibri" w:cs="Calibri" w:eastAsia="Calibri" w:hAnsi="Calibri"/>
                <w:sz w:val="14"/>
                <w:szCs w:val="14"/>
                <w:color w:val="51555C"/>
              </w:rPr>
              <w:t>(1.0)</w:t>
            </w:r>
          </w:p>
        </w:tc>
        <w:tc>
          <w:tcPr>
            <w:tcW w:w="200" w:type="dxa"/>
            <w:vAlign w:val="bottom"/>
            <w:tcBorders>
              <w:bottom w:val="single" w:sz="8" w:color="51555C"/>
            </w:tcBorders>
          </w:tcPr>
          <w:p>
            <w:pPr>
              <w:spacing w:after="0"/>
              <w:rPr>
                <w:sz w:val="19"/>
                <w:szCs w:val="19"/>
                <w:color w:val="auto"/>
              </w:rPr>
            </w:pPr>
          </w:p>
        </w:tc>
        <w:tc>
          <w:tcPr>
            <w:tcW w:w="1040" w:type="dxa"/>
            <w:vAlign w:val="bottom"/>
            <w:tcBorders>
              <w:bottom w:val="single" w:sz="8" w:color="51555C"/>
            </w:tcBorders>
          </w:tcPr>
          <w:p>
            <w:pPr>
              <w:jc w:val="right"/>
              <w:ind w:right="8"/>
              <w:spacing w:after="0"/>
              <w:rPr>
                <w:sz w:val="20"/>
                <w:szCs w:val="20"/>
                <w:color w:val="auto"/>
              </w:rPr>
            </w:pPr>
            <w:r>
              <w:rPr>
                <w:rFonts w:ascii="Calibri" w:cs="Calibri" w:eastAsia="Calibri" w:hAnsi="Calibri"/>
                <w:sz w:val="14"/>
                <w:szCs w:val="14"/>
                <w:color w:val="51555C"/>
              </w:rPr>
              <w:t>—</w:t>
            </w:r>
          </w:p>
        </w:tc>
        <w:tc>
          <w:tcPr>
            <w:tcW w:w="80" w:type="dxa"/>
            <w:vAlign w:val="bottom"/>
            <w:tcBorders>
              <w:bottom w:val="single" w:sz="8" w:color="EBFBFF"/>
            </w:tcBorders>
          </w:tcPr>
          <w:p>
            <w:pPr>
              <w:spacing w:after="0"/>
              <w:rPr>
                <w:sz w:val="19"/>
                <w:szCs w:val="19"/>
                <w:color w:val="auto"/>
              </w:rPr>
            </w:pPr>
          </w:p>
        </w:tc>
        <w:tc>
          <w:tcPr>
            <w:tcW w:w="480" w:type="dxa"/>
            <w:vAlign w:val="bottom"/>
            <w:tcBorders>
              <w:bottom w:val="single" w:sz="8" w:color="51555C"/>
            </w:tcBorders>
          </w:tcPr>
          <w:p>
            <w:pPr>
              <w:spacing w:after="0"/>
              <w:rPr>
                <w:sz w:val="19"/>
                <w:szCs w:val="19"/>
                <w:color w:val="auto"/>
              </w:rPr>
            </w:pPr>
          </w:p>
        </w:tc>
        <w:tc>
          <w:tcPr>
            <w:tcW w:w="880" w:type="dxa"/>
            <w:vAlign w:val="bottom"/>
            <w:tcBorders>
              <w:bottom w:val="single" w:sz="8" w:color="51555C"/>
            </w:tcBorders>
          </w:tcPr>
          <w:p>
            <w:pPr>
              <w:jc w:val="right"/>
              <w:ind w:right="68"/>
              <w:spacing w:after="0"/>
              <w:rPr>
                <w:sz w:val="20"/>
                <w:szCs w:val="20"/>
                <w:color w:val="auto"/>
              </w:rPr>
            </w:pPr>
            <w:r>
              <w:rPr>
                <w:rFonts w:ascii="Calibri" w:cs="Calibri" w:eastAsia="Calibri" w:hAnsi="Calibri"/>
                <w:sz w:val="14"/>
                <w:szCs w:val="14"/>
                <w:color w:val="51555C"/>
              </w:rPr>
              <w:t>(2.1)</w:t>
            </w:r>
          </w:p>
        </w:tc>
        <w:tc>
          <w:tcPr>
            <w:tcW w:w="220" w:type="dxa"/>
            <w:vAlign w:val="bottom"/>
            <w:tcBorders>
              <w:bottom w:val="single" w:sz="8" w:color="51555C"/>
            </w:tcBorders>
          </w:tcPr>
          <w:p>
            <w:pPr>
              <w:spacing w:after="0"/>
              <w:rPr>
                <w:sz w:val="19"/>
                <w:szCs w:val="19"/>
                <w:color w:val="auto"/>
              </w:rPr>
            </w:pPr>
          </w:p>
        </w:tc>
        <w:tc>
          <w:tcPr>
            <w:tcW w:w="1020" w:type="dxa"/>
            <w:vAlign w:val="bottom"/>
            <w:tcBorders>
              <w:bottom w:val="single" w:sz="8" w:color="51555C"/>
            </w:tcBorders>
          </w:tcPr>
          <w:p>
            <w:pPr>
              <w:jc w:val="right"/>
              <w:spacing w:after="0"/>
              <w:rPr>
                <w:sz w:val="20"/>
                <w:szCs w:val="20"/>
                <w:color w:val="auto"/>
              </w:rPr>
            </w:pPr>
            <w:r>
              <w:rPr>
                <w:rFonts w:ascii="Calibri" w:cs="Calibri" w:eastAsia="Calibri" w:hAnsi="Calibri"/>
                <w:sz w:val="14"/>
                <w:szCs w:val="14"/>
                <w:color w:val="51555C"/>
              </w:rPr>
              <w:t>—</w:t>
            </w:r>
          </w:p>
        </w:tc>
        <w:tc>
          <w:tcPr>
            <w:tcW w:w="20" w:type="dxa"/>
            <w:vAlign w:val="bottom"/>
          </w:tcPr>
          <w:p>
            <w:pPr>
              <w:spacing w:after="0"/>
              <w:rPr>
                <w:sz w:val="19"/>
                <w:szCs w:val="19"/>
                <w:color w:val="auto"/>
              </w:rPr>
            </w:pPr>
          </w:p>
        </w:tc>
      </w:tr>
      <w:tr>
        <w:trPr>
          <w:trHeight w:val="229"/>
        </w:trPr>
        <w:tc>
          <w:tcPr>
            <w:tcW w:w="5980" w:type="dxa"/>
            <w:vAlign w:val="bottom"/>
            <w:tcBorders>
              <w:bottom w:val="single" w:sz="8" w:color="EBFBFF"/>
            </w:tcBorders>
            <w:shd w:val="clear" w:color="auto" w:fill="EBFBFF"/>
          </w:tcPr>
          <w:p>
            <w:pPr>
              <w:ind w:left="20"/>
              <w:spacing w:after="0" w:line="208" w:lineRule="exact"/>
              <w:rPr>
                <w:sz w:val="20"/>
                <w:szCs w:val="20"/>
                <w:color w:val="auto"/>
              </w:rPr>
            </w:pPr>
            <w:r>
              <w:rPr>
                <w:rFonts w:ascii="Calibri" w:cs="Calibri" w:eastAsia="Calibri" w:hAnsi="Calibri"/>
                <w:sz w:val="14"/>
                <w:szCs w:val="14"/>
                <w:color w:val="51555C"/>
              </w:rPr>
              <w:t>Non-GAAP organic revenue on constant currency basis</w:t>
            </w:r>
            <w:r>
              <w:rPr>
                <w:rFonts w:ascii="Calibri" w:cs="Calibri" w:eastAsia="Calibri" w:hAnsi="Calibri"/>
                <w:sz w:val="18"/>
                <w:szCs w:val="18"/>
                <w:color w:val="51555C"/>
                <w:vertAlign w:val="superscript"/>
              </w:rPr>
              <w:t>(4)</w:t>
            </w:r>
          </w:p>
        </w:tc>
        <w:tc>
          <w:tcPr>
            <w:tcW w:w="460" w:type="dxa"/>
            <w:vAlign w:val="bottom"/>
            <w:tcBorders>
              <w:bottom w:val="single" w:sz="8" w:color="EBFBFF"/>
            </w:tcBorders>
            <w:shd w:val="clear" w:color="auto" w:fill="EBFBFF"/>
          </w:tcPr>
          <w:p>
            <w:pPr>
              <w:jc w:val="right"/>
              <w:ind w:right="308"/>
              <w:spacing w:after="0"/>
              <w:rPr>
                <w:sz w:val="20"/>
                <w:szCs w:val="20"/>
                <w:color w:val="auto"/>
              </w:rPr>
            </w:pPr>
            <w:r>
              <w:rPr>
                <w:rFonts w:ascii="Calibri" w:cs="Calibri" w:eastAsia="Calibri" w:hAnsi="Calibri"/>
                <w:sz w:val="14"/>
                <w:szCs w:val="14"/>
                <w:color w:val="51555C"/>
                <w:w w:val="83"/>
              </w:rPr>
              <w:t>$</w:t>
            </w:r>
          </w:p>
        </w:tc>
        <w:tc>
          <w:tcPr>
            <w:tcW w:w="880" w:type="dxa"/>
            <w:vAlign w:val="bottom"/>
            <w:tcBorders>
              <w:bottom w:val="single" w:sz="8" w:color="EBFBFF"/>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285.7</w:t>
            </w:r>
          </w:p>
        </w:tc>
        <w:tc>
          <w:tcPr>
            <w:tcW w:w="20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right w:val="single" w:sz="8" w:color="EBFBFF"/>
            </w:tcBorders>
            <w:shd w:val="clear" w:color="auto" w:fill="EBFBFF"/>
          </w:tcPr>
          <w:p>
            <w:pPr>
              <w:jc w:val="right"/>
              <w:ind w:right="8"/>
              <w:spacing w:after="0"/>
              <w:rPr>
                <w:sz w:val="20"/>
                <w:szCs w:val="20"/>
                <w:color w:val="auto"/>
              </w:rPr>
            </w:pPr>
            <w:r>
              <w:rPr>
                <w:rFonts w:ascii="Calibri" w:cs="Calibri" w:eastAsia="Calibri" w:hAnsi="Calibri"/>
                <w:sz w:val="14"/>
                <w:szCs w:val="14"/>
                <w:color w:val="51555C"/>
              </w:rPr>
              <w:t>274.9</w:t>
            </w:r>
          </w:p>
        </w:tc>
        <w:tc>
          <w:tcPr>
            <w:tcW w:w="80" w:type="dxa"/>
            <w:vAlign w:val="bottom"/>
            <w:tcBorders>
              <w:bottom w:val="single" w:sz="8" w:color="EBFBFF"/>
            </w:tcBorders>
            <w:shd w:val="clear" w:color="auto" w:fill="EBFBFF"/>
          </w:tcPr>
          <w:p>
            <w:pPr>
              <w:spacing w:after="0"/>
              <w:rPr>
                <w:sz w:val="19"/>
                <w:szCs w:val="19"/>
                <w:color w:val="auto"/>
              </w:rPr>
            </w:pPr>
          </w:p>
        </w:tc>
        <w:tc>
          <w:tcPr>
            <w:tcW w:w="480" w:type="dxa"/>
            <w:vAlign w:val="bottom"/>
            <w:tcBorders>
              <w:bottom w:val="single" w:sz="8" w:color="EBFBFF"/>
            </w:tcBorders>
            <w:shd w:val="clear" w:color="auto" w:fill="EBFBFF"/>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851.1</w:t>
            </w:r>
          </w:p>
        </w:tc>
        <w:tc>
          <w:tcPr>
            <w:tcW w:w="22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805.2</w:t>
            </w:r>
          </w:p>
        </w:tc>
        <w:tc>
          <w:tcPr>
            <w:tcW w:w="20" w:type="dxa"/>
            <w:vAlign w:val="bottom"/>
          </w:tcPr>
          <w:p>
            <w:pPr>
              <w:spacing w:after="0"/>
              <w:rPr>
                <w:sz w:val="19"/>
                <w:szCs w:val="19"/>
                <w:color w:val="auto"/>
              </w:rPr>
            </w:pPr>
          </w:p>
        </w:tc>
      </w:tr>
      <w:tr>
        <w:trPr>
          <w:trHeight w:val="163"/>
        </w:trPr>
        <w:tc>
          <w:tcPr>
            <w:tcW w:w="5980" w:type="dxa"/>
            <w:vAlign w:val="bottom"/>
          </w:tcPr>
          <w:p>
            <w:pPr>
              <w:ind w:left="20"/>
              <w:spacing w:after="0" w:line="163" w:lineRule="exact"/>
              <w:rPr>
                <w:sz w:val="20"/>
                <w:szCs w:val="20"/>
                <w:color w:val="auto"/>
              </w:rPr>
            </w:pPr>
            <w:r>
              <w:rPr>
                <w:rFonts w:ascii="Calibri" w:cs="Calibri" w:eastAsia="Calibri" w:hAnsi="Calibri"/>
                <w:sz w:val="14"/>
                <w:szCs w:val="14"/>
                <w:b w:val="1"/>
                <w:bCs w:val="1"/>
                <w:color w:val="51555C"/>
              </w:rPr>
              <w:t>Non-GAAP organic revenue growth on constant currency basis</w:t>
            </w:r>
          </w:p>
        </w:tc>
        <w:tc>
          <w:tcPr>
            <w:tcW w:w="460" w:type="dxa"/>
            <w:vAlign w:val="bottom"/>
            <w:tcBorders>
              <w:top w:val="single" w:sz="8" w:color="51555C"/>
            </w:tcBorders>
          </w:tcPr>
          <w:p>
            <w:pPr>
              <w:spacing w:after="0"/>
              <w:rPr>
                <w:sz w:val="14"/>
                <w:szCs w:val="14"/>
                <w:color w:val="auto"/>
              </w:rPr>
            </w:pPr>
          </w:p>
        </w:tc>
        <w:tc>
          <w:tcPr>
            <w:tcW w:w="880" w:type="dxa"/>
            <w:vAlign w:val="bottom"/>
            <w:tcBorders>
              <w:top w:val="single" w:sz="8" w:color="51555C"/>
            </w:tcBorders>
          </w:tcPr>
          <w:p>
            <w:pPr>
              <w:jc w:val="right"/>
              <w:spacing w:after="0" w:line="164" w:lineRule="exact"/>
              <w:rPr>
                <w:sz w:val="20"/>
                <w:szCs w:val="20"/>
                <w:color w:val="auto"/>
              </w:rPr>
            </w:pPr>
            <w:r>
              <w:rPr>
                <w:rFonts w:ascii="Calibri" w:cs="Calibri" w:eastAsia="Calibri" w:hAnsi="Calibri"/>
                <w:sz w:val="14"/>
                <w:szCs w:val="14"/>
                <w:b w:val="1"/>
                <w:bCs w:val="1"/>
                <w:color w:val="51555C"/>
              </w:rPr>
              <w:t>3.9 %</w:t>
            </w:r>
          </w:p>
        </w:tc>
        <w:tc>
          <w:tcPr>
            <w:tcW w:w="200" w:type="dxa"/>
            <w:vAlign w:val="bottom"/>
            <w:tcBorders>
              <w:top w:val="single" w:sz="8" w:color="51555C"/>
            </w:tcBorders>
          </w:tcPr>
          <w:p>
            <w:pPr>
              <w:spacing w:after="0"/>
              <w:rPr>
                <w:sz w:val="14"/>
                <w:szCs w:val="14"/>
                <w:color w:val="auto"/>
              </w:rPr>
            </w:pPr>
          </w:p>
        </w:tc>
        <w:tc>
          <w:tcPr>
            <w:tcW w:w="1040" w:type="dxa"/>
            <w:vAlign w:val="bottom"/>
            <w:tcBorders>
              <w:top w:val="single" w:sz="8" w:color="51555C"/>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51555C"/>
            </w:tcBorders>
          </w:tcPr>
          <w:p>
            <w:pPr>
              <w:spacing w:after="0"/>
              <w:rPr>
                <w:sz w:val="14"/>
                <w:szCs w:val="14"/>
                <w:color w:val="auto"/>
              </w:rPr>
            </w:pPr>
          </w:p>
        </w:tc>
        <w:tc>
          <w:tcPr>
            <w:tcW w:w="880" w:type="dxa"/>
            <w:vAlign w:val="bottom"/>
            <w:tcBorders>
              <w:top w:val="single" w:sz="8" w:color="51555C"/>
            </w:tcBorders>
          </w:tcPr>
          <w:p>
            <w:pPr>
              <w:jc w:val="right"/>
              <w:spacing w:after="0" w:line="164" w:lineRule="exact"/>
              <w:rPr>
                <w:sz w:val="20"/>
                <w:szCs w:val="20"/>
                <w:color w:val="auto"/>
              </w:rPr>
            </w:pPr>
            <w:r>
              <w:rPr>
                <w:rFonts w:ascii="Calibri" w:cs="Calibri" w:eastAsia="Calibri" w:hAnsi="Calibri"/>
                <w:sz w:val="14"/>
                <w:szCs w:val="14"/>
                <w:b w:val="1"/>
                <w:bCs w:val="1"/>
                <w:color w:val="51555C"/>
              </w:rPr>
              <w:t>5.7 %</w:t>
            </w:r>
          </w:p>
        </w:tc>
        <w:tc>
          <w:tcPr>
            <w:tcW w:w="220" w:type="dxa"/>
            <w:vAlign w:val="bottom"/>
            <w:tcBorders>
              <w:top w:val="single" w:sz="8" w:color="51555C"/>
            </w:tcBorders>
          </w:tcPr>
          <w:p>
            <w:pPr>
              <w:spacing w:after="0"/>
              <w:rPr>
                <w:sz w:val="14"/>
                <w:szCs w:val="14"/>
                <w:color w:val="auto"/>
              </w:rPr>
            </w:pPr>
          </w:p>
        </w:tc>
        <w:tc>
          <w:tcPr>
            <w:tcW w:w="1020" w:type="dxa"/>
            <w:vAlign w:val="bottom"/>
            <w:tcBorders>
              <w:top w:val="single" w:sz="8" w:color="51555C"/>
            </w:tcBorders>
          </w:tcPr>
          <w:p>
            <w:pPr>
              <w:spacing w:after="0"/>
              <w:rPr>
                <w:sz w:val="14"/>
                <w:szCs w:val="14"/>
                <w:color w:val="auto"/>
              </w:rPr>
            </w:pPr>
          </w:p>
        </w:tc>
        <w:tc>
          <w:tcPr>
            <w:tcW w:w="20" w:type="dxa"/>
            <w:vAlign w:val="bottom"/>
          </w:tcPr>
          <w:p>
            <w:pPr>
              <w:spacing w:after="0"/>
              <w:rPr>
                <w:sz w:val="14"/>
                <w:szCs w:val="14"/>
                <w:color w:val="auto"/>
              </w:rPr>
            </w:pPr>
          </w:p>
        </w:tc>
      </w:tr>
      <w:tr>
        <w:trPr>
          <w:trHeight w:val="60"/>
        </w:trPr>
        <w:tc>
          <w:tcPr>
            <w:tcW w:w="59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49"/>
        </w:trPr>
        <w:tc>
          <w:tcPr>
            <w:tcW w:w="5980" w:type="dxa"/>
            <w:vAlign w:val="bottom"/>
            <w:shd w:val="clear" w:color="auto" w:fill="EBFBFF"/>
          </w:tcPr>
          <w:p>
            <w:pPr>
              <w:spacing w:after="0"/>
              <w:rPr>
                <w:sz w:val="12"/>
                <w:szCs w:val="12"/>
                <w:color w:val="auto"/>
              </w:rPr>
            </w:pPr>
          </w:p>
        </w:tc>
        <w:tc>
          <w:tcPr>
            <w:tcW w:w="460" w:type="dxa"/>
            <w:vAlign w:val="bottom"/>
            <w:shd w:val="clear" w:color="auto" w:fill="EBFBFF"/>
          </w:tcPr>
          <w:p>
            <w:pPr>
              <w:spacing w:after="0"/>
              <w:rPr>
                <w:sz w:val="12"/>
                <w:szCs w:val="12"/>
                <w:color w:val="auto"/>
              </w:rPr>
            </w:pPr>
          </w:p>
        </w:tc>
        <w:tc>
          <w:tcPr>
            <w:tcW w:w="880" w:type="dxa"/>
            <w:vAlign w:val="bottom"/>
            <w:shd w:val="clear" w:color="auto" w:fill="EBFBFF"/>
          </w:tcPr>
          <w:p>
            <w:pPr>
              <w:spacing w:after="0"/>
              <w:rPr>
                <w:sz w:val="12"/>
                <w:szCs w:val="12"/>
                <w:color w:val="auto"/>
              </w:rPr>
            </w:pPr>
          </w:p>
        </w:tc>
        <w:tc>
          <w:tcPr>
            <w:tcW w:w="200" w:type="dxa"/>
            <w:vAlign w:val="bottom"/>
            <w:shd w:val="clear" w:color="auto" w:fill="EBFBFF"/>
          </w:tcPr>
          <w:p>
            <w:pPr>
              <w:spacing w:after="0"/>
              <w:rPr>
                <w:sz w:val="12"/>
                <w:szCs w:val="12"/>
                <w:color w:val="auto"/>
              </w:rPr>
            </w:pPr>
          </w:p>
        </w:tc>
        <w:tc>
          <w:tcPr>
            <w:tcW w:w="1040" w:type="dxa"/>
            <w:vAlign w:val="bottom"/>
            <w:tcBorders>
              <w:right w:val="single" w:sz="8" w:color="EBFBFF"/>
            </w:tcBorders>
            <w:shd w:val="clear" w:color="auto" w:fill="EBFBFF"/>
          </w:tcPr>
          <w:p>
            <w:pPr>
              <w:spacing w:after="0"/>
              <w:rPr>
                <w:sz w:val="12"/>
                <w:szCs w:val="12"/>
                <w:color w:val="auto"/>
              </w:rPr>
            </w:pPr>
          </w:p>
        </w:tc>
        <w:tc>
          <w:tcPr>
            <w:tcW w:w="80" w:type="dxa"/>
            <w:vAlign w:val="bottom"/>
            <w:shd w:val="clear" w:color="auto" w:fill="EBFBFF"/>
          </w:tcPr>
          <w:p>
            <w:pPr>
              <w:spacing w:after="0"/>
              <w:rPr>
                <w:sz w:val="12"/>
                <w:szCs w:val="12"/>
                <w:color w:val="auto"/>
              </w:rPr>
            </w:pPr>
          </w:p>
        </w:tc>
        <w:tc>
          <w:tcPr>
            <w:tcW w:w="480" w:type="dxa"/>
            <w:vAlign w:val="bottom"/>
            <w:shd w:val="clear" w:color="auto" w:fill="EBFBFF"/>
          </w:tcPr>
          <w:p>
            <w:pPr>
              <w:spacing w:after="0"/>
              <w:rPr>
                <w:sz w:val="12"/>
                <w:szCs w:val="12"/>
                <w:color w:val="auto"/>
              </w:rPr>
            </w:pPr>
          </w:p>
        </w:tc>
        <w:tc>
          <w:tcPr>
            <w:tcW w:w="880" w:type="dxa"/>
            <w:vAlign w:val="bottom"/>
            <w:shd w:val="clear" w:color="auto" w:fill="EBFBFF"/>
          </w:tcPr>
          <w:p>
            <w:pPr>
              <w:spacing w:after="0"/>
              <w:rPr>
                <w:sz w:val="12"/>
                <w:szCs w:val="12"/>
                <w:color w:val="auto"/>
              </w:rPr>
            </w:pPr>
          </w:p>
        </w:tc>
        <w:tc>
          <w:tcPr>
            <w:tcW w:w="220" w:type="dxa"/>
            <w:vAlign w:val="bottom"/>
            <w:shd w:val="clear" w:color="auto" w:fill="EBFBFF"/>
          </w:tcPr>
          <w:p>
            <w:pPr>
              <w:spacing w:after="0"/>
              <w:rPr>
                <w:sz w:val="12"/>
                <w:szCs w:val="12"/>
                <w:color w:val="auto"/>
              </w:rPr>
            </w:pPr>
          </w:p>
        </w:tc>
        <w:tc>
          <w:tcPr>
            <w:tcW w:w="1020" w:type="dxa"/>
            <w:vAlign w:val="bottom"/>
            <w:shd w:val="clear" w:color="auto" w:fill="EBFBFF"/>
          </w:tcPr>
          <w:p>
            <w:pPr>
              <w:spacing w:after="0"/>
              <w:rPr>
                <w:sz w:val="12"/>
                <w:szCs w:val="12"/>
                <w:color w:val="auto"/>
              </w:rPr>
            </w:pPr>
          </w:p>
        </w:tc>
        <w:tc>
          <w:tcPr>
            <w:tcW w:w="20" w:type="dxa"/>
            <w:vAlign w:val="bottom"/>
          </w:tcPr>
          <w:p>
            <w:pPr>
              <w:spacing w:after="0"/>
              <w:rPr>
                <w:sz w:val="12"/>
                <w:szCs w:val="12"/>
                <w:color w:val="auto"/>
              </w:rPr>
            </w:pPr>
          </w:p>
        </w:tc>
      </w:tr>
      <w:tr>
        <w:trPr>
          <w:trHeight w:val="170"/>
        </w:trPr>
        <w:tc>
          <w:tcPr>
            <w:tcW w:w="5980" w:type="dxa"/>
            <w:vAlign w:val="bottom"/>
          </w:tcPr>
          <w:p>
            <w:pPr>
              <w:ind w:left="20"/>
              <w:spacing w:after="0"/>
              <w:rPr>
                <w:sz w:val="20"/>
                <w:szCs w:val="20"/>
                <w:color w:val="auto"/>
              </w:rPr>
            </w:pPr>
            <w:r>
              <w:rPr>
                <w:rFonts w:ascii="Calibri" w:cs="Calibri" w:eastAsia="Calibri" w:hAnsi="Calibri"/>
                <w:sz w:val="14"/>
                <w:szCs w:val="14"/>
                <w:color w:val="51555C"/>
              </w:rPr>
              <w:t>GAAP recurring revenue</w:t>
            </w:r>
          </w:p>
        </w:tc>
        <w:tc>
          <w:tcPr>
            <w:tcW w:w="460" w:type="dxa"/>
            <w:vAlign w:val="bottom"/>
          </w:tcPr>
          <w:p>
            <w:pPr>
              <w:jc w:val="right"/>
              <w:ind w:right="308"/>
              <w:spacing w:after="0"/>
              <w:rPr>
                <w:sz w:val="20"/>
                <w:szCs w:val="20"/>
                <w:color w:val="auto"/>
              </w:rPr>
            </w:pPr>
            <w:r>
              <w:rPr>
                <w:rFonts w:ascii="Calibri" w:cs="Calibri" w:eastAsia="Calibri" w:hAnsi="Calibri"/>
                <w:sz w:val="14"/>
                <w:szCs w:val="14"/>
                <w:color w:val="51555C"/>
                <w:w w:val="83"/>
              </w:rPr>
              <w:t>$</w:t>
            </w:r>
          </w:p>
        </w:tc>
        <w:tc>
          <w:tcPr>
            <w:tcW w:w="880" w:type="dxa"/>
            <w:vAlign w:val="bottom"/>
          </w:tcPr>
          <w:p>
            <w:pPr>
              <w:jc w:val="right"/>
              <w:ind w:right="108"/>
              <w:spacing w:after="0"/>
              <w:rPr>
                <w:sz w:val="20"/>
                <w:szCs w:val="20"/>
                <w:color w:val="auto"/>
              </w:rPr>
            </w:pPr>
            <w:r>
              <w:rPr>
                <w:rFonts w:ascii="Calibri" w:cs="Calibri" w:eastAsia="Calibri" w:hAnsi="Calibri"/>
                <w:sz w:val="14"/>
                <w:szCs w:val="14"/>
                <w:color w:val="51555C"/>
              </w:rPr>
              <w:t>280.0</w:t>
            </w:r>
          </w:p>
        </w:tc>
        <w:tc>
          <w:tcPr>
            <w:tcW w:w="200" w:type="dxa"/>
            <w:vAlign w:val="bottom"/>
          </w:tcPr>
          <w:p>
            <w:pPr>
              <w:jc w:val="right"/>
              <w:ind w:right="48"/>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ind w:right="8"/>
              <w:spacing w:after="0"/>
              <w:rPr>
                <w:sz w:val="20"/>
                <w:szCs w:val="20"/>
                <w:color w:val="auto"/>
              </w:rPr>
            </w:pPr>
            <w:r>
              <w:rPr>
                <w:rFonts w:ascii="Calibri" w:cs="Calibri" w:eastAsia="Calibri" w:hAnsi="Calibri"/>
                <w:sz w:val="14"/>
                <w:szCs w:val="14"/>
                <w:color w:val="51555C"/>
              </w:rPr>
              <w:t>269.0</w:t>
            </w:r>
          </w:p>
        </w:tc>
        <w:tc>
          <w:tcPr>
            <w:tcW w:w="560" w:type="dxa"/>
            <w:vAlign w:val="bottom"/>
            <w:gridSpan w:val="2"/>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Pr>
          <w:p>
            <w:pPr>
              <w:jc w:val="right"/>
              <w:ind w:right="88"/>
              <w:spacing w:after="0"/>
              <w:rPr>
                <w:sz w:val="20"/>
                <w:szCs w:val="20"/>
                <w:color w:val="auto"/>
              </w:rPr>
            </w:pPr>
            <w:r>
              <w:rPr>
                <w:rFonts w:ascii="Calibri" w:cs="Calibri" w:eastAsia="Calibri" w:hAnsi="Calibri"/>
                <w:sz w:val="14"/>
                <w:szCs w:val="14"/>
                <w:color w:val="51555C"/>
              </w:rPr>
              <w:t>832.9</w:t>
            </w:r>
          </w:p>
        </w:tc>
        <w:tc>
          <w:tcPr>
            <w:tcW w:w="220" w:type="dxa"/>
            <w:vAlign w:val="bottom"/>
          </w:tcPr>
          <w:p>
            <w:pPr>
              <w:jc w:val="right"/>
              <w:ind w:right="68"/>
              <w:spacing w:after="0"/>
              <w:rPr>
                <w:sz w:val="20"/>
                <w:szCs w:val="20"/>
                <w:color w:val="auto"/>
              </w:rPr>
            </w:pPr>
            <w:r>
              <w:rPr>
                <w:rFonts w:ascii="Calibri" w:cs="Calibri" w:eastAsia="Calibri" w:hAnsi="Calibri"/>
                <w:sz w:val="14"/>
                <w:szCs w:val="14"/>
                <w:color w:val="51555C"/>
                <w:w w:val="83"/>
              </w:rPr>
              <w:t>$</w:t>
            </w: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784.1</w:t>
            </w:r>
          </w:p>
        </w:tc>
        <w:tc>
          <w:tcPr>
            <w:tcW w:w="20" w:type="dxa"/>
            <w:vAlign w:val="bottom"/>
          </w:tcPr>
          <w:p>
            <w:pPr>
              <w:spacing w:after="0"/>
              <w:rPr>
                <w:sz w:val="14"/>
                <w:szCs w:val="14"/>
                <w:color w:val="auto"/>
              </w:rPr>
            </w:pPr>
          </w:p>
        </w:tc>
      </w:tr>
      <w:tr>
        <w:trPr>
          <w:trHeight w:val="60"/>
        </w:trPr>
        <w:tc>
          <w:tcPr>
            <w:tcW w:w="59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9"/>
        </w:trPr>
        <w:tc>
          <w:tcPr>
            <w:tcW w:w="5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GAAP recurring revenue growth</w:t>
            </w:r>
          </w:p>
        </w:tc>
        <w:tc>
          <w:tcPr>
            <w:tcW w:w="460" w:type="dxa"/>
            <w:vAlign w:val="bottom"/>
            <w:tcBorders>
              <w:bottom w:val="single" w:sz="8" w:color="EBFBFF"/>
            </w:tcBorders>
            <w:shd w:val="clear" w:color="auto" w:fill="EBFBFF"/>
          </w:tcPr>
          <w:p>
            <w:pPr>
              <w:spacing w:after="0"/>
              <w:rPr>
                <w:sz w:val="18"/>
                <w:szCs w:val="18"/>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b w:val="1"/>
                <w:bCs w:val="1"/>
                <w:color w:val="51555C"/>
              </w:rPr>
              <w:t>4.1 %</w:t>
            </w:r>
          </w:p>
        </w:tc>
        <w:tc>
          <w:tcPr>
            <w:tcW w:w="20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right w:val="single" w:sz="8" w:color="EBFBFF"/>
            </w:tcBorders>
            <w:shd w:val="clear" w:color="auto" w:fill="EBFBFF"/>
          </w:tcPr>
          <w:p>
            <w:pPr>
              <w:spacing w:after="0"/>
              <w:rPr>
                <w:sz w:val="18"/>
                <w:szCs w:val="18"/>
                <w:color w:val="auto"/>
              </w:rPr>
            </w:pPr>
          </w:p>
        </w:tc>
        <w:tc>
          <w:tcPr>
            <w:tcW w:w="80" w:type="dxa"/>
            <w:vAlign w:val="bottom"/>
            <w:tcBorders>
              <w:bottom w:val="single" w:sz="8" w:color="EBFBFF"/>
            </w:tcBorders>
            <w:shd w:val="clear" w:color="auto" w:fill="EBFBFF"/>
          </w:tcPr>
          <w:p>
            <w:pPr>
              <w:spacing w:after="0"/>
              <w:rPr>
                <w:sz w:val="18"/>
                <w:szCs w:val="18"/>
                <w:color w:val="auto"/>
              </w:rPr>
            </w:pPr>
          </w:p>
        </w:tc>
        <w:tc>
          <w:tcPr>
            <w:tcW w:w="480" w:type="dxa"/>
            <w:vAlign w:val="bottom"/>
            <w:tcBorders>
              <w:bottom w:val="single" w:sz="8" w:color="EBFBFF"/>
            </w:tcBorders>
            <w:shd w:val="clear" w:color="auto" w:fill="EBFBFF"/>
          </w:tcPr>
          <w:p>
            <w:pPr>
              <w:spacing w:after="0"/>
              <w:rPr>
                <w:sz w:val="18"/>
                <w:szCs w:val="18"/>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b w:val="1"/>
                <w:bCs w:val="1"/>
                <w:color w:val="51555C"/>
              </w:rPr>
              <w:t>6.2 %</w:t>
            </w:r>
          </w:p>
        </w:tc>
        <w:tc>
          <w:tcPr>
            <w:tcW w:w="22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980" w:type="dxa"/>
            <w:vAlign w:val="bottom"/>
            <w:tcBorders>
              <w:bottom w:val="single" w:sz="8" w:color="EBFBFF"/>
            </w:tcBorders>
          </w:tcPr>
          <w:p>
            <w:pPr>
              <w:ind w:left="140"/>
              <w:spacing w:after="0" w:line="216" w:lineRule="exact"/>
              <w:rPr>
                <w:sz w:val="20"/>
                <w:szCs w:val="20"/>
                <w:color w:val="auto"/>
              </w:rPr>
            </w:pPr>
            <w:r>
              <w:rPr>
                <w:rFonts w:ascii="Calibri" w:cs="Calibri" w:eastAsia="Calibri" w:hAnsi="Calibri"/>
                <w:sz w:val="14"/>
                <w:szCs w:val="14"/>
                <w:color w:val="51555C"/>
              </w:rPr>
              <w:t>Less: Non-GAAP recurring revenue from divested businesses</w:t>
            </w:r>
            <w:r>
              <w:rPr>
                <w:rFonts w:ascii="Calibri" w:cs="Calibri" w:eastAsia="Calibri" w:hAnsi="Calibri"/>
                <w:sz w:val="18"/>
                <w:szCs w:val="18"/>
                <w:color w:val="51555C"/>
                <w:vertAlign w:val="superscript"/>
              </w:rPr>
              <w:t>(2)</w:t>
            </w:r>
          </w:p>
        </w:tc>
        <w:tc>
          <w:tcPr>
            <w:tcW w:w="460" w:type="dxa"/>
            <w:vAlign w:val="bottom"/>
            <w:tcBorders>
              <w:bottom w:val="single" w:sz="8" w:color="51555C"/>
            </w:tcBorders>
          </w:tcPr>
          <w:p>
            <w:pPr>
              <w:spacing w:after="0"/>
              <w:rPr>
                <w:sz w:val="19"/>
                <w:szCs w:val="19"/>
                <w:color w:val="auto"/>
              </w:rPr>
            </w:pPr>
          </w:p>
        </w:tc>
        <w:tc>
          <w:tcPr>
            <w:tcW w:w="880" w:type="dxa"/>
            <w:vAlign w:val="bottom"/>
            <w:tcBorders>
              <w:bottom w:val="single" w:sz="8" w:color="51555C"/>
            </w:tcBorders>
          </w:tcPr>
          <w:p>
            <w:pPr>
              <w:jc w:val="right"/>
              <w:ind w:right="108"/>
              <w:spacing w:after="0"/>
              <w:rPr>
                <w:sz w:val="20"/>
                <w:szCs w:val="20"/>
                <w:color w:val="auto"/>
              </w:rPr>
            </w:pPr>
            <w:r>
              <w:rPr>
                <w:rFonts w:ascii="Calibri" w:cs="Calibri" w:eastAsia="Calibri" w:hAnsi="Calibri"/>
                <w:sz w:val="14"/>
                <w:szCs w:val="14"/>
                <w:color w:val="51555C"/>
              </w:rPr>
              <w:t>—</w:t>
            </w:r>
          </w:p>
        </w:tc>
        <w:tc>
          <w:tcPr>
            <w:tcW w:w="200" w:type="dxa"/>
            <w:vAlign w:val="bottom"/>
            <w:tcBorders>
              <w:bottom w:val="single" w:sz="8" w:color="51555C"/>
            </w:tcBorders>
          </w:tcPr>
          <w:p>
            <w:pPr>
              <w:spacing w:after="0"/>
              <w:rPr>
                <w:sz w:val="19"/>
                <w:szCs w:val="19"/>
                <w:color w:val="auto"/>
              </w:rPr>
            </w:pPr>
          </w:p>
        </w:tc>
        <w:tc>
          <w:tcPr>
            <w:tcW w:w="1040" w:type="dxa"/>
            <w:vAlign w:val="bottom"/>
            <w:tcBorders>
              <w:bottom w:val="single" w:sz="8" w:color="51555C"/>
            </w:tcBorders>
          </w:tcPr>
          <w:p>
            <w:pPr>
              <w:jc w:val="right"/>
              <w:ind w:right="8"/>
              <w:spacing w:after="0"/>
              <w:rPr>
                <w:sz w:val="20"/>
                <w:szCs w:val="20"/>
                <w:color w:val="auto"/>
              </w:rPr>
            </w:pPr>
            <w:r>
              <w:rPr>
                <w:rFonts w:ascii="Calibri" w:cs="Calibri" w:eastAsia="Calibri" w:hAnsi="Calibri"/>
                <w:sz w:val="14"/>
                <w:szCs w:val="14"/>
                <w:color w:val="51555C"/>
              </w:rPr>
              <w:t>—</w:t>
            </w:r>
          </w:p>
        </w:tc>
        <w:tc>
          <w:tcPr>
            <w:tcW w:w="80" w:type="dxa"/>
            <w:vAlign w:val="bottom"/>
            <w:tcBorders>
              <w:bottom w:val="single" w:sz="8" w:color="EBFBFF"/>
            </w:tcBorders>
          </w:tcPr>
          <w:p>
            <w:pPr>
              <w:spacing w:after="0"/>
              <w:rPr>
                <w:sz w:val="19"/>
                <w:szCs w:val="19"/>
                <w:color w:val="auto"/>
              </w:rPr>
            </w:pPr>
          </w:p>
        </w:tc>
        <w:tc>
          <w:tcPr>
            <w:tcW w:w="480" w:type="dxa"/>
            <w:vAlign w:val="bottom"/>
            <w:tcBorders>
              <w:bottom w:val="single" w:sz="8" w:color="51555C"/>
            </w:tcBorders>
          </w:tcPr>
          <w:p>
            <w:pPr>
              <w:spacing w:after="0"/>
              <w:rPr>
                <w:sz w:val="19"/>
                <w:szCs w:val="19"/>
                <w:color w:val="auto"/>
              </w:rPr>
            </w:pPr>
          </w:p>
        </w:tc>
        <w:tc>
          <w:tcPr>
            <w:tcW w:w="880" w:type="dxa"/>
            <w:vAlign w:val="bottom"/>
            <w:tcBorders>
              <w:bottom w:val="single" w:sz="8" w:color="51555C"/>
            </w:tcBorders>
          </w:tcPr>
          <w:p>
            <w:pPr>
              <w:jc w:val="right"/>
              <w:ind w:right="88"/>
              <w:spacing w:after="0"/>
              <w:rPr>
                <w:sz w:val="20"/>
                <w:szCs w:val="20"/>
                <w:color w:val="auto"/>
              </w:rPr>
            </w:pPr>
            <w:r>
              <w:rPr>
                <w:rFonts w:ascii="Calibri" w:cs="Calibri" w:eastAsia="Calibri" w:hAnsi="Calibri"/>
                <w:sz w:val="14"/>
                <w:szCs w:val="14"/>
                <w:color w:val="51555C"/>
              </w:rPr>
              <w:t>—</w:t>
            </w:r>
          </w:p>
        </w:tc>
        <w:tc>
          <w:tcPr>
            <w:tcW w:w="220" w:type="dxa"/>
            <w:vAlign w:val="bottom"/>
            <w:tcBorders>
              <w:bottom w:val="single" w:sz="8" w:color="51555C"/>
            </w:tcBorders>
          </w:tcPr>
          <w:p>
            <w:pPr>
              <w:spacing w:after="0"/>
              <w:rPr>
                <w:sz w:val="19"/>
                <w:szCs w:val="19"/>
                <w:color w:val="auto"/>
              </w:rPr>
            </w:pPr>
          </w:p>
        </w:tc>
        <w:tc>
          <w:tcPr>
            <w:tcW w:w="1020" w:type="dxa"/>
            <w:vAlign w:val="bottom"/>
            <w:tcBorders>
              <w:bottom w:val="single" w:sz="8" w:color="51555C"/>
            </w:tcBorders>
          </w:tcPr>
          <w:p>
            <w:pPr>
              <w:jc w:val="right"/>
              <w:spacing w:after="0"/>
              <w:rPr>
                <w:sz w:val="20"/>
                <w:szCs w:val="20"/>
                <w:color w:val="auto"/>
              </w:rPr>
            </w:pPr>
            <w:r>
              <w:rPr>
                <w:rFonts w:ascii="Calibri" w:cs="Calibri" w:eastAsia="Calibri" w:hAnsi="Calibri"/>
                <w:sz w:val="14"/>
                <w:szCs w:val="14"/>
                <w:color w:val="51555C"/>
              </w:rPr>
              <w:t>—</w:t>
            </w:r>
          </w:p>
        </w:tc>
        <w:tc>
          <w:tcPr>
            <w:tcW w:w="20" w:type="dxa"/>
            <w:vAlign w:val="bottom"/>
          </w:tcPr>
          <w:p>
            <w:pPr>
              <w:spacing w:after="0"/>
              <w:rPr>
                <w:sz w:val="19"/>
                <w:szCs w:val="19"/>
                <w:color w:val="auto"/>
              </w:rPr>
            </w:pPr>
          </w:p>
        </w:tc>
      </w:tr>
      <w:tr>
        <w:trPr>
          <w:trHeight w:val="230"/>
        </w:trPr>
        <w:tc>
          <w:tcPr>
            <w:tcW w:w="5980" w:type="dxa"/>
            <w:vAlign w:val="bottom"/>
            <w:tcBorders>
              <w:bottom w:val="single" w:sz="8" w:color="EBFBFF"/>
            </w:tcBorders>
            <w:shd w:val="clear" w:color="auto" w:fill="EBFBFF"/>
          </w:tcPr>
          <w:p>
            <w:pPr>
              <w:ind w:left="20"/>
              <w:spacing w:after="0" w:line="208" w:lineRule="exact"/>
              <w:rPr>
                <w:sz w:val="20"/>
                <w:szCs w:val="20"/>
                <w:color w:val="auto"/>
              </w:rPr>
            </w:pPr>
            <w:r>
              <w:rPr>
                <w:rFonts w:ascii="Calibri" w:cs="Calibri" w:eastAsia="Calibri" w:hAnsi="Calibri"/>
                <w:sz w:val="14"/>
                <w:szCs w:val="14"/>
                <w:color w:val="51555C"/>
              </w:rPr>
              <w:t>Non-GAAP organic recurring revenue</w:t>
            </w:r>
            <w:r>
              <w:rPr>
                <w:rFonts w:ascii="Calibri" w:cs="Calibri" w:eastAsia="Calibri" w:hAnsi="Calibri"/>
                <w:sz w:val="18"/>
                <w:szCs w:val="18"/>
                <w:color w:val="51555C"/>
                <w:vertAlign w:val="superscript"/>
              </w:rPr>
              <w:t>(3)</w:t>
            </w:r>
          </w:p>
        </w:tc>
        <w:tc>
          <w:tcPr>
            <w:tcW w:w="460" w:type="dxa"/>
            <w:vAlign w:val="bottom"/>
            <w:tcBorders>
              <w:bottom w:val="single" w:sz="8" w:color="EBFBFF"/>
            </w:tcBorders>
            <w:shd w:val="clear" w:color="auto" w:fill="EBFBFF"/>
          </w:tcPr>
          <w:p>
            <w:pPr>
              <w:jc w:val="right"/>
              <w:ind w:right="308"/>
              <w:spacing w:after="0"/>
              <w:rPr>
                <w:sz w:val="20"/>
                <w:szCs w:val="20"/>
                <w:color w:val="auto"/>
              </w:rPr>
            </w:pPr>
            <w:r>
              <w:rPr>
                <w:rFonts w:ascii="Calibri" w:cs="Calibri" w:eastAsia="Calibri" w:hAnsi="Calibri"/>
                <w:sz w:val="14"/>
                <w:szCs w:val="14"/>
                <w:color w:val="51555C"/>
                <w:w w:val="83"/>
              </w:rPr>
              <w:t>$</w:t>
            </w:r>
          </w:p>
        </w:tc>
        <w:tc>
          <w:tcPr>
            <w:tcW w:w="880" w:type="dxa"/>
            <w:vAlign w:val="bottom"/>
            <w:tcBorders>
              <w:bottom w:val="single" w:sz="8" w:color="EBFBFF"/>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280.0</w:t>
            </w:r>
          </w:p>
        </w:tc>
        <w:tc>
          <w:tcPr>
            <w:tcW w:w="20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right w:val="single" w:sz="8" w:color="EBFBFF"/>
            </w:tcBorders>
            <w:shd w:val="clear" w:color="auto" w:fill="EBFBFF"/>
          </w:tcPr>
          <w:p>
            <w:pPr>
              <w:jc w:val="right"/>
              <w:ind w:right="8"/>
              <w:spacing w:after="0"/>
              <w:rPr>
                <w:sz w:val="20"/>
                <w:szCs w:val="20"/>
                <w:color w:val="auto"/>
              </w:rPr>
            </w:pPr>
            <w:r>
              <w:rPr>
                <w:rFonts w:ascii="Calibri" w:cs="Calibri" w:eastAsia="Calibri" w:hAnsi="Calibri"/>
                <w:sz w:val="14"/>
                <w:szCs w:val="14"/>
                <w:color w:val="51555C"/>
              </w:rPr>
              <w:t>269.0</w:t>
            </w:r>
          </w:p>
        </w:tc>
        <w:tc>
          <w:tcPr>
            <w:tcW w:w="80" w:type="dxa"/>
            <w:vAlign w:val="bottom"/>
            <w:tcBorders>
              <w:bottom w:val="single" w:sz="8" w:color="EBFBFF"/>
            </w:tcBorders>
            <w:shd w:val="clear" w:color="auto" w:fill="EBFBFF"/>
          </w:tcPr>
          <w:p>
            <w:pPr>
              <w:spacing w:after="0"/>
              <w:rPr>
                <w:sz w:val="19"/>
                <w:szCs w:val="19"/>
                <w:color w:val="auto"/>
              </w:rPr>
            </w:pPr>
          </w:p>
        </w:tc>
        <w:tc>
          <w:tcPr>
            <w:tcW w:w="480" w:type="dxa"/>
            <w:vAlign w:val="bottom"/>
            <w:tcBorders>
              <w:bottom w:val="single" w:sz="8" w:color="EBFBFF"/>
            </w:tcBorders>
            <w:shd w:val="clear" w:color="auto" w:fill="EBFBFF"/>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832.9</w:t>
            </w:r>
          </w:p>
        </w:tc>
        <w:tc>
          <w:tcPr>
            <w:tcW w:w="22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784.1</w:t>
            </w:r>
          </w:p>
        </w:tc>
        <w:tc>
          <w:tcPr>
            <w:tcW w:w="20" w:type="dxa"/>
            <w:vAlign w:val="bottom"/>
          </w:tcPr>
          <w:p>
            <w:pPr>
              <w:spacing w:after="0"/>
              <w:rPr>
                <w:sz w:val="19"/>
                <w:szCs w:val="19"/>
                <w:color w:val="auto"/>
              </w:rPr>
            </w:pPr>
          </w:p>
        </w:tc>
      </w:tr>
      <w:tr>
        <w:trPr>
          <w:trHeight w:val="163"/>
        </w:trPr>
        <w:tc>
          <w:tcPr>
            <w:tcW w:w="5980" w:type="dxa"/>
            <w:vAlign w:val="bottom"/>
          </w:tcPr>
          <w:p>
            <w:pPr>
              <w:ind w:left="20"/>
              <w:spacing w:after="0" w:line="163" w:lineRule="exact"/>
              <w:rPr>
                <w:sz w:val="20"/>
                <w:szCs w:val="20"/>
                <w:color w:val="auto"/>
              </w:rPr>
            </w:pPr>
            <w:r>
              <w:rPr>
                <w:rFonts w:ascii="Calibri" w:cs="Calibri" w:eastAsia="Calibri" w:hAnsi="Calibri"/>
                <w:sz w:val="14"/>
                <w:szCs w:val="14"/>
                <w:b w:val="1"/>
                <w:bCs w:val="1"/>
                <w:color w:val="51555C"/>
              </w:rPr>
              <w:t>Non-GAAP organic recurring revenue growth</w:t>
            </w:r>
          </w:p>
        </w:tc>
        <w:tc>
          <w:tcPr>
            <w:tcW w:w="460" w:type="dxa"/>
            <w:vAlign w:val="bottom"/>
            <w:tcBorders>
              <w:top w:val="single" w:sz="8" w:color="51555C"/>
            </w:tcBorders>
          </w:tcPr>
          <w:p>
            <w:pPr>
              <w:spacing w:after="0"/>
              <w:rPr>
                <w:sz w:val="14"/>
                <w:szCs w:val="14"/>
                <w:color w:val="auto"/>
              </w:rPr>
            </w:pPr>
          </w:p>
        </w:tc>
        <w:tc>
          <w:tcPr>
            <w:tcW w:w="880" w:type="dxa"/>
            <w:vAlign w:val="bottom"/>
            <w:tcBorders>
              <w:top w:val="single" w:sz="8" w:color="51555C"/>
            </w:tcBorders>
          </w:tcPr>
          <w:p>
            <w:pPr>
              <w:jc w:val="right"/>
              <w:spacing w:after="0" w:line="164" w:lineRule="exact"/>
              <w:rPr>
                <w:sz w:val="20"/>
                <w:szCs w:val="20"/>
                <w:color w:val="auto"/>
              </w:rPr>
            </w:pPr>
            <w:r>
              <w:rPr>
                <w:rFonts w:ascii="Calibri" w:cs="Calibri" w:eastAsia="Calibri" w:hAnsi="Calibri"/>
                <w:sz w:val="14"/>
                <w:szCs w:val="14"/>
                <w:b w:val="1"/>
                <w:bCs w:val="1"/>
                <w:color w:val="51555C"/>
              </w:rPr>
              <w:t>4.1 %</w:t>
            </w:r>
          </w:p>
        </w:tc>
        <w:tc>
          <w:tcPr>
            <w:tcW w:w="200" w:type="dxa"/>
            <w:vAlign w:val="bottom"/>
            <w:tcBorders>
              <w:top w:val="single" w:sz="8" w:color="51555C"/>
            </w:tcBorders>
          </w:tcPr>
          <w:p>
            <w:pPr>
              <w:spacing w:after="0"/>
              <w:rPr>
                <w:sz w:val="14"/>
                <w:szCs w:val="14"/>
                <w:color w:val="auto"/>
              </w:rPr>
            </w:pPr>
          </w:p>
        </w:tc>
        <w:tc>
          <w:tcPr>
            <w:tcW w:w="1040" w:type="dxa"/>
            <w:vAlign w:val="bottom"/>
            <w:tcBorders>
              <w:top w:val="single" w:sz="8" w:color="51555C"/>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51555C"/>
            </w:tcBorders>
          </w:tcPr>
          <w:p>
            <w:pPr>
              <w:spacing w:after="0"/>
              <w:rPr>
                <w:sz w:val="14"/>
                <w:szCs w:val="14"/>
                <w:color w:val="auto"/>
              </w:rPr>
            </w:pPr>
          </w:p>
        </w:tc>
        <w:tc>
          <w:tcPr>
            <w:tcW w:w="880" w:type="dxa"/>
            <w:vAlign w:val="bottom"/>
            <w:tcBorders>
              <w:top w:val="single" w:sz="8" w:color="51555C"/>
            </w:tcBorders>
          </w:tcPr>
          <w:p>
            <w:pPr>
              <w:jc w:val="right"/>
              <w:spacing w:after="0" w:line="164" w:lineRule="exact"/>
              <w:rPr>
                <w:sz w:val="20"/>
                <w:szCs w:val="20"/>
                <w:color w:val="auto"/>
              </w:rPr>
            </w:pPr>
            <w:r>
              <w:rPr>
                <w:rFonts w:ascii="Calibri" w:cs="Calibri" w:eastAsia="Calibri" w:hAnsi="Calibri"/>
                <w:sz w:val="14"/>
                <w:szCs w:val="14"/>
                <w:b w:val="1"/>
                <w:bCs w:val="1"/>
                <w:color w:val="51555C"/>
              </w:rPr>
              <w:t>6.2 %</w:t>
            </w:r>
          </w:p>
        </w:tc>
        <w:tc>
          <w:tcPr>
            <w:tcW w:w="220" w:type="dxa"/>
            <w:vAlign w:val="bottom"/>
            <w:tcBorders>
              <w:top w:val="single" w:sz="8" w:color="51555C"/>
            </w:tcBorders>
          </w:tcPr>
          <w:p>
            <w:pPr>
              <w:spacing w:after="0"/>
              <w:rPr>
                <w:sz w:val="14"/>
                <w:szCs w:val="14"/>
                <w:color w:val="auto"/>
              </w:rPr>
            </w:pPr>
          </w:p>
        </w:tc>
        <w:tc>
          <w:tcPr>
            <w:tcW w:w="1020" w:type="dxa"/>
            <w:vAlign w:val="bottom"/>
            <w:tcBorders>
              <w:top w:val="single" w:sz="8" w:color="51555C"/>
            </w:tcBorders>
          </w:tcPr>
          <w:p>
            <w:pPr>
              <w:spacing w:after="0"/>
              <w:rPr>
                <w:sz w:val="14"/>
                <w:szCs w:val="14"/>
                <w:color w:val="auto"/>
              </w:rPr>
            </w:pPr>
          </w:p>
        </w:tc>
        <w:tc>
          <w:tcPr>
            <w:tcW w:w="20" w:type="dxa"/>
            <w:vAlign w:val="bottom"/>
          </w:tcPr>
          <w:p>
            <w:pPr>
              <w:spacing w:after="0"/>
              <w:rPr>
                <w:sz w:val="14"/>
                <w:szCs w:val="14"/>
                <w:color w:val="auto"/>
              </w:rPr>
            </w:pPr>
          </w:p>
        </w:tc>
      </w:tr>
      <w:tr>
        <w:trPr>
          <w:trHeight w:val="60"/>
        </w:trPr>
        <w:tc>
          <w:tcPr>
            <w:tcW w:w="59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49"/>
        </w:trPr>
        <w:tc>
          <w:tcPr>
            <w:tcW w:w="5980" w:type="dxa"/>
            <w:vAlign w:val="bottom"/>
            <w:shd w:val="clear" w:color="auto" w:fill="EBFBFF"/>
          </w:tcPr>
          <w:p>
            <w:pPr>
              <w:spacing w:after="0"/>
              <w:rPr>
                <w:sz w:val="12"/>
                <w:szCs w:val="12"/>
                <w:color w:val="auto"/>
              </w:rPr>
            </w:pPr>
          </w:p>
        </w:tc>
        <w:tc>
          <w:tcPr>
            <w:tcW w:w="460" w:type="dxa"/>
            <w:vAlign w:val="bottom"/>
            <w:shd w:val="clear" w:color="auto" w:fill="EBFBFF"/>
          </w:tcPr>
          <w:p>
            <w:pPr>
              <w:spacing w:after="0"/>
              <w:rPr>
                <w:sz w:val="12"/>
                <w:szCs w:val="12"/>
                <w:color w:val="auto"/>
              </w:rPr>
            </w:pPr>
          </w:p>
        </w:tc>
        <w:tc>
          <w:tcPr>
            <w:tcW w:w="880" w:type="dxa"/>
            <w:vAlign w:val="bottom"/>
            <w:shd w:val="clear" w:color="auto" w:fill="EBFBFF"/>
          </w:tcPr>
          <w:p>
            <w:pPr>
              <w:spacing w:after="0"/>
              <w:rPr>
                <w:sz w:val="12"/>
                <w:szCs w:val="12"/>
                <w:color w:val="auto"/>
              </w:rPr>
            </w:pPr>
          </w:p>
        </w:tc>
        <w:tc>
          <w:tcPr>
            <w:tcW w:w="200" w:type="dxa"/>
            <w:vAlign w:val="bottom"/>
            <w:shd w:val="clear" w:color="auto" w:fill="EBFBFF"/>
          </w:tcPr>
          <w:p>
            <w:pPr>
              <w:spacing w:after="0"/>
              <w:rPr>
                <w:sz w:val="12"/>
                <w:szCs w:val="12"/>
                <w:color w:val="auto"/>
              </w:rPr>
            </w:pPr>
          </w:p>
        </w:tc>
        <w:tc>
          <w:tcPr>
            <w:tcW w:w="1040" w:type="dxa"/>
            <w:vAlign w:val="bottom"/>
            <w:tcBorders>
              <w:right w:val="single" w:sz="8" w:color="EBFBFF"/>
            </w:tcBorders>
            <w:shd w:val="clear" w:color="auto" w:fill="EBFBFF"/>
          </w:tcPr>
          <w:p>
            <w:pPr>
              <w:spacing w:after="0"/>
              <w:rPr>
                <w:sz w:val="12"/>
                <w:szCs w:val="12"/>
                <w:color w:val="auto"/>
              </w:rPr>
            </w:pPr>
          </w:p>
        </w:tc>
        <w:tc>
          <w:tcPr>
            <w:tcW w:w="80" w:type="dxa"/>
            <w:vAlign w:val="bottom"/>
            <w:shd w:val="clear" w:color="auto" w:fill="EBFBFF"/>
          </w:tcPr>
          <w:p>
            <w:pPr>
              <w:spacing w:after="0"/>
              <w:rPr>
                <w:sz w:val="12"/>
                <w:szCs w:val="12"/>
                <w:color w:val="auto"/>
              </w:rPr>
            </w:pPr>
          </w:p>
        </w:tc>
        <w:tc>
          <w:tcPr>
            <w:tcW w:w="480" w:type="dxa"/>
            <w:vAlign w:val="bottom"/>
            <w:shd w:val="clear" w:color="auto" w:fill="EBFBFF"/>
          </w:tcPr>
          <w:p>
            <w:pPr>
              <w:spacing w:after="0"/>
              <w:rPr>
                <w:sz w:val="12"/>
                <w:szCs w:val="12"/>
                <w:color w:val="auto"/>
              </w:rPr>
            </w:pPr>
          </w:p>
        </w:tc>
        <w:tc>
          <w:tcPr>
            <w:tcW w:w="880" w:type="dxa"/>
            <w:vAlign w:val="bottom"/>
            <w:shd w:val="clear" w:color="auto" w:fill="EBFBFF"/>
          </w:tcPr>
          <w:p>
            <w:pPr>
              <w:spacing w:after="0"/>
              <w:rPr>
                <w:sz w:val="12"/>
                <w:szCs w:val="12"/>
                <w:color w:val="auto"/>
              </w:rPr>
            </w:pPr>
          </w:p>
        </w:tc>
        <w:tc>
          <w:tcPr>
            <w:tcW w:w="220" w:type="dxa"/>
            <w:vAlign w:val="bottom"/>
            <w:shd w:val="clear" w:color="auto" w:fill="EBFBFF"/>
          </w:tcPr>
          <w:p>
            <w:pPr>
              <w:spacing w:after="0"/>
              <w:rPr>
                <w:sz w:val="12"/>
                <w:szCs w:val="12"/>
                <w:color w:val="auto"/>
              </w:rPr>
            </w:pPr>
          </w:p>
        </w:tc>
        <w:tc>
          <w:tcPr>
            <w:tcW w:w="1020" w:type="dxa"/>
            <w:vAlign w:val="bottom"/>
            <w:shd w:val="clear" w:color="auto" w:fill="EBFBFF"/>
          </w:tcPr>
          <w:p>
            <w:pPr>
              <w:spacing w:after="0"/>
              <w:rPr>
                <w:sz w:val="12"/>
                <w:szCs w:val="12"/>
                <w:color w:val="auto"/>
              </w:rPr>
            </w:pPr>
          </w:p>
        </w:tc>
        <w:tc>
          <w:tcPr>
            <w:tcW w:w="20" w:type="dxa"/>
            <w:vAlign w:val="bottom"/>
          </w:tcPr>
          <w:p>
            <w:pPr>
              <w:spacing w:after="0"/>
              <w:rPr>
                <w:sz w:val="12"/>
                <w:szCs w:val="12"/>
                <w:color w:val="auto"/>
              </w:rPr>
            </w:pPr>
          </w:p>
        </w:tc>
      </w:tr>
      <w:tr>
        <w:trPr>
          <w:trHeight w:val="222"/>
        </w:trPr>
        <w:tc>
          <w:tcPr>
            <w:tcW w:w="5980" w:type="dxa"/>
            <w:vAlign w:val="bottom"/>
          </w:tcPr>
          <w:p>
            <w:pPr>
              <w:ind w:left="20"/>
              <w:spacing w:after="0" w:line="216" w:lineRule="exact"/>
              <w:rPr>
                <w:sz w:val="20"/>
                <w:szCs w:val="20"/>
                <w:color w:val="auto"/>
              </w:rPr>
            </w:pPr>
            <w:r>
              <w:rPr>
                <w:rFonts w:ascii="Calibri" w:cs="Calibri" w:eastAsia="Calibri" w:hAnsi="Calibri"/>
                <w:sz w:val="14"/>
                <w:szCs w:val="14"/>
                <w:color w:val="51555C"/>
              </w:rPr>
              <w:t>Non-GAAP organic recurring revenue</w:t>
            </w:r>
            <w:r>
              <w:rPr>
                <w:rFonts w:ascii="Calibri" w:cs="Calibri" w:eastAsia="Calibri" w:hAnsi="Calibri"/>
                <w:sz w:val="18"/>
                <w:szCs w:val="18"/>
                <w:color w:val="51555C"/>
                <w:vertAlign w:val="superscript"/>
              </w:rPr>
              <w:t>(3)</w:t>
            </w:r>
          </w:p>
        </w:tc>
        <w:tc>
          <w:tcPr>
            <w:tcW w:w="460" w:type="dxa"/>
            <w:vAlign w:val="bottom"/>
          </w:tcPr>
          <w:p>
            <w:pPr>
              <w:jc w:val="right"/>
              <w:ind w:right="308"/>
              <w:spacing w:after="0"/>
              <w:rPr>
                <w:sz w:val="20"/>
                <w:szCs w:val="20"/>
                <w:color w:val="auto"/>
              </w:rPr>
            </w:pPr>
            <w:r>
              <w:rPr>
                <w:rFonts w:ascii="Calibri" w:cs="Calibri" w:eastAsia="Calibri" w:hAnsi="Calibri"/>
                <w:sz w:val="14"/>
                <w:szCs w:val="14"/>
                <w:color w:val="51555C"/>
                <w:w w:val="83"/>
              </w:rPr>
              <w:t>$</w:t>
            </w:r>
          </w:p>
        </w:tc>
        <w:tc>
          <w:tcPr>
            <w:tcW w:w="880" w:type="dxa"/>
            <w:vAlign w:val="bottom"/>
          </w:tcPr>
          <w:p>
            <w:pPr>
              <w:jc w:val="right"/>
              <w:ind w:right="108"/>
              <w:spacing w:after="0"/>
              <w:rPr>
                <w:sz w:val="20"/>
                <w:szCs w:val="20"/>
                <w:color w:val="auto"/>
              </w:rPr>
            </w:pPr>
            <w:r>
              <w:rPr>
                <w:rFonts w:ascii="Calibri" w:cs="Calibri" w:eastAsia="Calibri" w:hAnsi="Calibri"/>
                <w:sz w:val="14"/>
                <w:szCs w:val="14"/>
                <w:color w:val="51555C"/>
              </w:rPr>
              <w:t>280.0</w:t>
            </w:r>
          </w:p>
        </w:tc>
        <w:tc>
          <w:tcPr>
            <w:tcW w:w="200" w:type="dxa"/>
            <w:vAlign w:val="bottom"/>
          </w:tcPr>
          <w:p>
            <w:pPr>
              <w:jc w:val="right"/>
              <w:ind w:right="48"/>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ind w:right="8"/>
              <w:spacing w:after="0"/>
              <w:rPr>
                <w:sz w:val="20"/>
                <w:szCs w:val="20"/>
                <w:color w:val="auto"/>
              </w:rPr>
            </w:pPr>
            <w:r>
              <w:rPr>
                <w:rFonts w:ascii="Calibri" w:cs="Calibri" w:eastAsia="Calibri" w:hAnsi="Calibri"/>
                <w:sz w:val="14"/>
                <w:szCs w:val="14"/>
                <w:color w:val="51555C"/>
              </w:rPr>
              <w:t>269.0</w:t>
            </w:r>
          </w:p>
        </w:tc>
        <w:tc>
          <w:tcPr>
            <w:tcW w:w="560" w:type="dxa"/>
            <w:vAlign w:val="bottom"/>
            <w:gridSpan w:val="2"/>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Pr>
          <w:p>
            <w:pPr>
              <w:jc w:val="right"/>
              <w:ind w:right="88"/>
              <w:spacing w:after="0"/>
              <w:rPr>
                <w:sz w:val="20"/>
                <w:szCs w:val="20"/>
                <w:color w:val="auto"/>
              </w:rPr>
            </w:pPr>
            <w:r>
              <w:rPr>
                <w:rFonts w:ascii="Calibri" w:cs="Calibri" w:eastAsia="Calibri" w:hAnsi="Calibri"/>
                <w:sz w:val="14"/>
                <w:szCs w:val="14"/>
                <w:color w:val="51555C"/>
              </w:rPr>
              <w:t>832.9</w:t>
            </w:r>
          </w:p>
        </w:tc>
        <w:tc>
          <w:tcPr>
            <w:tcW w:w="220" w:type="dxa"/>
            <w:vAlign w:val="bottom"/>
          </w:tcPr>
          <w:p>
            <w:pPr>
              <w:jc w:val="right"/>
              <w:ind w:right="68"/>
              <w:spacing w:after="0"/>
              <w:rPr>
                <w:sz w:val="20"/>
                <w:szCs w:val="20"/>
                <w:color w:val="auto"/>
              </w:rPr>
            </w:pPr>
            <w:r>
              <w:rPr>
                <w:rFonts w:ascii="Calibri" w:cs="Calibri" w:eastAsia="Calibri" w:hAnsi="Calibri"/>
                <w:sz w:val="14"/>
                <w:szCs w:val="14"/>
                <w:color w:val="51555C"/>
                <w:w w:val="83"/>
              </w:rPr>
              <w:t>$</w:t>
            </w: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784.1</w:t>
            </w:r>
          </w:p>
        </w:tc>
        <w:tc>
          <w:tcPr>
            <w:tcW w:w="20" w:type="dxa"/>
            <w:vAlign w:val="bottom"/>
          </w:tcPr>
          <w:p>
            <w:pPr>
              <w:spacing w:after="0"/>
              <w:rPr>
                <w:sz w:val="19"/>
                <w:szCs w:val="19"/>
                <w:color w:val="auto"/>
              </w:rPr>
            </w:pPr>
          </w:p>
        </w:tc>
      </w:tr>
      <w:tr>
        <w:trPr>
          <w:trHeight w:val="237"/>
        </w:trPr>
        <w:tc>
          <w:tcPr>
            <w:tcW w:w="5980" w:type="dxa"/>
            <w:vAlign w:val="bottom"/>
            <w:shd w:val="clear" w:color="auto" w:fill="EBFBFF"/>
          </w:tcPr>
          <w:p>
            <w:pPr>
              <w:ind w:left="20"/>
              <w:spacing w:after="0"/>
              <w:rPr>
                <w:sz w:val="20"/>
                <w:szCs w:val="20"/>
                <w:color w:val="auto"/>
              </w:rPr>
            </w:pPr>
            <w:r>
              <w:rPr>
                <w:rFonts w:ascii="Calibri" w:cs="Calibri" w:eastAsia="Calibri" w:hAnsi="Calibri"/>
                <w:sz w:val="14"/>
                <w:szCs w:val="14"/>
                <w:color w:val="51555C"/>
              </w:rPr>
              <w:t>Foreign currency impact on non-GAAP organic recurring revenue</w:t>
            </w:r>
            <w:r>
              <w:rPr>
                <w:rFonts w:ascii="Calibri" w:cs="Calibri" w:eastAsia="Calibri" w:hAnsi="Calibri"/>
                <w:sz w:val="18"/>
                <w:szCs w:val="18"/>
                <w:color w:val="51555C"/>
                <w:vertAlign w:val="superscript"/>
              </w:rPr>
              <w:t>(4)</w:t>
            </w:r>
          </w:p>
        </w:tc>
        <w:tc>
          <w:tcPr>
            <w:tcW w:w="460" w:type="dxa"/>
            <w:vAlign w:val="bottom"/>
            <w:tcBorders>
              <w:bottom w:val="single" w:sz="8" w:color="51555C"/>
            </w:tcBorders>
            <w:shd w:val="clear" w:color="auto" w:fill="EBFBFF"/>
          </w:tcPr>
          <w:p>
            <w:pPr>
              <w:spacing w:after="0"/>
              <w:rPr>
                <w:sz w:val="20"/>
                <w:szCs w:val="20"/>
                <w:color w:val="auto"/>
              </w:rPr>
            </w:pPr>
          </w:p>
        </w:tc>
        <w:tc>
          <w:tcPr>
            <w:tcW w:w="880" w:type="dxa"/>
            <w:vAlign w:val="bottom"/>
            <w:tcBorders>
              <w:bottom w:val="single" w:sz="8" w:color="51555C"/>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(1.0)</w:t>
            </w:r>
          </w:p>
        </w:tc>
        <w:tc>
          <w:tcPr>
            <w:tcW w:w="200" w:type="dxa"/>
            <w:vAlign w:val="bottom"/>
            <w:tcBorders>
              <w:bottom w:val="single" w:sz="8" w:color="51555C"/>
            </w:tcBorders>
            <w:shd w:val="clear" w:color="auto" w:fill="EBFBFF"/>
          </w:tcPr>
          <w:p>
            <w:pPr>
              <w:spacing w:after="0"/>
              <w:rPr>
                <w:sz w:val="20"/>
                <w:szCs w:val="20"/>
                <w:color w:val="auto"/>
              </w:rPr>
            </w:pPr>
          </w:p>
        </w:tc>
        <w:tc>
          <w:tcPr>
            <w:tcW w:w="1040" w:type="dxa"/>
            <w:vAlign w:val="bottom"/>
            <w:tcBorders>
              <w:bottom w:val="single" w:sz="8" w:color="51555C"/>
              <w:right w:val="single" w:sz="8" w:color="EBFBFF"/>
            </w:tcBorders>
            <w:shd w:val="clear" w:color="auto" w:fill="EBFBFF"/>
          </w:tcPr>
          <w:p>
            <w:pPr>
              <w:jc w:val="right"/>
              <w:ind w:right="8"/>
              <w:spacing w:after="0"/>
              <w:rPr>
                <w:sz w:val="20"/>
                <w:szCs w:val="20"/>
                <w:color w:val="auto"/>
              </w:rPr>
            </w:pPr>
            <w:r>
              <w:rPr>
                <w:rFonts w:ascii="Calibri" w:cs="Calibri" w:eastAsia="Calibri" w:hAnsi="Calibri"/>
                <w:sz w:val="14"/>
                <w:szCs w:val="14"/>
                <w:color w:val="51555C"/>
              </w:rPr>
              <w:t>—</w:t>
            </w:r>
          </w:p>
        </w:tc>
        <w:tc>
          <w:tcPr>
            <w:tcW w:w="80" w:type="dxa"/>
            <w:vAlign w:val="bottom"/>
            <w:shd w:val="clear" w:color="auto" w:fill="EBFBFF"/>
          </w:tcPr>
          <w:p>
            <w:pPr>
              <w:spacing w:after="0"/>
              <w:rPr>
                <w:sz w:val="20"/>
                <w:szCs w:val="20"/>
                <w:color w:val="auto"/>
              </w:rPr>
            </w:pPr>
          </w:p>
        </w:tc>
        <w:tc>
          <w:tcPr>
            <w:tcW w:w="480" w:type="dxa"/>
            <w:vAlign w:val="bottom"/>
            <w:tcBorders>
              <w:bottom w:val="single" w:sz="8" w:color="51555C"/>
            </w:tcBorders>
            <w:shd w:val="clear" w:color="auto" w:fill="EBFBFF"/>
          </w:tcPr>
          <w:p>
            <w:pPr>
              <w:spacing w:after="0"/>
              <w:rPr>
                <w:sz w:val="20"/>
                <w:szCs w:val="20"/>
                <w:color w:val="auto"/>
              </w:rPr>
            </w:pPr>
          </w:p>
        </w:tc>
        <w:tc>
          <w:tcPr>
            <w:tcW w:w="880" w:type="dxa"/>
            <w:vAlign w:val="bottom"/>
            <w:tcBorders>
              <w:bottom w:val="single" w:sz="8" w:color="51555C"/>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(2.1)</w:t>
            </w:r>
          </w:p>
        </w:tc>
        <w:tc>
          <w:tcPr>
            <w:tcW w:w="220" w:type="dxa"/>
            <w:vAlign w:val="bottom"/>
            <w:tcBorders>
              <w:bottom w:val="single" w:sz="8" w:color="51555C"/>
            </w:tcBorders>
            <w:shd w:val="clear" w:color="auto" w:fill="EBFBFF"/>
          </w:tcPr>
          <w:p>
            <w:pPr>
              <w:spacing w:after="0"/>
              <w:rPr>
                <w:sz w:val="20"/>
                <w:szCs w:val="20"/>
                <w:color w:val="auto"/>
              </w:rPr>
            </w:pPr>
          </w:p>
        </w:tc>
        <w:tc>
          <w:tcPr>
            <w:tcW w:w="102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4"/>
                <w:szCs w:val="14"/>
                <w:color w:val="51555C"/>
              </w:rPr>
              <w:t>—</w:t>
            </w:r>
          </w:p>
        </w:tc>
        <w:tc>
          <w:tcPr>
            <w:tcW w:w="20" w:type="dxa"/>
            <w:vAlign w:val="bottom"/>
          </w:tcPr>
          <w:p>
            <w:pPr>
              <w:spacing w:after="0"/>
              <w:rPr>
                <w:sz w:val="20"/>
                <w:szCs w:val="20"/>
                <w:color w:val="auto"/>
              </w:rPr>
            </w:pPr>
          </w:p>
        </w:tc>
      </w:tr>
      <w:tr>
        <w:trPr>
          <w:trHeight w:val="202"/>
        </w:trPr>
        <w:tc>
          <w:tcPr>
            <w:tcW w:w="5980" w:type="dxa"/>
            <w:vAlign w:val="bottom"/>
          </w:tcPr>
          <w:p>
            <w:pPr>
              <w:ind w:left="20"/>
              <w:spacing w:after="0" w:line="202" w:lineRule="exact"/>
              <w:rPr>
                <w:sz w:val="20"/>
                <w:szCs w:val="20"/>
                <w:color w:val="auto"/>
              </w:rPr>
            </w:pPr>
            <w:r>
              <w:rPr>
                <w:rFonts w:ascii="Calibri" w:cs="Calibri" w:eastAsia="Calibri" w:hAnsi="Calibri"/>
                <w:sz w:val="14"/>
                <w:szCs w:val="14"/>
                <w:color w:val="51555C"/>
              </w:rPr>
              <w:t>Non-GAAP organic recurring revenue on constant currency basis</w:t>
            </w:r>
            <w:r>
              <w:rPr>
                <w:rFonts w:ascii="Calibri" w:cs="Calibri" w:eastAsia="Calibri" w:hAnsi="Calibri"/>
                <w:sz w:val="18"/>
                <w:szCs w:val="18"/>
                <w:color w:val="51555C"/>
                <w:vertAlign w:val="superscript"/>
              </w:rPr>
              <w:t>(4)</w:t>
            </w:r>
          </w:p>
        </w:tc>
        <w:tc>
          <w:tcPr>
            <w:tcW w:w="460" w:type="dxa"/>
            <w:vAlign w:val="bottom"/>
          </w:tcPr>
          <w:p>
            <w:pPr>
              <w:jc w:val="right"/>
              <w:ind w:right="308"/>
              <w:spacing w:after="0"/>
              <w:rPr>
                <w:sz w:val="20"/>
                <w:szCs w:val="20"/>
                <w:color w:val="auto"/>
              </w:rPr>
            </w:pPr>
            <w:r>
              <w:rPr>
                <w:rFonts w:ascii="Calibri" w:cs="Calibri" w:eastAsia="Calibri" w:hAnsi="Calibri"/>
                <w:sz w:val="14"/>
                <w:szCs w:val="14"/>
                <w:color w:val="51555C"/>
                <w:w w:val="83"/>
              </w:rPr>
              <w:t>$</w:t>
            </w:r>
          </w:p>
        </w:tc>
        <w:tc>
          <w:tcPr>
            <w:tcW w:w="880" w:type="dxa"/>
            <w:vAlign w:val="bottom"/>
          </w:tcPr>
          <w:p>
            <w:pPr>
              <w:jc w:val="right"/>
              <w:ind w:right="108"/>
              <w:spacing w:after="0"/>
              <w:rPr>
                <w:sz w:val="20"/>
                <w:szCs w:val="20"/>
                <w:color w:val="auto"/>
              </w:rPr>
            </w:pPr>
            <w:r>
              <w:rPr>
                <w:rFonts w:ascii="Calibri" w:cs="Calibri" w:eastAsia="Calibri" w:hAnsi="Calibri"/>
                <w:sz w:val="14"/>
                <w:szCs w:val="14"/>
                <w:color w:val="51555C"/>
              </w:rPr>
              <w:t>279.0</w:t>
            </w:r>
          </w:p>
        </w:tc>
        <w:tc>
          <w:tcPr>
            <w:tcW w:w="200" w:type="dxa"/>
            <w:vAlign w:val="bottom"/>
          </w:tcPr>
          <w:p>
            <w:pPr>
              <w:jc w:val="right"/>
              <w:ind w:right="48"/>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ind w:right="8"/>
              <w:spacing w:after="0"/>
              <w:rPr>
                <w:sz w:val="20"/>
                <w:szCs w:val="20"/>
                <w:color w:val="auto"/>
              </w:rPr>
            </w:pPr>
            <w:r>
              <w:rPr>
                <w:rFonts w:ascii="Calibri" w:cs="Calibri" w:eastAsia="Calibri" w:hAnsi="Calibri"/>
                <w:sz w:val="14"/>
                <w:szCs w:val="14"/>
                <w:color w:val="51555C"/>
              </w:rPr>
              <w:t>269.0</w:t>
            </w:r>
          </w:p>
        </w:tc>
        <w:tc>
          <w:tcPr>
            <w:tcW w:w="8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Pr>
          <w:p>
            <w:pPr>
              <w:jc w:val="right"/>
              <w:ind w:right="88"/>
              <w:spacing w:after="0"/>
              <w:rPr>
                <w:sz w:val="20"/>
                <w:szCs w:val="20"/>
                <w:color w:val="auto"/>
              </w:rPr>
            </w:pPr>
            <w:r>
              <w:rPr>
                <w:rFonts w:ascii="Calibri" w:cs="Calibri" w:eastAsia="Calibri" w:hAnsi="Calibri"/>
                <w:sz w:val="14"/>
                <w:szCs w:val="14"/>
                <w:color w:val="51555C"/>
              </w:rPr>
              <w:t>830.8</w:t>
            </w:r>
          </w:p>
        </w:tc>
        <w:tc>
          <w:tcPr>
            <w:tcW w:w="220" w:type="dxa"/>
            <w:vAlign w:val="bottom"/>
          </w:tcPr>
          <w:p>
            <w:pPr>
              <w:jc w:val="right"/>
              <w:ind w:right="68"/>
              <w:spacing w:after="0"/>
              <w:rPr>
                <w:sz w:val="20"/>
                <w:szCs w:val="20"/>
                <w:color w:val="auto"/>
              </w:rPr>
            </w:pPr>
            <w:r>
              <w:rPr>
                <w:rFonts w:ascii="Calibri" w:cs="Calibri" w:eastAsia="Calibri" w:hAnsi="Calibri"/>
                <w:sz w:val="14"/>
                <w:szCs w:val="14"/>
                <w:color w:val="51555C"/>
                <w:w w:val="83"/>
              </w:rPr>
              <w:t>$</w:t>
            </w: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784.1</w:t>
            </w:r>
          </w:p>
        </w:tc>
        <w:tc>
          <w:tcPr>
            <w:tcW w:w="20" w:type="dxa"/>
            <w:vAlign w:val="bottom"/>
          </w:tcPr>
          <w:p>
            <w:pPr>
              <w:spacing w:after="0"/>
              <w:rPr>
                <w:sz w:val="17"/>
                <w:szCs w:val="17"/>
                <w:color w:val="auto"/>
              </w:rPr>
            </w:pPr>
          </w:p>
        </w:tc>
      </w:tr>
      <w:tr>
        <w:trPr>
          <w:trHeight w:val="21"/>
        </w:trPr>
        <w:tc>
          <w:tcPr>
            <w:tcW w:w="5980" w:type="dxa"/>
            <w:vAlign w:val="bottom"/>
            <w:tcBorders>
              <w:bottom w:val="single" w:sz="8" w:color="EBFBFF"/>
            </w:tcBorders>
          </w:tcPr>
          <w:p>
            <w:pPr>
              <w:spacing w:after="0" w:line="20" w:lineRule="exact"/>
              <w:rPr>
                <w:sz w:val="1"/>
                <w:szCs w:val="1"/>
                <w:color w:val="auto"/>
              </w:rPr>
            </w:pPr>
          </w:p>
        </w:tc>
        <w:tc>
          <w:tcPr>
            <w:tcW w:w="460" w:type="dxa"/>
            <w:vAlign w:val="bottom"/>
            <w:tcBorders>
              <w:bottom w:val="single" w:sz="8" w:color="51555C"/>
            </w:tcBorders>
          </w:tcPr>
          <w:p>
            <w:pPr>
              <w:spacing w:after="0" w:line="20" w:lineRule="exact"/>
              <w:rPr>
                <w:sz w:val="1"/>
                <w:szCs w:val="1"/>
                <w:color w:val="auto"/>
              </w:rPr>
            </w:pPr>
          </w:p>
        </w:tc>
        <w:tc>
          <w:tcPr>
            <w:tcW w:w="880" w:type="dxa"/>
            <w:vAlign w:val="bottom"/>
            <w:tcBorders>
              <w:bottom w:val="single" w:sz="8" w:color="51555C"/>
            </w:tcBorders>
          </w:tcPr>
          <w:p>
            <w:pPr>
              <w:spacing w:after="0" w:line="20" w:lineRule="exact"/>
              <w:rPr>
                <w:sz w:val="1"/>
                <w:szCs w:val="1"/>
                <w:color w:val="auto"/>
              </w:rPr>
            </w:pPr>
          </w:p>
        </w:tc>
        <w:tc>
          <w:tcPr>
            <w:tcW w:w="200" w:type="dxa"/>
            <w:vAlign w:val="bottom"/>
            <w:tcBorders>
              <w:bottom w:val="single" w:sz="8" w:color="51555C"/>
            </w:tcBorders>
          </w:tcPr>
          <w:p>
            <w:pPr>
              <w:spacing w:after="0" w:line="20" w:lineRule="exact"/>
              <w:rPr>
                <w:sz w:val="1"/>
                <w:szCs w:val="1"/>
                <w:color w:val="auto"/>
              </w:rPr>
            </w:pPr>
          </w:p>
        </w:tc>
        <w:tc>
          <w:tcPr>
            <w:tcW w:w="1040" w:type="dxa"/>
            <w:vAlign w:val="bottom"/>
            <w:tcBorders>
              <w:bottom w:val="single" w:sz="8" w:color="51555C"/>
            </w:tcBorders>
          </w:tcPr>
          <w:p>
            <w:pPr>
              <w:spacing w:after="0" w:line="20" w:lineRule="exact"/>
              <w:rPr>
                <w:sz w:val="1"/>
                <w:szCs w:val="1"/>
                <w:color w:val="auto"/>
              </w:rPr>
            </w:pPr>
          </w:p>
        </w:tc>
        <w:tc>
          <w:tcPr>
            <w:tcW w:w="80" w:type="dxa"/>
            <w:vAlign w:val="bottom"/>
            <w:tcBorders>
              <w:bottom w:val="single" w:sz="8" w:color="EBFBFF"/>
            </w:tcBorders>
          </w:tcPr>
          <w:p>
            <w:pPr>
              <w:spacing w:after="0" w:line="20" w:lineRule="exact"/>
              <w:rPr>
                <w:sz w:val="1"/>
                <w:szCs w:val="1"/>
                <w:color w:val="auto"/>
              </w:rPr>
            </w:pPr>
          </w:p>
        </w:tc>
        <w:tc>
          <w:tcPr>
            <w:tcW w:w="480" w:type="dxa"/>
            <w:vAlign w:val="bottom"/>
            <w:tcBorders>
              <w:bottom w:val="single" w:sz="8" w:color="51555C"/>
            </w:tcBorders>
          </w:tcPr>
          <w:p>
            <w:pPr>
              <w:spacing w:after="0" w:line="20" w:lineRule="exact"/>
              <w:rPr>
                <w:sz w:val="1"/>
                <w:szCs w:val="1"/>
                <w:color w:val="auto"/>
              </w:rPr>
            </w:pPr>
          </w:p>
        </w:tc>
        <w:tc>
          <w:tcPr>
            <w:tcW w:w="880" w:type="dxa"/>
            <w:vAlign w:val="bottom"/>
            <w:tcBorders>
              <w:bottom w:val="single" w:sz="8" w:color="51555C"/>
            </w:tcBorders>
          </w:tcPr>
          <w:p>
            <w:pPr>
              <w:spacing w:after="0" w:line="20" w:lineRule="exact"/>
              <w:rPr>
                <w:sz w:val="1"/>
                <w:szCs w:val="1"/>
                <w:color w:val="auto"/>
              </w:rPr>
            </w:pPr>
          </w:p>
        </w:tc>
        <w:tc>
          <w:tcPr>
            <w:tcW w:w="220" w:type="dxa"/>
            <w:vAlign w:val="bottom"/>
            <w:tcBorders>
              <w:bottom w:val="single" w:sz="8" w:color="51555C"/>
            </w:tcBorders>
          </w:tcPr>
          <w:p>
            <w:pPr>
              <w:spacing w:after="0" w:line="20" w:lineRule="exact"/>
              <w:rPr>
                <w:sz w:val="1"/>
                <w:szCs w:val="1"/>
                <w:color w:val="auto"/>
              </w:rPr>
            </w:pPr>
          </w:p>
        </w:tc>
        <w:tc>
          <w:tcPr>
            <w:tcW w:w="1020" w:type="dxa"/>
            <w:vAlign w:val="bottom"/>
            <w:tcBorders>
              <w:bottom w:val="single" w:sz="8" w:color="51555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598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b w:val="1"/>
                <w:bCs w:val="1"/>
                <w:color w:val="51555C"/>
              </w:rPr>
              <w:t>Non-GAAP organic recurring revenue growth on constant currency basis</w:t>
            </w:r>
          </w:p>
        </w:tc>
        <w:tc>
          <w:tcPr>
            <w:tcW w:w="460" w:type="dxa"/>
            <w:vAlign w:val="bottom"/>
            <w:tcBorders>
              <w:bottom w:val="single" w:sz="8" w:color="EBFBFF"/>
            </w:tcBorders>
            <w:shd w:val="clear" w:color="auto" w:fill="EBFBFF"/>
          </w:tcPr>
          <w:p>
            <w:pPr>
              <w:spacing w:after="0"/>
              <w:rPr>
                <w:sz w:val="17"/>
                <w:szCs w:val="17"/>
                <w:color w:val="auto"/>
              </w:rPr>
            </w:pPr>
          </w:p>
        </w:tc>
        <w:tc>
          <w:tcPr>
            <w:tcW w:w="88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b w:val="1"/>
                <w:bCs w:val="1"/>
                <w:color w:val="51555C"/>
              </w:rPr>
              <w:t>3.7 %</w:t>
            </w:r>
          </w:p>
        </w:tc>
        <w:tc>
          <w:tcPr>
            <w:tcW w:w="200" w:type="dxa"/>
            <w:vAlign w:val="bottom"/>
            <w:tcBorders>
              <w:bottom w:val="single" w:sz="8" w:color="EBFBFF"/>
            </w:tcBorders>
            <w:shd w:val="clear" w:color="auto" w:fill="EBFBFF"/>
          </w:tcPr>
          <w:p>
            <w:pPr>
              <w:spacing w:after="0"/>
              <w:rPr>
                <w:sz w:val="17"/>
                <w:szCs w:val="17"/>
                <w:color w:val="auto"/>
              </w:rPr>
            </w:pPr>
          </w:p>
        </w:tc>
        <w:tc>
          <w:tcPr>
            <w:tcW w:w="1040" w:type="dxa"/>
            <w:vAlign w:val="bottom"/>
            <w:tcBorders>
              <w:bottom w:val="single" w:sz="8" w:color="EBFBFF"/>
              <w:right w:val="single" w:sz="8" w:color="EBFBFF"/>
            </w:tcBorders>
            <w:shd w:val="clear" w:color="auto" w:fill="EBFBFF"/>
          </w:tcPr>
          <w:p>
            <w:pPr>
              <w:spacing w:after="0"/>
              <w:rPr>
                <w:sz w:val="17"/>
                <w:szCs w:val="17"/>
                <w:color w:val="auto"/>
              </w:rPr>
            </w:pPr>
          </w:p>
        </w:tc>
        <w:tc>
          <w:tcPr>
            <w:tcW w:w="80" w:type="dxa"/>
            <w:vAlign w:val="bottom"/>
            <w:tcBorders>
              <w:bottom w:val="single" w:sz="8" w:color="EBFBFF"/>
            </w:tcBorders>
            <w:shd w:val="clear" w:color="auto" w:fill="EBFBFF"/>
          </w:tcPr>
          <w:p>
            <w:pPr>
              <w:spacing w:after="0"/>
              <w:rPr>
                <w:sz w:val="17"/>
                <w:szCs w:val="17"/>
                <w:color w:val="auto"/>
              </w:rPr>
            </w:pPr>
          </w:p>
        </w:tc>
        <w:tc>
          <w:tcPr>
            <w:tcW w:w="480" w:type="dxa"/>
            <w:vAlign w:val="bottom"/>
            <w:tcBorders>
              <w:bottom w:val="single" w:sz="8" w:color="EBFBFF"/>
            </w:tcBorders>
            <w:shd w:val="clear" w:color="auto" w:fill="EBFBFF"/>
          </w:tcPr>
          <w:p>
            <w:pPr>
              <w:spacing w:after="0"/>
              <w:rPr>
                <w:sz w:val="17"/>
                <w:szCs w:val="17"/>
                <w:color w:val="auto"/>
              </w:rPr>
            </w:pPr>
          </w:p>
        </w:tc>
        <w:tc>
          <w:tcPr>
            <w:tcW w:w="88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b w:val="1"/>
                <w:bCs w:val="1"/>
                <w:color w:val="51555C"/>
              </w:rPr>
              <w:t>6.0 %</w:t>
            </w:r>
          </w:p>
        </w:tc>
        <w:tc>
          <w:tcPr>
            <w:tcW w:w="220" w:type="dxa"/>
            <w:vAlign w:val="bottom"/>
            <w:tcBorders>
              <w:bottom w:val="single" w:sz="8" w:color="EBFBFF"/>
            </w:tcBorders>
            <w:shd w:val="clear" w:color="auto" w:fill="EBFBFF"/>
          </w:tcPr>
          <w:p>
            <w:pPr>
              <w:spacing w:after="0"/>
              <w:rPr>
                <w:sz w:val="17"/>
                <w:szCs w:val="17"/>
                <w:color w:val="auto"/>
              </w:rPr>
            </w:pPr>
          </w:p>
        </w:tc>
        <w:tc>
          <w:tcPr>
            <w:tcW w:w="102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98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880" w:type="dxa"/>
            <w:vAlign w:val="bottom"/>
            <w:shd w:val="clear" w:color="auto" w:fill="0CD973"/>
          </w:tcPr>
          <w:p>
            <w:pPr>
              <w:spacing w:after="0" w:line="20" w:lineRule="exact"/>
              <w:rPr>
                <w:sz w:val="1"/>
                <w:szCs w:val="1"/>
                <w:color w:val="auto"/>
              </w:rPr>
            </w:pPr>
          </w:p>
        </w:tc>
        <w:tc>
          <w:tcPr>
            <w:tcW w:w="200" w:type="dxa"/>
            <w:vAlign w:val="bottom"/>
            <w:shd w:val="clear" w:color="auto" w:fill="0CD973"/>
          </w:tcPr>
          <w:p>
            <w:pPr>
              <w:spacing w:after="0" w:line="20" w:lineRule="exact"/>
              <w:rPr>
                <w:sz w:val="1"/>
                <w:szCs w:val="1"/>
                <w:color w:val="auto"/>
              </w:rPr>
            </w:pPr>
          </w:p>
        </w:tc>
        <w:tc>
          <w:tcPr>
            <w:tcW w:w="1040" w:type="dxa"/>
            <w:vAlign w:val="bottom"/>
            <w:tcBorders>
              <w:right w:val="single" w:sz="8" w:color="0CD973"/>
            </w:tcBorders>
            <w:shd w:val="clear" w:color="auto" w:fill="0CD973"/>
          </w:tcPr>
          <w:p>
            <w:pPr>
              <w:spacing w:after="0" w:line="20" w:lineRule="exact"/>
              <w:rPr>
                <w:sz w:val="1"/>
                <w:szCs w:val="1"/>
                <w:color w:val="auto"/>
              </w:rPr>
            </w:pPr>
          </w:p>
        </w:tc>
        <w:tc>
          <w:tcPr>
            <w:tcW w:w="8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880" w:type="dxa"/>
            <w:vAlign w:val="bottom"/>
            <w:shd w:val="clear" w:color="auto" w:fill="0CD973"/>
          </w:tcPr>
          <w:p>
            <w:pPr>
              <w:spacing w:after="0" w:line="20" w:lineRule="exact"/>
              <w:rPr>
                <w:sz w:val="1"/>
                <w:szCs w:val="1"/>
                <w:color w:val="auto"/>
              </w:rPr>
            </w:pPr>
          </w:p>
        </w:tc>
        <w:tc>
          <w:tcPr>
            <w:tcW w:w="22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-3222625</wp:posOffset>
            </wp:positionV>
            <wp:extent cx="33515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 w:lineRule="exact"/>
        <w:rPr>
          <w:sz w:val="20"/>
          <w:szCs w:val="20"/>
          <w:color w:val="auto"/>
        </w:rPr>
      </w:pPr>
    </w:p>
    <w:p>
      <w:pPr>
        <w:ind w:left="340" w:right="20" w:hanging="332"/>
        <w:spacing w:after="0" w:line="245" w:lineRule="auto"/>
        <w:tabs>
          <w:tab w:leader="none" w:pos="338" w:val="left"/>
        </w:tabs>
        <w:numPr>
          <w:ilvl w:val="0"/>
          <w:numId w:val="30"/>
        </w:numPr>
        <w:rPr>
          <w:rFonts w:ascii="Calibri" w:cs="Calibri" w:eastAsia="Calibri" w:hAnsi="Calibri"/>
          <w:sz w:val="14"/>
          <w:szCs w:val="14"/>
          <w:color w:val="51555C"/>
        </w:rPr>
      </w:pPr>
      <w:r>
        <w:rPr>
          <w:rFonts w:ascii="Calibri" w:cs="Calibri" w:eastAsia="Calibri" w:hAnsi="Calibri"/>
          <w:sz w:val="14"/>
          <w:szCs w:val="14"/>
          <w:color w:val="51555C"/>
        </w:rPr>
        <w:t>Includes EVERFI revenue of $19.4 million and $26.2 million for the three months ended September 30, 2024 and 2023, respectvely, and $66.8 million and $80.4 million for the nine months ended September 30, 2024 and 2023, respectvely.</w:t>
      </w:r>
    </w:p>
    <w:p>
      <w:pPr>
        <w:spacing w:after="0" w:line="2" w:lineRule="exact"/>
        <w:rPr>
          <w:rFonts w:ascii="Calibri" w:cs="Calibri" w:eastAsia="Calibri" w:hAnsi="Calibri"/>
          <w:sz w:val="14"/>
          <w:szCs w:val="14"/>
          <w:color w:val="51555C"/>
        </w:rPr>
      </w:pPr>
    </w:p>
    <w:p>
      <w:pPr>
        <w:ind w:left="340" w:right="20" w:hanging="332"/>
        <w:spacing w:after="0" w:line="242" w:lineRule="auto"/>
        <w:tabs>
          <w:tab w:leader="none" w:pos="338" w:val="left"/>
        </w:tabs>
        <w:numPr>
          <w:ilvl w:val="0"/>
          <w:numId w:val="30"/>
        </w:numPr>
        <w:rPr>
          <w:rFonts w:ascii="Calibri" w:cs="Calibri" w:eastAsia="Calibri" w:hAnsi="Calibri"/>
          <w:sz w:val="14"/>
          <w:szCs w:val="14"/>
          <w:color w:val="51555C"/>
        </w:rPr>
      </w:pPr>
      <w:r>
        <w:rPr>
          <w:rFonts w:ascii="Calibri" w:cs="Calibri" w:eastAsia="Calibri" w:hAnsi="Calibri"/>
          <w:sz w:val="14"/>
          <w:szCs w:val="14"/>
          <w:color w:val="51555C"/>
        </w:rPr>
        <w:t>Non-GAAP revenue from divested businesses excludes revenue associated with divested businesses. The exclusion of the prior period revenue is to present the results of the divested business with the results of the combined company for the same period of tme in both the prior and current periods.</w:t>
      </w:r>
    </w:p>
    <w:p>
      <w:pPr>
        <w:jc w:val="both"/>
        <w:ind w:left="340" w:right="20" w:hanging="332"/>
        <w:spacing w:after="0"/>
        <w:tabs>
          <w:tab w:leader="none" w:pos="338" w:val="left"/>
        </w:tabs>
        <w:numPr>
          <w:ilvl w:val="0"/>
          <w:numId w:val="30"/>
        </w:numPr>
        <w:rPr>
          <w:rFonts w:ascii="Calibri" w:cs="Calibri" w:eastAsia="Calibri" w:hAnsi="Calibri"/>
          <w:sz w:val="14"/>
          <w:szCs w:val="14"/>
          <w:color w:val="51555C"/>
        </w:rPr>
      </w:pPr>
      <w:r>
        <w:rPr>
          <w:rFonts w:ascii="Calibri" w:cs="Calibri" w:eastAsia="Calibri" w:hAnsi="Calibri"/>
          <w:sz w:val="14"/>
          <w:szCs w:val="14"/>
          <w:color w:val="51555C"/>
        </w:rPr>
        <w:t>Non-GAAP organic revenue and non-GAAP organic recurring revenue for the prior year periods presented herein may not agree to non-GAAP organic revenue and non-GAAP organic recurring revenue presented in the respectve prior period quarterly fnancial informaton solely due to the manner in which non-GAAP organic revenue growth and non-GAAP organic recurring revenue growth are calculated.</w:t>
      </w:r>
    </w:p>
    <w:p>
      <w:pPr>
        <w:spacing w:after="0" w:line="5" w:lineRule="exact"/>
        <w:rPr>
          <w:rFonts w:ascii="Calibri" w:cs="Calibri" w:eastAsia="Calibri" w:hAnsi="Calibri"/>
          <w:sz w:val="14"/>
          <w:szCs w:val="14"/>
          <w:color w:val="51555C"/>
        </w:rPr>
      </w:pPr>
    </w:p>
    <w:p>
      <w:pPr>
        <w:jc w:val="both"/>
        <w:ind w:left="340" w:right="20" w:hanging="332"/>
        <w:spacing w:after="0" w:line="237" w:lineRule="auto"/>
        <w:tabs>
          <w:tab w:leader="none" w:pos="338" w:val="left"/>
        </w:tabs>
        <w:numPr>
          <w:ilvl w:val="0"/>
          <w:numId w:val="30"/>
        </w:numPr>
        <w:rPr>
          <w:rFonts w:ascii="Calibri" w:cs="Calibri" w:eastAsia="Calibri" w:hAnsi="Calibri"/>
          <w:sz w:val="14"/>
          <w:szCs w:val="14"/>
          <w:color w:val="51555C"/>
        </w:rPr>
      </w:pPr>
      <w:r>
        <w:rPr>
          <w:rFonts w:ascii="Calibri" w:cs="Calibri" w:eastAsia="Calibri" w:hAnsi="Calibri"/>
          <w:sz w:val="14"/>
          <w:szCs w:val="14"/>
          <w:color w:val="51555C"/>
        </w:rPr>
        <w:t>To determine non-GAAP organic revenue growth and non-GAAP organic recurring revenue growth on a constant currency basis, revenues from enttes reportng in foreign currencies were translated to U.S. Dollars using the comparable prior period's quarterly weighted average foreign currency exchange rates. The primary foreign currencies creatng the impact are the Australian Dollar, Britsh Pound, Canadian Dollar and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253365</wp:posOffset>
            </wp:positionV>
            <wp:extent cx="65976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41</w:t>
            </w:r>
          </w:p>
        </w:tc>
      </w:tr>
      <w:tr>
        <w:trPr>
          <w:trHeight w:val="351"/>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Rule of 40</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defne Rule of 40 as non-GAAP organic revenue growth plus non-GAAP adjusted EBITDA margin. Non-GAAP adjusted EBITDA is defned as GAAP net income plus interest, net; income tax provision (beneft); depreciaton; amortzaton of intangible assets from business combinatons; amortzaton of sofware and content development costs; stock-based compensaton; employee severance; acquisiton and dispositon-related costs; restructuring and other real estate actvites; Security Incident-related costs; and impairment of capitalized sofware development costs.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208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Three months ended</w:t>
            </w:r>
          </w:p>
        </w:tc>
        <w:tc>
          <w:tcPr>
            <w:tcW w:w="80" w:type="dxa"/>
            <w:vAlign w:val="bottom"/>
          </w:tcPr>
          <w:p>
            <w:pPr>
              <w:spacing w:after="0"/>
              <w:rPr>
                <w:sz w:val="16"/>
                <w:szCs w:val="16"/>
                <w:color w:val="auto"/>
              </w:rPr>
            </w:pPr>
          </w:p>
        </w:tc>
        <w:tc>
          <w:tcPr>
            <w:tcW w:w="480" w:type="dxa"/>
            <w:vAlign w:val="bottom"/>
            <w:shd w:val="clear" w:color="auto" w:fill="004054"/>
          </w:tcPr>
          <w:p>
            <w:pPr>
              <w:spacing w:after="0"/>
              <w:rPr>
                <w:sz w:val="16"/>
                <w:szCs w:val="16"/>
                <w:color w:val="auto"/>
              </w:rPr>
            </w:pPr>
          </w:p>
        </w:tc>
        <w:tc>
          <w:tcPr>
            <w:tcW w:w="880" w:type="dxa"/>
            <w:vAlign w:val="bottom"/>
            <w:shd w:val="clear" w:color="auto" w:fill="004054"/>
          </w:tcPr>
          <w:p>
            <w:pPr>
              <w:spacing w:after="0"/>
              <w:rPr>
                <w:sz w:val="16"/>
                <w:szCs w:val="16"/>
                <w:color w:val="auto"/>
              </w:rPr>
            </w:pPr>
          </w:p>
        </w:tc>
        <w:tc>
          <w:tcPr>
            <w:tcW w:w="1240" w:type="dxa"/>
            <w:vAlign w:val="bottom"/>
            <w:gridSpan w:val="2"/>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r>
      <w:tr>
        <w:trPr>
          <w:trHeight w:val="170"/>
        </w:trPr>
        <w:tc>
          <w:tcPr>
            <w:tcW w:w="5980" w:type="dxa"/>
            <w:vAlign w:val="bottom"/>
            <w:shd w:val="clear" w:color="auto" w:fill="004054"/>
          </w:tcPr>
          <w:p>
            <w:pPr>
              <w:spacing w:after="0"/>
              <w:rPr>
                <w:sz w:val="14"/>
                <w:szCs w:val="14"/>
                <w:color w:val="auto"/>
              </w:rPr>
            </w:pPr>
          </w:p>
        </w:tc>
        <w:tc>
          <w:tcPr>
            <w:tcW w:w="500" w:type="dxa"/>
            <w:vAlign w:val="bottom"/>
            <w:shd w:val="clear" w:color="auto" w:fill="004054"/>
          </w:tcPr>
          <w:p>
            <w:pPr>
              <w:spacing w:after="0"/>
              <w:rPr>
                <w:sz w:val="14"/>
                <w:szCs w:val="14"/>
                <w:color w:val="auto"/>
              </w:rPr>
            </w:pPr>
          </w:p>
        </w:tc>
        <w:tc>
          <w:tcPr>
            <w:tcW w:w="840" w:type="dxa"/>
            <w:vAlign w:val="bottom"/>
            <w:shd w:val="clear" w:color="auto" w:fill="004054"/>
          </w:tcPr>
          <w:p>
            <w:pPr>
              <w:spacing w:after="0"/>
              <w:rPr>
                <w:sz w:val="14"/>
                <w:szCs w:val="14"/>
                <w:color w:val="auto"/>
              </w:rPr>
            </w:pPr>
          </w:p>
        </w:tc>
        <w:tc>
          <w:tcPr>
            <w:tcW w:w="220" w:type="dxa"/>
            <w:vAlign w:val="bottom"/>
            <w:shd w:val="clear" w:color="auto" w:fill="004054"/>
          </w:tcPr>
          <w:p>
            <w:pPr>
              <w:spacing w:after="0"/>
              <w:rPr>
                <w:sz w:val="14"/>
                <w:szCs w:val="14"/>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80" w:type="dxa"/>
            <w:vAlign w:val="bottom"/>
          </w:tcPr>
          <w:p>
            <w:pPr>
              <w:spacing w:after="0"/>
              <w:rPr>
                <w:sz w:val="14"/>
                <w:szCs w:val="14"/>
                <w:color w:val="auto"/>
              </w:rPr>
            </w:pPr>
          </w:p>
        </w:tc>
        <w:tc>
          <w:tcPr>
            <w:tcW w:w="480" w:type="dxa"/>
            <w:vAlign w:val="bottom"/>
            <w:shd w:val="clear" w:color="auto" w:fill="004054"/>
          </w:tcPr>
          <w:p>
            <w:pPr>
              <w:spacing w:after="0"/>
              <w:rPr>
                <w:sz w:val="14"/>
                <w:szCs w:val="14"/>
                <w:color w:val="auto"/>
              </w:rPr>
            </w:pPr>
          </w:p>
        </w:tc>
        <w:tc>
          <w:tcPr>
            <w:tcW w:w="880" w:type="dxa"/>
            <w:vAlign w:val="bottom"/>
            <w:shd w:val="clear" w:color="auto" w:fill="004054"/>
          </w:tcPr>
          <w:p>
            <w:pPr>
              <w:spacing w:after="0"/>
              <w:rPr>
                <w:sz w:val="14"/>
                <w:szCs w:val="14"/>
                <w:color w:val="auto"/>
              </w:rPr>
            </w:pPr>
          </w:p>
        </w:tc>
        <w:tc>
          <w:tcPr>
            <w:tcW w:w="220" w:type="dxa"/>
            <w:vAlign w:val="bottom"/>
            <w:shd w:val="clear" w:color="auto" w:fill="004054"/>
          </w:tcPr>
          <w:p>
            <w:pPr>
              <w:spacing w:after="0"/>
              <w:rPr>
                <w:sz w:val="14"/>
                <w:szCs w:val="14"/>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r>
      <w:tr>
        <w:trPr>
          <w:trHeight w:val="243"/>
        </w:trPr>
        <w:tc>
          <w:tcPr>
            <w:tcW w:w="59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500" w:type="dxa"/>
            <w:vAlign w:val="bottom"/>
            <w:shd w:val="clear" w:color="auto" w:fill="004054"/>
          </w:tcPr>
          <w:p>
            <w:pPr>
              <w:spacing w:after="0"/>
              <w:rPr>
                <w:sz w:val="21"/>
                <w:szCs w:val="21"/>
                <w:color w:val="auto"/>
              </w:rPr>
            </w:pPr>
          </w:p>
        </w:tc>
        <w:tc>
          <w:tcPr>
            <w:tcW w:w="8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20" w:type="dxa"/>
            <w:vAlign w:val="bottom"/>
            <w:shd w:val="clear" w:color="auto" w:fill="004054"/>
          </w:tcPr>
          <w:p>
            <w:pPr>
              <w:spacing w:after="0"/>
              <w:rPr>
                <w:sz w:val="21"/>
                <w:szCs w:val="21"/>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80" w:type="dxa"/>
            <w:vAlign w:val="bottom"/>
          </w:tcPr>
          <w:p>
            <w:pPr>
              <w:spacing w:after="0"/>
              <w:rPr>
                <w:sz w:val="21"/>
                <w:szCs w:val="21"/>
                <w:color w:val="auto"/>
              </w:rPr>
            </w:pPr>
          </w:p>
        </w:tc>
        <w:tc>
          <w:tcPr>
            <w:tcW w:w="480" w:type="dxa"/>
            <w:vAlign w:val="bottom"/>
            <w:shd w:val="clear" w:color="auto" w:fill="004054"/>
          </w:tcPr>
          <w:p>
            <w:pPr>
              <w:spacing w:after="0"/>
              <w:rPr>
                <w:sz w:val="21"/>
                <w:szCs w:val="21"/>
                <w:color w:val="auto"/>
              </w:rPr>
            </w:pPr>
          </w:p>
        </w:tc>
        <w:tc>
          <w:tcPr>
            <w:tcW w:w="8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20" w:type="dxa"/>
            <w:vAlign w:val="bottom"/>
            <w:shd w:val="clear" w:color="auto" w:fill="004054"/>
          </w:tcPr>
          <w:p>
            <w:pPr>
              <w:spacing w:after="0"/>
              <w:rPr>
                <w:sz w:val="21"/>
                <w:szCs w:val="21"/>
                <w:color w:val="auto"/>
              </w:rPr>
            </w:pPr>
          </w:p>
        </w:tc>
        <w:tc>
          <w:tcPr>
            <w:tcW w:w="1020" w:type="dxa"/>
            <w:vAlign w:val="bottom"/>
            <w:shd w:val="clear" w:color="auto" w:fill="004054"/>
          </w:tcPr>
          <w:p>
            <w:pPr>
              <w:jc w:val="center"/>
              <w:ind w:left="628"/>
              <w:spacing w:after="0"/>
              <w:rPr>
                <w:sz w:val="20"/>
                <w:szCs w:val="20"/>
                <w:color w:val="auto"/>
              </w:rPr>
            </w:pPr>
            <w:r>
              <w:rPr>
                <w:rFonts w:ascii="Calibri" w:cs="Calibri" w:eastAsia="Calibri" w:hAnsi="Calibri"/>
                <w:sz w:val="14"/>
                <w:szCs w:val="14"/>
                <w:b w:val="1"/>
                <w:bCs w:val="1"/>
                <w:color w:val="FFFFFF"/>
                <w:w w:val="98"/>
              </w:rPr>
              <w:t>2023</w:t>
            </w:r>
          </w:p>
        </w:tc>
      </w:tr>
      <w:tr>
        <w:trPr>
          <w:trHeight w:val="60"/>
        </w:trPr>
        <w:tc>
          <w:tcPr>
            <w:tcW w:w="5980" w:type="dxa"/>
            <w:vAlign w:val="bottom"/>
            <w:tcBorders>
              <w:bottom w:val="single" w:sz="8" w:color="004054"/>
            </w:tcBorders>
            <w:shd w:val="clear" w:color="auto" w:fill="004054"/>
          </w:tcPr>
          <w:p>
            <w:pPr>
              <w:spacing w:after="0"/>
              <w:rPr>
                <w:sz w:val="5"/>
                <w:szCs w:val="5"/>
                <w:color w:val="auto"/>
              </w:rPr>
            </w:pPr>
          </w:p>
        </w:tc>
        <w:tc>
          <w:tcPr>
            <w:tcW w:w="500" w:type="dxa"/>
            <w:vAlign w:val="bottom"/>
            <w:tcBorders>
              <w:bottom w:val="single" w:sz="8" w:color="004054"/>
            </w:tcBorders>
            <w:shd w:val="clear" w:color="auto" w:fill="004054"/>
          </w:tcPr>
          <w:p>
            <w:pPr>
              <w:spacing w:after="0"/>
              <w:rPr>
                <w:sz w:val="5"/>
                <w:szCs w:val="5"/>
                <w:color w:val="auto"/>
              </w:rPr>
            </w:pPr>
          </w:p>
        </w:tc>
        <w:tc>
          <w:tcPr>
            <w:tcW w:w="840" w:type="dxa"/>
            <w:vAlign w:val="bottom"/>
            <w:tcBorders>
              <w:bottom w:val="single" w:sz="8" w:color="004054"/>
            </w:tcBorders>
            <w:shd w:val="clear" w:color="auto" w:fill="004054"/>
          </w:tcPr>
          <w:p>
            <w:pPr>
              <w:spacing w:after="0"/>
              <w:rPr>
                <w:sz w:val="5"/>
                <w:szCs w:val="5"/>
                <w:color w:val="auto"/>
              </w:rPr>
            </w:pPr>
          </w:p>
        </w:tc>
        <w:tc>
          <w:tcPr>
            <w:tcW w:w="220" w:type="dxa"/>
            <w:vAlign w:val="bottom"/>
            <w:tcBorders>
              <w:bottom w:val="single" w:sz="8" w:color="004054"/>
            </w:tcBorders>
            <w:shd w:val="clear" w:color="auto" w:fill="004054"/>
          </w:tcPr>
          <w:p>
            <w:pPr>
              <w:spacing w:after="0"/>
              <w:rPr>
                <w:sz w:val="5"/>
                <w:szCs w:val="5"/>
                <w:color w:val="auto"/>
              </w:rPr>
            </w:pPr>
          </w:p>
        </w:tc>
        <w:tc>
          <w:tcPr>
            <w:tcW w:w="1020" w:type="dxa"/>
            <w:vAlign w:val="bottom"/>
            <w:tcBorders>
              <w:bottom w:val="single" w:sz="8" w:color="004054"/>
            </w:tcBorders>
            <w:shd w:val="clear" w:color="auto" w:fill="004054"/>
          </w:tcPr>
          <w:p>
            <w:pPr>
              <w:spacing w:after="0"/>
              <w:rPr>
                <w:sz w:val="5"/>
                <w:szCs w:val="5"/>
                <w:color w:val="auto"/>
              </w:rPr>
            </w:pPr>
          </w:p>
        </w:tc>
        <w:tc>
          <w:tcPr>
            <w:tcW w:w="80" w:type="dxa"/>
            <w:vAlign w:val="bottom"/>
            <w:tcBorders>
              <w:bottom w:val="single" w:sz="8" w:color="EBFBFF"/>
            </w:tcBorders>
          </w:tcPr>
          <w:p>
            <w:pPr>
              <w:spacing w:after="0"/>
              <w:rPr>
                <w:sz w:val="5"/>
                <w:szCs w:val="5"/>
                <w:color w:val="auto"/>
              </w:rPr>
            </w:pPr>
          </w:p>
        </w:tc>
        <w:tc>
          <w:tcPr>
            <w:tcW w:w="480" w:type="dxa"/>
            <w:vAlign w:val="bottom"/>
            <w:tcBorders>
              <w:bottom w:val="single" w:sz="8" w:color="004054"/>
            </w:tcBorders>
            <w:shd w:val="clear" w:color="auto" w:fill="004054"/>
          </w:tcPr>
          <w:p>
            <w:pPr>
              <w:spacing w:after="0"/>
              <w:rPr>
                <w:sz w:val="5"/>
                <w:szCs w:val="5"/>
                <w:color w:val="auto"/>
              </w:rPr>
            </w:pPr>
          </w:p>
        </w:tc>
        <w:tc>
          <w:tcPr>
            <w:tcW w:w="880" w:type="dxa"/>
            <w:vAlign w:val="bottom"/>
            <w:tcBorders>
              <w:bottom w:val="single" w:sz="8" w:color="004054"/>
            </w:tcBorders>
            <w:shd w:val="clear" w:color="auto" w:fill="004054"/>
          </w:tcPr>
          <w:p>
            <w:pPr>
              <w:spacing w:after="0"/>
              <w:rPr>
                <w:sz w:val="5"/>
                <w:szCs w:val="5"/>
                <w:color w:val="auto"/>
              </w:rPr>
            </w:pPr>
          </w:p>
        </w:tc>
        <w:tc>
          <w:tcPr>
            <w:tcW w:w="220" w:type="dxa"/>
            <w:vAlign w:val="bottom"/>
            <w:tcBorders>
              <w:bottom w:val="single" w:sz="8" w:color="004054"/>
            </w:tcBorders>
            <w:shd w:val="clear" w:color="auto" w:fill="004054"/>
          </w:tcPr>
          <w:p>
            <w:pPr>
              <w:spacing w:after="0"/>
              <w:rPr>
                <w:sz w:val="5"/>
                <w:szCs w:val="5"/>
                <w:color w:val="auto"/>
              </w:rPr>
            </w:pPr>
          </w:p>
        </w:tc>
        <w:tc>
          <w:tcPr>
            <w:tcW w:w="1020" w:type="dxa"/>
            <w:vAlign w:val="bottom"/>
            <w:tcBorders>
              <w:bottom w:val="single" w:sz="8" w:color="004054"/>
            </w:tcBorders>
            <w:shd w:val="clear" w:color="auto" w:fill="004054"/>
          </w:tcPr>
          <w:p>
            <w:pPr>
              <w:spacing w:after="0"/>
              <w:rPr>
                <w:sz w:val="5"/>
                <w:szCs w:val="5"/>
                <w:color w:val="auto"/>
              </w:rPr>
            </w:pPr>
          </w:p>
        </w:tc>
      </w:tr>
      <w:tr>
        <w:trPr>
          <w:trHeight w:val="203"/>
        </w:trPr>
        <w:tc>
          <w:tcPr>
            <w:tcW w:w="5980" w:type="dxa"/>
            <w:vAlign w:val="bottom"/>
            <w:tcBorders>
              <w:bottom w:val="single" w:sz="8" w:color="EBFBFF"/>
            </w:tcBorders>
            <w:shd w:val="clear" w:color="auto" w:fill="EBFBFF"/>
          </w:tcPr>
          <w:p>
            <w:pPr>
              <w:ind w:left="20"/>
              <w:spacing w:after="0" w:line="164" w:lineRule="exact"/>
              <w:rPr>
                <w:sz w:val="20"/>
                <w:szCs w:val="20"/>
                <w:color w:val="auto"/>
              </w:rPr>
            </w:pPr>
            <w:r>
              <w:rPr>
                <w:rFonts w:ascii="Calibri" w:cs="Calibri" w:eastAsia="Calibri" w:hAnsi="Calibri"/>
                <w:sz w:val="14"/>
                <w:szCs w:val="14"/>
                <w:color w:val="51555C"/>
              </w:rPr>
              <w:t>GAAP net income (loss)</w:t>
            </w:r>
          </w:p>
        </w:tc>
        <w:tc>
          <w:tcPr>
            <w:tcW w:w="500" w:type="dxa"/>
            <w:vAlign w:val="bottom"/>
            <w:tcBorders>
              <w:bottom w:val="single" w:sz="8" w:color="EBFBFF"/>
            </w:tcBorders>
            <w:shd w:val="clear" w:color="auto" w:fill="EBFBFF"/>
          </w:tcPr>
          <w:p>
            <w:pPr>
              <w:jc w:val="right"/>
              <w:ind w:right="328"/>
              <w:spacing w:after="0" w:line="164" w:lineRule="exact"/>
              <w:rPr>
                <w:sz w:val="20"/>
                <w:szCs w:val="20"/>
                <w:color w:val="auto"/>
              </w:rPr>
            </w:pPr>
            <w:r>
              <w:rPr>
                <w:rFonts w:ascii="Calibri" w:cs="Calibri" w:eastAsia="Calibri" w:hAnsi="Calibri"/>
                <w:sz w:val="14"/>
                <w:szCs w:val="14"/>
                <w:color w:val="51555C"/>
              </w:rPr>
              <w:t>$</w:t>
            </w:r>
          </w:p>
        </w:tc>
        <w:tc>
          <w:tcPr>
            <w:tcW w:w="840" w:type="dxa"/>
            <w:vAlign w:val="bottom"/>
            <w:tcBorders>
              <w:bottom w:val="single" w:sz="8" w:color="EBFBFF"/>
            </w:tcBorders>
            <w:shd w:val="clear" w:color="auto" w:fill="EBFBFF"/>
          </w:tcPr>
          <w:p>
            <w:pPr>
              <w:jc w:val="right"/>
              <w:ind w:right="88"/>
              <w:spacing w:after="0" w:line="164" w:lineRule="exact"/>
              <w:rPr>
                <w:sz w:val="20"/>
                <w:szCs w:val="20"/>
                <w:color w:val="auto"/>
              </w:rPr>
            </w:pPr>
            <w:r>
              <w:rPr>
                <w:rFonts w:ascii="Calibri" w:cs="Calibri" w:eastAsia="Calibri" w:hAnsi="Calibri"/>
                <w:sz w:val="14"/>
                <w:szCs w:val="14"/>
                <w:color w:val="51555C"/>
              </w:rPr>
              <w:t>20.5</w:t>
            </w:r>
          </w:p>
        </w:tc>
        <w:tc>
          <w:tcPr>
            <w:tcW w:w="220" w:type="dxa"/>
            <w:vAlign w:val="bottom"/>
            <w:tcBorders>
              <w:bottom w:val="single" w:sz="8" w:color="EBFBFF"/>
            </w:tcBorders>
            <w:shd w:val="clear" w:color="auto" w:fill="EBFBFF"/>
          </w:tcPr>
          <w:p>
            <w:pPr>
              <w:jc w:val="right"/>
              <w:ind w:right="48"/>
              <w:spacing w:after="0" w:line="164" w:lineRule="exact"/>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9.0</w:t>
            </w:r>
          </w:p>
        </w:tc>
        <w:tc>
          <w:tcPr>
            <w:tcW w:w="80" w:type="dxa"/>
            <w:vAlign w:val="bottom"/>
            <w:tcBorders>
              <w:bottom w:val="single" w:sz="8" w:color="EBFBFF"/>
            </w:tcBorders>
            <w:shd w:val="clear" w:color="auto" w:fill="EBFBFF"/>
          </w:tcPr>
          <w:p>
            <w:pPr>
              <w:spacing w:after="0"/>
              <w:rPr>
                <w:sz w:val="17"/>
                <w:szCs w:val="17"/>
                <w:color w:val="auto"/>
              </w:rPr>
            </w:pPr>
          </w:p>
        </w:tc>
        <w:tc>
          <w:tcPr>
            <w:tcW w:w="480" w:type="dxa"/>
            <w:vAlign w:val="bottom"/>
            <w:tcBorders>
              <w:bottom w:val="single" w:sz="8" w:color="EBFBFF"/>
            </w:tcBorders>
            <w:shd w:val="clear" w:color="auto" w:fill="EBFBFF"/>
          </w:tcPr>
          <w:p>
            <w:pPr>
              <w:jc w:val="right"/>
              <w:ind w:right="308"/>
              <w:spacing w:after="0" w:line="164" w:lineRule="exact"/>
              <w:rPr>
                <w:sz w:val="20"/>
                <w:szCs w:val="20"/>
                <w:color w:val="auto"/>
              </w:rPr>
            </w:pPr>
            <w:r>
              <w:rPr>
                <w:rFonts w:ascii="Calibri" w:cs="Calibri" w:eastAsia="Calibri" w:hAnsi="Calibri"/>
                <w:sz w:val="14"/>
                <w:szCs w:val="14"/>
                <w:color w:val="51555C"/>
              </w:rPr>
              <w:t>$</w:t>
            </w:r>
          </w:p>
        </w:tc>
        <w:tc>
          <w:tcPr>
            <w:tcW w:w="880" w:type="dxa"/>
            <w:vAlign w:val="bottom"/>
            <w:tcBorders>
              <w:bottom w:val="single" w:sz="8" w:color="EBFBFF"/>
            </w:tcBorders>
            <w:shd w:val="clear" w:color="auto" w:fill="EBFBFF"/>
          </w:tcPr>
          <w:p>
            <w:pPr>
              <w:jc w:val="right"/>
              <w:ind w:right="88"/>
              <w:spacing w:after="0" w:line="164" w:lineRule="exact"/>
              <w:rPr>
                <w:sz w:val="20"/>
                <w:szCs w:val="20"/>
                <w:color w:val="auto"/>
              </w:rPr>
            </w:pPr>
            <w:r>
              <w:rPr>
                <w:rFonts w:ascii="Calibri" w:cs="Calibri" w:eastAsia="Calibri" w:hAnsi="Calibri"/>
                <w:sz w:val="14"/>
                <w:szCs w:val="14"/>
                <w:color w:val="51555C"/>
              </w:rPr>
              <w:t>47.6</w:t>
            </w:r>
          </w:p>
        </w:tc>
        <w:tc>
          <w:tcPr>
            <w:tcW w:w="220" w:type="dxa"/>
            <w:vAlign w:val="bottom"/>
            <w:tcBorders>
              <w:bottom w:val="single" w:sz="8" w:color="EBFBFF"/>
            </w:tcBorders>
            <w:shd w:val="clear" w:color="auto" w:fill="EBFBFF"/>
          </w:tcPr>
          <w:p>
            <w:pPr>
              <w:jc w:val="right"/>
              <w:ind w:right="68"/>
              <w:spacing w:after="0" w:line="164" w:lineRule="exact"/>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center"/>
              <w:ind w:left="628"/>
              <w:spacing w:after="0" w:line="164" w:lineRule="exact"/>
              <w:rPr>
                <w:sz w:val="20"/>
                <w:szCs w:val="20"/>
                <w:color w:val="auto"/>
              </w:rPr>
            </w:pPr>
            <w:r>
              <w:rPr>
                <w:rFonts w:ascii="Calibri" w:cs="Calibri" w:eastAsia="Calibri" w:hAnsi="Calibri"/>
                <w:sz w:val="14"/>
                <w:szCs w:val="14"/>
                <w:color w:val="51555C"/>
              </w:rPr>
              <w:t>(3.6)</w:t>
            </w:r>
          </w:p>
        </w:tc>
      </w:tr>
      <w:tr>
        <w:trPr>
          <w:trHeight w:val="170"/>
        </w:trPr>
        <w:tc>
          <w:tcPr>
            <w:tcW w:w="5980" w:type="dxa"/>
            <w:vAlign w:val="bottom"/>
          </w:tcPr>
          <w:p>
            <w:pPr>
              <w:ind w:left="20"/>
              <w:spacing w:after="0"/>
              <w:rPr>
                <w:sz w:val="20"/>
                <w:szCs w:val="20"/>
                <w:color w:val="auto"/>
              </w:rPr>
            </w:pPr>
            <w:r>
              <w:rPr>
                <w:rFonts w:ascii="Calibri" w:cs="Calibri" w:eastAsia="Calibri" w:hAnsi="Calibri"/>
                <w:sz w:val="14"/>
                <w:szCs w:val="14"/>
                <w:color w:val="51555C"/>
              </w:rPr>
              <w:t>Non-GAAP adjustments:</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0"/>
        </w:trPr>
        <w:tc>
          <w:tcPr>
            <w:tcW w:w="5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09"/>
        </w:trPr>
        <w:tc>
          <w:tcPr>
            <w:tcW w:w="59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Interest, net</w:t>
            </w:r>
          </w:p>
        </w:tc>
        <w:tc>
          <w:tcPr>
            <w:tcW w:w="500" w:type="dxa"/>
            <w:vAlign w:val="bottom"/>
            <w:tcBorders>
              <w:bottom w:val="single" w:sz="8" w:color="EBFBFF"/>
            </w:tcBorders>
            <w:shd w:val="clear" w:color="auto" w:fill="EBFBFF"/>
          </w:tcPr>
          <w:p>
            <w:pPr>
              <w:spacing w:after="0"/>
              <w:rPr>
                <w:sz w:val="18"/>
                <w:szCs w:val="18"/>
                <w:color w:val="auto"/>
              </w:rPr>
            </w:pPr>
          </w:p>
        </w:tc>
        <w:tc>
          <w:tcPr>
            <w:tcW w:w="8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11.0</w:t>
            </w:r>
          </w:p>
        </w:tc>
        <w:tc>
          <w:tcPr>
            <w:tcW w:w="22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6.6</w:t>
            </w:r>
          </w:p>
        </w:tc>
        <w:tc>
          <w:tcPr>
            <w:tcW w:w="80" w:type="dxa"/>
            <w:vAlign w:val="bottom"/>
            <w:tcBorders>
              <w:bottom w:val="single" w:sz="8" w:color="EBFBFF"/>
            </w:tcBorders>
            <w:shd w:val="clear" w:color="auto" w:fill="EBFBFF"/>
          </w:tcPr>
          <w:p>
            <w:pPr>
              <w:spacing w:after="0"/>
              <w:rPr>
                <w:sz w:val="18"/>
                <w:szCs w:val="18"/>
                <w:color w:val="auto"/>
              </w:rPr>
            </w:pPr>
          </w:p>
        </w:tc>
        <w:tc>
          <w:tcPr>
            <w:tcW w:w="480" w:type="dxa"/>
            <w:vAlign w:val="bottom"/>
            <w:tcBorders>
              <w:bottom w:val="single" w:sz="8" w:color="EBFBFF"/>
            </w:tcBorders>
            <w:shd w:val="clear" w:color="auto" w:fill="EBFBFF"/>
          </w:tcPr>
          <w:p>
            <w:pPr>
              <w:spacing w:after="0"/>
              <w:rPr>
                <w:sz w:val="18"/>
                <w:szCs w:val="18"/>
                <w:color w:val="auto"/>
              </w:rPr>
            </w:pPr>
          </w:p>
        </w:tc>
        <w:tc>
          <w:tcPr>
            <w:tcW w:w="88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32.2</w:t>
            </w:r>
          </w:p>
        </w:tc>
        <w:tc>
          <w:tcPr>
            <w:tcW w:w="22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24.9</w:t>
            </w:r>
          </w:p>
        </w:tc>
      </w:tr>
      <w:tr>
        <w:trPr>
          <w:trHeight w:val="170"/>
        </w:trPr>
        <w:tc>
          <w:tcPr>
            <w:tcW w:w="5980" w:type="dxa"/>
            <w:vAlign w:val="bottom"/>
          </w:tcPr>
          <w:p>
            <w:pPr>
              <w:ind w:left="140"/>
              <w:spacing w:after="0"/>
              <w:rPr>
                <w:sz w:val="20"/>
                <w:szCs w:val="20"/>
                <w:color w:val="auto"/>
              </w:rPr>
            </w:pPr>
            <w:r>
              <w:rPr>
                <w:rFonts w:ascii="Calibri" w:cs="Calibri" w:eastAsia="Calibri" w:hAnsi="Calibri"/>
                <w:sz w:val="14"/>
                <w:szCs w:val="14"/>
                <w:color w:val="51555C"/>
              </w:rPr>
              <w:t>Add: GAAP income tax provision (beneft)</w:t>
            </w:r>
          </w:p>
        </w:tc>
        <w:tc>
          <w:tcPr>
            <w:tcW w:w="50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Calibri" w:cs="Calibri" w:eastAsia="Calibri" w:hAnsi="Calibri"/>
                <w:sz w:val="14"/>
                <w:szCs w:val="14"/>
                <w:color w:val="51555C"/>
              </w:rPr>
              <w:t>12.1</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9.1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Calibri" w:cs="Calibri" w:eastAsia="Calibri" w:hAnsi="Calibri"/>
                <w:sz w:val="14"/>
                <w:szCs w:val="14"/>
                <w:color w:val="51555C"/>
              </w:rPr>
              <w:t>18.6</w:t>
            </w:r>
          </w:p>
        </w:tc>
        <w:tc>
          <w:tcPr>
            <w:tcW w:w="220" w:type="dxa"/>
            <w:vAlign w:val="bottom"/>
          </w:tcPr>
          <w:p>
            <w:pPr>
              <w:spacing w:after="0"/>
              <w:rPr>
                <w:sz w:val="14"/>
                <w:szCs w:val="14"/>
                <w:color w:val="auto"/>
              </w:rPr>
            </w:pPr>
          </w:p>
        </w:tc>
        <w:tc>
          <w:tcPr>
            <w:tcW w:w="1020" w:type="dxa"/>
            <w:vAlign w:val="bottom"/>
          </w:tcPr>
          <w:p>
            <w:pPr>
              <w:jc w:val="center"/>
              <w:ind w:left="628"/>
              <w:spacing w:after="0"/>
              <w:rPr>
                <w:sz w:val="20"/>
                <w:szCs w:val="20"/>
                <w:color w:val="auto"/>
              </w:rPr>
            </w:pPr>
            <w:r>
              <w:rPr>
                <w:rFonts w:ascii="Calibri" w:cs="Calibri" w:eastAsia="Calibri" w:hAnsi="Calibri"/>
                <w:sz w:val="14"/>
                <w:szCs w:val="14"/>
                <w:color w:val="51555C"/>
              </w:rPr>
              <w:t>(5.0)</w:t>
            </w:r>
          </w:p>
        </w:tc>
      </w:tr>
      <w:tr>
        <w:trPr>
          <w:trHeight w:val="60"/>
        </w:trPr>
        <w:tc>
          <w:tcPr>
            <w:tcW w:w="5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09"/>
        </w:trPr>
        <w:tc>
          <w:tcPr>
            <w:tcW w:w="59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Depreciaton</w:t>
            </w:r>
          </w:p>
        </w:tc>
        <w:tc>
          <w:tcPr>
            <w:tcW w:w="500" w:type="dxa"/>
            <w:vAlign w:val="bottom"/>
            <w:tcBorders>
              <w:bottom w:val="single" w:sz="8" w:color="EBFBFF"/>
            </w:tcBorders>
            <w:shd w:val="clear" w:color="auto" w:fill="EBFBFF"/>
          </w:tcPr>
          <w:p>
            <w:pPr>
              <w:spacing w:after="0"/>
              <w:rPr>
                <w:sz w:val="18"/>
                <w:szCs w:val="18"/>
                <w:color w:val="auto"/>
              </w:rPr>
            </w:pPr>
          </w:p>
        </w:tc>
        <w:tc>
          <w:tcPr>
            <w:tcW w:w="8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3.3</w:t>
            </w:r>
          </w:p>
        </w:tc>
        <w:tc>
          <w:tcPr>
            <w:tcW w:w="22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3.3</w:t>
            </w:r>
          </w:p>
        </w:tc>
        <w:tc>
          <w:tcPr>
            <w:tcW w:w="80" w:type="dxa"/>
            <w:vAlign w:val="bottom"/>
            <w:tcBorders>
              <w:bottom w:val="single" w:sz="8" w:color="EBFBFF"/>
            </w:tcBorders>
            <w:shd w:val="clear" w:color="auto" w:fill="EBFBFF"/>
          </w:tcPr>
          <w:p>
            <w:pPr>
              <w:spacing w:after="0"/>
              <w:rPr>
                <w:sz w:val="18"/>
                <w:szCs w:val="18"/>
                <w:color w:val="auto"/>
              </w:rPr>
            </w:pPr>
          </w:p>
        </w:tc>
        <w:tc>
          <w:tcPr>
            <w:tcW w:w="480" w:type="dxa"/>
            <w:vAlign w:val="bottom"/>
            <w:tcBorders>
              <w:bottom w:val="single" w:sz="8" w:color="EBFBFF"/>
            </w:tcBorders>
            <w:shd w:val="clear" w:color="auto" w:fill="EBFBFF"/>
          </w:tcPr>
          <w:p>
            <w:pPr>
              <w:spacing w:after="0"/>
              <w:rPr>
                <w:sz w:val="18"/>
                <w:szCs w:val="18"/>
                <w:color w:val="auto"/>
              </w:rPr>
            </w:pPr>
          </w:p>
        </w:tc>
        <w:tc>
          <w:tcPr>
            <w:tcW w:w="88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9.6</w:t>
            </w:r>
          </w:p>
        </w:tc>
        <w:tc>
          <w:tcPr>
            <w:tcW w:w="22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9.9</w:t>
            </w:r>
          </w:p>
        </w:tc>
      </w:tr>
      <w:tr>
        <w:trPr>
          <w:trHeight w:val="170"/>
        </w:trPr>
        <w:tc>
          <w:tcPr>
            <w:tcW w:w="5980" w:type="dxa"/>
            <w:vAlign w:val="bottom"/>
          </w:tcPr>
          <w:p>
            <w:pPr>
              <w:ind w:left="140"/>
              <w:spacing w:after="0"/>
              <w:rPr>
                <w:sz w:val="20"/>
                <w:szCs w:val="20"/>
                <w:color w:val="auto"/>
              </w:rPr>
            </w:pPr>
            <w:r>
              <w:rPr>
                <w:rFonts w:ascii="Calibri" w:cs="Calibri" w:eastAsia="Calibri" w:hAnsi="Calibri"/>
                <w:sz w:val="14"/>
                <w:szCs w:val="14"/>
                <w:color w:val="51555C"/>
              </w:rPr>
              <w:t>Add: Amortzaton of intangibles from business combinatons</w:t>
            </w:r>
          </w:p>
        </w:tc>
        <w:tc>
          <w:tcPr>
            <w:tcW w:w="50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Calibri" w:cs="Calibri" w:eastAsia="Calibri" w:hAnsi="Calibri"/>
                <w:sz w:val="14"/>
                <w:szCs w:val="14"/>
                <w:color w:val="51555C"/>
              </w:rPr>
              <w:t>15.6</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13.9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Calibri" w:cs="Calibri" w:eastAsia="Calibri" w:hAnsi="Calibri"/>
                <w:sz w:val="14"/>
                <w:szCs w:val="14"/>
                <w:color w:val="51555C"/>
              </w:rPr>
              <w:t>46.7</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41.7</w:t>
            </w:r>
          </w:p>
        </w:tc>
      </w:tr>
      <w:tr>
        <w:trPr>
          <w:trHeight w:val="60"/>
        </w:trPr>
        <w:tc>
          <w:tcPr>
            <w:tcW w:w="5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29"/>
        </w:trPr>
        <w:tc>
          <w:tcPr>
            <w:tcW w:w="5980" w:type="dxa"/>
            <w:vAlign w:val="bottom"/>
            <w:shd w:val="clear" w:color="auto" w:fill="EBFBFF"/>
          </w:tcPr>
          <w:p>
            <w:pPr>
              <w:ind w:left="140"/>
              <w:spacing w:after="0" w:line="216" w:lineRule="exact"/>
              <w:rPr>
                <w:sz w:val="20"/>
                <w:szCs w:val="20"/>
                <w:color w:val="auto"/>
              </w:rPr>
            </w:pPr>
            <w:r>
              <w:rPr>
                <w:rFonts w:ascii="Calibri" w:cs="Calibri" w:eastAsia="Calibri" w:hAnsi="Calibri"/>
                <w:sz w:val="14"/>
                <w:szCs w:val="14"/>
                <w:color w:val="51555C"/>
              </w:rPr>
              <w:t>Add: Amortzaton of sofware and content development costs</w:t>
            </w:r>
            <w:r>
              <w:rPr>
                <w:rFonts w:ascii="Calibri" w:cs="Calibri" w:eastAsia="Calibri" w:hAnsi="Calibri"/>
                <w:sz w:val="18"/>
                <w:szCs w:val="18"/>
                <w:color w:val="51555C"/>
                <w:vertAlign w:val="superscript"/>
              </w:rPr>
              <w:t>(1)</w:t>
            </w:r>
          </w:p>
        </w:tc>
        <w:tc>
          <w:tcPr>
            <w:tcW w:w="500" w:type="dxa"/>
            <w:vAlign w:val="bottom"/>
            <w:tcBorders>
              <w:bottom w:val="single" w:sz="8" w:color="51555C"/>
            </w:tcBorders>
            <w:shd w:val="clear" w:color="auto" w:fill="EBFBFF"/>
          </w:tcPr>
          <w:p>
            <w:pPr>
              <w:spacing w:after="0"/>
              <w:rPr>
                <w:sz w:val="19"/>
                <w:szCs w:val="19"/>
                <w:color w:val="auto"/>
              </w:rPr>
            </w:pPr>
          </w:p>
        </w:tc>
        <w:tc>
          <w:tcPr>
            <w:tcW w:w="840" w:type="dxa"/>
            <w:vAlign w:val="bottom"/>
            <w:tcBorders>
              <w:bottom w:val="single" w:sz="8" w:color="51555C"/>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13.2</w:t>
            </w:r>
          </w:p>
        </w:tc>
        <w:tc>
          <w:tcPr>
            <w:tcW w:w="220" w:type="dxa"/>
            <w:vAlign w:val="bottom"/>
            <w:tcBorders>
              <w:bottom w:val="single" w:sz="8" w:color="51555C"/>
            </w:tcBorders>
            <w:shd w:val="clear" w:color="auto" w:fill="EBFBFF"/>
          </w:tcPr>
          <w:p>
            <w:pPr>
              <w:spacing w:after="0"/>
              <w:rPr>
                <w:sz w:val="19"/>
                <w:szCs w:val="19"/>
                <w:color w:val="auto"/>
              </w:rPr>
            </w:pPr>
          </w:p>
        </w:tc>
        <w:tc>
          <w:tcPr>
            <w:tcW w:w="102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4"/>
                <w:szCs w:val="14"/>
                <w:color w:val="51555C"/>
              </w:rPr>
              <w:t>11.6</w:t>
            </w:r>
          </w:p>
        </w:tc>
        <w:tc>
          <w:tcPr>
            <w:tcW w:w="80" w:type="dxa"/>
            <w:vAlign w:val="bottom"/>
            <w:shd w:val="clear" w:color="auto" w:fill="EBFBFF"/>
          </w:tcPr>
          <w:p>
            <w:pPr>
              <w:spacing w:after="0"/>
              <w:rPr>
                <w:sz w:val="19"/>
                <w:szCs w:val="19"/>
                <w:color w:val="auto"/>
              </w:rPr>
            </w:pPr>
          </w:p>
        </w:tc>
        <w:tc>
          <w:tcPr>
            <w:tcW w:w="480" w:type="dxa"/>
            <w:vAlign w:val="bottom"/>
            <w:tcBorders>
              <w:bottom w:val="single" w:sz="8" w:color="51555C"/>
            </w:tcBorders>
            <w:shd w:val="clear" w:color="auto" w:fill="EBFBFF"/>
          </w:tcPr>
          <w:p>
            <w:pPr>
              <w:spacing w:after="0"/>
              <w:rPr>
                <w:sz w:val="19"/>
                <w:szCs w:val="19"/>
                <w:color w:val="auto"/>
              </w:rPr>
            </w:pPr>
          </w:p>
        </w:tc>
        <w:tc>
          <w:tcPr>
            <w:tcW w:w="880" w:type="dxa"/>
            <w:vAlign w:val="bottom"/>
            <w:tcBorders>
              <w:bottom w:val="single" w:sz="8" w:color="51555C"/>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37.9</w:t>
            </w:r>
          </w:p>
        </w:tc>
        <w:tc>
          <w:tcPr>
            <w:tcW w:w="220" w:type="dxa"/>
            <w:vAlign w:val="bottom"/>
            <w:tcBorders>
              <w:bottom w:val="single" w:sz="8" w:color="51555C"/>
            </w:tcBorders>
            <w:shd w:val="clear" w:color="auto" w:fill="EBFBFF"/>
          </w:tcPr>
          <w:p>
            <w:pPr>
              <w:spacing w:after="0"/>
              <w:rPr>
                <w:sz w:val="19"/>
                <w:szCs w:val="19"/>
                <w:color w:val="auto"/>
              </w:rPr>
            </w:pPr>
          </w:p>
        </w:tc>
        <w:tc>
          <w:tcPr>
            <w:tcW w:w="102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4"/>
                <w:szCs w:val="14"/>
                <w:color w:val="51555C"/>
              </w:rPr>
              <w:t>33.1</w:t>
            </w:r>
          </w:p>
        </w:tc>
      </w:tr>
      <w:tr>
        <w:trPr>
          <w:trHeight w:val="202"/>
        </w:trPr>
        <w:tc>
          <w:tcPr>
            <w:tcW w:w="5980" w:type="dxa"/>
            <w:vAlign w:val="bottom"/>
          </w:tcPr>
          <w:p>
            <w:pPr>
              <w:ind w:left="240"/>
              <w:spacing w:after="0" w:line="202" w:lineRule="exact"/>
              <w:rPr>
                <w:sz w:val="20"/>
                <w:szCs w:val="20"/>
                <w:color w:val="auto"/>
              </w:rPr>
            </w:pPr>
            <w:r>
              <w:rPr>
                <w:rFonts w:ascii="Calibri" w:cs="Calibri" w:eastAsia="Calibri" w:hAnsi="Calibri"/>
                <w:sz w:val="14"/>
                <w:szCs w:val="14"/>
                <w:color w:val="51555C"/>
              </w:rPr>
              <w:t>Subtotal</w:t>
            </w:r>
            <w:r>
              <w:rPr>
                <w:rFonts w:ascii="Calibri" w:cs="Calibri" w:eastAsia="Calibri" w:hAnsi="Calibri"/>
                <w:sz w:val="18"/>
                <w:szCs w:val="18"/>
                <w:color w:val="51555C"/>
                <w:vertAlign w:val="superscript"/>
              </w:rPr>
              <w:t>(2)</w:t>
            </w:r>
          </w:p>
        </w:tc>
        <w:tc>
          <w:tcPr>
            <w:tcW w:w="50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Calibri" w:cs="Calibri" w:eastAsia="Calibri" w:hAnsi="Calibri"/>
                <w:sz w:val="14"/>
                <w:szCs w:val="14"/>
                <w:color w:val="51555C"/>
              </w:rPr>
              <w:t>55.2</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44.5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Calibri" w:cs="Calibri" w:eastAsia="Calibri" w:hAnsi="Calibri"/>
                <w:sz w:val="14"/>
                <w:szCs w:val="14"/>
                <w:color w:val="51555C"/>
              </w:rPr>
              <w:t>144.9</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104.6</w:t>
            </w:r>
          </w:p>
        </w:tc>
      </w:tr>
      <w:tr>
        <w:trPr>
          <w:trHeight w:val="21"/>
        </w:trPr>
        <w:tc>
          <w:tcPr>
            <w:tcW w:w="5980" w:type="dxa"/>
            <w:vAlign w:val="bottom"/>
            <w:tcBorders>
              <w:bottom w:val="single" w:sz="8" w:color="EBFBFF"/>
            </w:tcBorders>
          </w:tcPr>
          <w:p>
            <w:pPr>
              <w:spacing w:after="0" w:line="20" w:lineRule="exact"/>
              <w:rPr>
                <w:sz w:val="1"/>
                <w:szCs w:val="1"/>
                <w:color w:val="auto"/>
              </w:rPr>
            </w:pPr>
          </w:p>
        </w:tc>
        <w:tc>
          <w:tcPr>
            <w:tcW w:w="500" w:type="dxa"/>
            <w:vAlign w:val="bottom"/>
            <w:tcBorders>
              <w:bottom w:val="single" w:sz="8" w:color="51555C"/>
            </w:tcBorders>
          </w:tcPr>
          <w:p>
            <w:pPr>
              <w:spacing w:after="0" w:line="20" w:lineRule="exact"/>
              <w:rPr>
                <w:sz w:val="1"/>
                <w:szCs w:val="1"/>
                <w:color w:val="auto"/>
              </w:rPr>
            </w:pPr>
          </w:p>
        </w:tc>
        <w:tc>
          <w:tcPr>
            <w:tcW w:w="840" w:type="dxa"/>
            <w:vAlign w:val="bottom"/>
            <w:tcBorders>
              <w:bottom w:val="single" w:sz="8" w:color="51555C"/>
            </w:tcBorders>
          </w:tcPr>
          <w:p>
            <w:pPr>
              <w:spacing w:after="0" w:line="20" w:lineRule="exact"/>
              <w:rPr>
                <w:sz w:val="1"/>
                <w:szCs w:val="1"/>
                <w:color w:val="auto"/>
              </w:rPr>
            </w:pPr>
          </w:p>
        </w:tc>
        <w:tc>
          <w:tcPr>
            <w:tcW w:w="220" w:type="dxa"/>
            <w:vAlign w:val="bottom"/>
            <w:tcBorders>
              <w:bottom w:val="single" w:sz="8" w:color="51555C"/>
            </w:tcBorders>
          </w:tcPr>
          <w:p>
            <w:pPr>
              <w:spacing w:after="0" w:line="20" w:lineRule="exact"/>
              <w:rPr>
                <w:sz w:val="1"/>
                <w:szCs w:val="1"/>
                <w:color w:val="auto"/>
              </w:rPr>
            </w:pPr>
          </w:p>
        </w:tc>
        <w:tc>
          <w:tcPr>
            <w:tcW w:w="1020" w:type="dxa"/>
            <w:vAlign w:val="bottom"/>
            <w:tcBorders>
              <w:bottom w:val="single" w:sz="8" w:color="51555C"/>
            </w:tcBorders>
          </w:tcPr>
          <w:p>
            <w:pPr>
              <w:spacing w:after="0" w:line="20" w:lineRule="exact"/>
              <w:rPr>
                <w:sz w:val="1"/>
                <w:szCs w:val="1"/>
                <w:color w:val="auto"/>
              </w:rPr>
            </w:pPr>
          </w:p>
        </w:tc>
        <w:tc>
          <w:tcPr>
            <w:tcW w:w="80" w:type="dxa"/>
            <w:vAlign w:val="bottom"/>
            <w:tcBorders>
              <w:bottom w:val="single" w:sz="8" w:color="EBFBFF"/>
            </w:tcBorders>
          </w:tcPr>
          <w:p>
            <w:pPr>
              <w:spacing w:after="0" w:line="20" w:lineRule="exact"/>
              <w:rPr>
                <w:sz w:val="1"/>
                <w:szCs w:val="1"/>
                <w:color w:val="auto"/>
              </w:rPr>
            </w:pPr>
          </w:p>
        </w:tc>
        <w:tc>
          <w:tcPr>
            <w:tcW w:w="480" w:type="dxa"/>
            <w:vAlign w:val="bottom"/>
            <w:tcBorders>
              <w:bottom w:val="single" w:sz="8" w:color="51555C"/>
            </w:tcBorders>
          </w:tcPr>
          <w:p>
            <w:pPr>
              <w:spacing w:after="0" w:line="20" w:lineRule="exact"/>
              <w:rPr>
                <w:sz w:val="1"/>
                <w:szCs w:val="1"/>
                <w:color w:val="auto"/>
              </w:rPr>
            </w:pPr>
          </w:p>
        </w:tc>
        <w:tc>
          <w:tcPr>
            <w:tcW w:w="880" w:type="dxa"/>
            <w:vAlign w:val="bottom"/>
            <w:tcBorders>
              <w:bottom w:val="single" w:sz="8" w:color="51555C"/>
            </w:tcBorders>
          </w:tcPr>
          <w:p>
            <w:pPr>
              <w:spacing w:after="0" w:line="20" w:lineRule="exact"/>
              <w:rPr>
                <w:sz w:val="1"/>
                <w:szCs w:val="1"/>
                <w:color w:val="auto"/>
              </w:rPr>
            </w:pPr>
          </w:p>
        </w:tc>
        <w:tc>
          <w:tcPr>
            <w:tcW w:w="220" w:type="dxa"/>
            <w:vAlign w:val="bottom"/>
            <w:tcBorders>
              <w:bottom w:val="single" w:sz="8" w:color="51555C"/>
            </w:tcBorders>
          </w:tcPr>
          <w:p>
            <w:pPr>
              <w:spacing w:after="0" w:line="20" w:lineRule="exact"/>
              <w:rPr>
                <w:sz w:val="1"/>
                <w:szCs w:val="1"/>
                <w:color w:val="auto"/>
              </w:rPr>
            </w:pPr>
          </w:p>
        </w:tc>
        <w:tc>
          <w:tcPr>
            <w:tcW w:w="1020" w:type="dxa"/>
            <w:vAlign w:val="bottom"/>
            <w:tcBorders>
              <w:bottom w:val="single" w:sz="8" w:color="51555C"/>
            </w:tcBorders>
          </w:tcPr>
          <w:p>
            <w:pPr>
              <w:spacing w:after="0" w:line="20" w:lineRule="exact"/>
              <w:rPr>
                <w:sz w:val="1"/>
                <w:szCs w:val="1"/>
                <w:color w:val="auto"/>
              </w:rPr>
            </w:pPr>
          </w:p>
        </w:tc>
      </w:tr>
      <w:tr>
        <w:trPr>
          <w:trHeight w:val="223"/>
        </w:trPr>
        <w:tc>
          <w:tcPr>
            <w:tcW w:w="5980" w:type="dxa"/>
            <w:vAlign w:val="bottom"/>
            <w:tcBorders>
              <w:bottom w:val="single" w:sz="8" w:color="EBFBFF"/>
            </w:tcBorders>
            <w:shd w:val="clear" w:color="auto" w:fill="EBFBFF"/>
          </w:tcPr>
          <w:p>
            <w:pPr>
              <w:ind w:left="20"/>
              <w:spacing w:after="0" w:line="202" w:lineRule="exact"/>
              <w:rPr>
                <w:sz w:val="20"/>
                <w:szCs w:val="20"/>
                <w:color w:val="auto"/>
              </w:rPr>
            </w:pPr>
            <w:r>
              <w:rPr>
                <w:rFonts w:ascii="Calibri" w:cs="Calibri" w:eastAsia="Calibri" w:hAnsi="Calibri"/>
                <w:sz w:val="14"/>
                <w:szCs w:val="14"/>
                <w:color w:val="51555C"/>
              </w:rPr>
              <w:t>Non-GAAP EBITDA</w:t>
            </w:r>
            <w:r>
              <w:rPr>
                <w:rFonts w:ascii="Calibri" w:cs="Calibri" w:eastAsia="Calibri" w:hAnsi="Calibri"/>
                <w:sz w:val="18"/>
                <w:szCs w:val="18"/>
                <w:color w:val="51555C"/>
                <w:vertAlign w:val="superscript"/>
              </w:rPr>
              <w:t>(2)</w:t>
            </w:r>
          </w:p>
        </w:tc>
        <w:tc>
          <w:tcPr>
            <w:tcW w:w="500" w:type="dxa"/>
            <w:vAlign w:val="bottom"/>
            <w:tcBorders>
              <w:bottom w:val="single" w:sz="8" w:color="EBFBFF"/>
            </w:tcBorders>
            <w:shd w:val="clear" w:color="auto" w:fill="EBFBFF"/>
          </w:tcPr>
          <w:p>
            <w:pPr>
              <w:jc w:val="right"/>
              <w:ind w:right="328"/>
              <w:spacing w:after="0"/>
              <w:rPr>
                <w:sz w:val="20"/>
                <w:szCs w:val="20"/>
                <w:color w:val="auto"/>
              </w:rPr>
            </w:pPr>
            <w:r>
              <w:rPr>
                <w:rFonts w:ascii="Calibri" w:cs="Calibri" w:eastAsia="Calibri" w:hAnsi="Calibri"/>
                <w:sz w:val="14"/>
                <w:szCs w:val="14"/>
                <w:color w:val="51555C"/>
              </w:rPr>
              <w:t>$</w:t>
            </w:r>
          </w:p>
        </w:tc>
        <w:tc>
          <w:tcPr>
            <w:tcW w:w="8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75.8</w:t>
            </w:r>
          </w:p>
        </w:tc>
        <w:tc>
          <w:tcPr>
            <w:tcW w:w="22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53.5</w:t>
            </w:r>
          </w:p>
        </w:tc>
        <w:tc>
          <w:tcPr>
            <w:tcW w:w="80" w:type="dxa"/>
            <w:vAlign w:val="bottom"/>
            <w:tcBorders>
              <w:bottom w:val="single" w:sz="8" w:color="EBFBFF"/>
            </w:tcBorders>
            <w:shd w:val="clear" w:color="auto" w:fill="EBFBFF"/>
          </w:tcPr>
          <w:p>
            <w:pPr>
              <w:spacing w:after="0"/>
              <w:rPr>
                <w:sz w:val="19"/>
                <w:szCs w:val="19"/>
                <w:color w:val="auto"/>
              </w:rPr>
            </w:pPr>
          </w:p>
        </w:tc>
        <w:tc>
          <w:tcPr>
            <w:tcW w:w="480" w:type="dxa"/>
            <w:vAlign w:val="bottom"/>
            <w:tcBorders>
              <w:bottom w:val="single" w:sz="8" w:color="EBFBFF"/>
            </w:tcBorders>
            <w:shd w:val="clear" w:color="auto" w:fill="EBFBFF"/>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192.5</w:t>
            </w:r>
          </w:p>
        </w:tc>
        <w:tc>
          <w:tcPr>
            <w:tcW w:w="22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101.0</w:t>
            </w:r>
          </w:p>
        </w:tc>
      </w:tr>
      <w:tr>
        <w:trPr>
          <w:trHeight w:val="202"/>
        </w:trPr>
        <w:tc>
          <w:tcPr>
            <w:tcW w:w="5980" w:type="dxa"/>
            <w:vAlign w:val="bottom"/>
          </w:tcPr>
          <w:p>
            <w:pPr>
              <w:ind w:left="140"/>
              <w:spacing w:after="0" w:line="202" w:lineRule="exact"/>
              <w:rPr>
                <w:sz w:val="20"/>
                <w:szCs w:val="20"/>
                <w:color w:val="auto"/>
              </w:rPr>
            </w:pPr>
            <w:r>
              <w:rPr>
                <w:rFonts w:ascii="Calibri" w:cs="Calibri" w:eastAsia="Calibri" w:hAnsi="Calibri"/>
                <w:sz w:val="14"/>
                <w:szCs w:val="14"/>
                <w:color w:val="51555C"/>
              </w:rPr>
              <w:t>Non-GAAP EBITDA margin</w:t>
            </w:r>
            <w:r>
              <w:rPr>
                <w:rFonts w:ascii="Calibri" w:cs="Calibri" w:eastAsia="Calibri" w:hAnsi="Calibri"/>
                <w:sz w:val="18"/>
                <w:szCs w:val="18"/>
                <w:color w:val="51555C"/>
                <w:vertAlign w:val="superscript"/>
              </w:rPr>
              <w:t>(3)</w:t>
            </w:r>
          </w:p>
        </w:tc>
        <w:tc>
          <w:tcPr>
            <w:tcW w:w="500" w:type="dxa"/>
            <w:vAlign w:val="bottom"/>
            <w:tcBorders>
              <w:top w:val="single" w:sz="8" w:color="51555C"/>
            </w:tcBorders>
          </w:tcPr>
          <w:p>
            <w:pPr>
              <w:spacing w:after="0"/>
              <w:rPr>
                <w:sz w:val="17"/>
                <w:szCs w:val="17"/>
                <w:color w:val="auto"/>
              </w:rPr>
            </w:pPr>
          </w:p>
        </w:tc>
        <w:tc>
          <w:tcPr>
            <w:tcW w:w="840" w:type="dxa"/>
            <w:vAlign w:val="bottom"/>
            <w:tcBorders>
              <w:top w:val="single" w:sz="8" w:color="51555C"/>
            </w:tcBorders>
          </w:tcPr>
          <w:p>
            <w:pPr>
              <w:jc w:val="right"/>
              <w:spacing w:after="0"/>
              <w:rPr>
                <w:sz w:val="20"/>
                <w:szCs w:val="20"/>
                <w:color w:val="auto"/>
              </w:rPr>
            </w:pPr>
            <w:r>
              <w:rPr>
                <w:rFonts w:ascii="Calibri" w:cs="Calibri" w:eastAsia="Calibri" w:hAnsi="Calibri"/>
                <w:sz w:val="14"/>
                <w:szCs w:val="14"/>
                <w:color w:val="51555C"/>
              </w:rPr>
              <w:t>26.4 %</w:t>
            </w:r>
          </w:p>
        </w:tc>
        <w:tc>
          <w:tcPr>
            <w:tcW w:w="220" w:type="dxa"/>
            <w:vAlign w:val="bottom"/>
            <w:tcBorders>
              <w:top w:val="single" w:sz="8" w:color="51555C"/>
            </w:tcBorders>
          </w:tcPr>
          <w:p>
            <w:pPr>
              <w:spacing w:after="0"/>
              <w:rPr>
                <w:sz w:val="17"/>
                <w:szCs w:val="17"/>
                <w:color w:val="auto"/>
              </w:rPr>
            </w:pPr>
          </w:p>
        </w:tc>
        <w:tc>
          <w:tcPr>
            <w:tcW w:w="1020" w:type="dxa"/>
            <w:vAlign w:val="bottom"/>
            <w:tcBorders>
              <w:top w:val="single" w:sz="8" w:color="51555C"/>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51555C"/>
            </w:tcBorders>
          </w:tcPr>
          <w:p>
            <w:pPr>
              <w:spacing w:after="0"/>
              <w:rPr>
                <w:sz w:val="17"/>
                <w:szCs w:val="17"/>
                <w:color w:val="auto"/>
              </w:rPr>
            </w:pPr>
          </w:p>
        </w:tc>
        <w:tc>
          <w:tcPr>
            <w:tcW w:w="880" w:type="dxa"/>
            <w:vAlign w:val="bottom"/>
            <w:tcBorders>
              <w:top w:val="single" w:sz="8" w:color="51555C"/>
            </w:tcBorders>
          </w:tcPr>
          <w:p>
            <w:pPr>
              <w:jc w:val="right"/>
              <w:spacing w:after="0"/>
              <w:rPr>
                <w:sz w:val="20"/>
                <w:szCs w:val="20"/>
                <w:color w:val="auto"/>
              </w:rPr>
            </w:pPr>
            <w:r>
              <w:rPr>
                <w:rFonts w:ascii="Calibri" w:cs="Calibri" w:eastAsia="Calibri" w:hAnsi="Calibri"/>
                <w:sz w:val="14"/>
                <w:szCs w:val="14"/>
                <w:color w:val="51555C"/>
              </w:rPr>
              <w:t>22.6 %</w:t>
            </w:r>
          </w:p>
        </w:tc>
        <w:tc>
          <w:tcPr>
            <w:tcW w:w="220" w:type="dxa"/>
            <w:vAlign w:val="bottom"/>
            <w:tcBorders>
              <w:top w:val="single" w:sz="8" w:color="51555C"/>
            </w:tcBorders>
          </w:tcPr>
          <w:p>
            <w:pPr>
              <w:spacing w:after="0"/>
              <w:rPr>
                <w:sz w:val="17"/>
                <w:szCs w:val="17"/>
                <w:color w:val="auto"/>
              </w:rPr>
            </w:pPr>
          </w:p>
        </w:tc>
        <w:tc>
          <w:tcPr>
            <w:tcW w:w="1020" w:type="dxa"/>
            <w:vAlign w:val="bottom"/>
            <w:tcBorders>
              <w:top w:val="single" w:sz="8" w:color="51555C"/>
            </w:tcBorders>
          </w:tcPr>
          <w:p>
            <w:pPr>
              <w:spacing w:after="0"/>
              <w:rPr>
                <w:sz w:val="17"/>
                <w:szCs w:val="17"/>
                <w:color w:val="auto"/>
              </w:rPr>
            </w:pPr>
          </w:p>
        </w:tc>
      </w:tr>
      <w:tr>
        <w:trPr>
          <w:trHeight w:val="21"/>
        </w:trPr>
        <w:tc>
          <w:tcPr>
            <w:tcW w:w="5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48"/>
        </w:trPr>
        <w:tc>
          <w:tcPr>
            <w:tcW w:w="5980" w:type="dxa"/>
            <w:vAlign w:val="bottom"/>
            <w:shd w:val="clear" w:color="auto" w:fill="EBFBFF"/>
          </w:tcPr>
          <w:p>
            <w:pPr>
              <w:spacing w:after="0"/>
              <w:rPr>
                <w:sz w:val="12"/>
                <w:szCs w:val="12"/>
                <w:color w:val="auto"/>
              </w:rPr>
            </w:pPr>
          </w:p>
        </w:tc>
        <w:tc>
          <w:tcPr>
            <w:tcW w:w="500" w:type="dxa"/>
            <w:vAlign w:val="bottom"/>
            <w:shd w:val="clear" w:color="auto" w:fill="EBFBFF"/>
          </w:tcPr>
          <w:p>
            <w:pPr>
              <w:spacing w:after="0"/>
              <w:rPr>
                <w:sz w:val="12"/>
                <w:szCs w:val="12"/>
                <w:color w:val="auto"/>
              </w:rPr>
            </w:pPr>
          </w:p>
        </w:tc>
        <w:tc>
          <w:tcPr>
            <w:tcW w:w="840" w:type="dxa"/>
            <w:vAlign w:val="bottom"/>
            <w:shd w:val="clear" w:color="auto" w:fill="EBFBFF"/>
          </w:tcPr>
          <w:p>
            <w:pPr>
              <w:spacing w:after="0"/>
              <w:rPr>
                <w:sz w:val="12"/>
                <w:szCs w:val="12"/>
                <w:color w:val="auto"/>
              </w:rPr>
            </w:pPr>
          </w:p>
        </w:tc>
        <w:tc>
          <w:tcPr>
            <w:tcW w:w="220" w:type="dxa"/>
            <w:vAlign w:val="bottom"/>
            <w:shd w:val="clear" w:color="auto" w:fill="EBFBFF"/>
          </w:tcPr>
          <w:p>
            <w:pPr>
              <w:spacing w:after="0"/>
              <w:rPr>
                <w:sz w:val="12"/>
                <w:szCs w:val="12"/>
                <w:color w:val="auto"/>
              </w:rPr>
            </w:pPr>
          </w:p>
        </w:tc>
        <w:tc>
          <w:tcPr>
            <w:tcW w:w="1020" w:type="dxa"/>
            <w:vAlign w:val="bottom"/>
            <w:shd w:val="clear" w:color="auto" w:fill="EBFBFF"/>
          </w:tcPr>
          <w:p>
            <w:pPr>
              <w:spacing w:after="0"/>
              <w:rPr>
                <w:sz w:val="12"/>
                <w:szCs w:val="12"/>
                <w:color w:val="auto"/>
              </w:rPr>
            </w:pPr>
          </w:p>
        </w:tc>
        <w:tc>
          <w:tcPr>
            <w:tcW w:w="80" w:type="dxa"/>
            <w:vAlign w:val="bottom"/>
            <w:shd w:val="clear" w:color="auto" w:fill="EBFBFF"/>
          </w:tcPr>
          <w:p>
            <w:pPr>
              <w:spacing w:after="0"/>
              <w:rPr>
                <w:sz w:val="12"/>
                <w:szCs w:val="12"/>
                <w:color w:val="auto"/>
              </w:rPr>
            </w:pPr>
          </w:p>
        </w:tc>
        <w:tc>
          <w:tcPr>
            <w:tcW w:w="480" w:type="dxa"/>
            <w:vAlign w:val="bottom"/>
            <w:shd w:val="clear" w:color="auto" w:fill="EBFBFF"/>
          </w:tcPr>
          <w:p>
            <w:pPr>
              <w:spacing w:after="0"/>
              <w:rPr>
                <w:sz w:val="12"/>
                <w:szCs w:val="12"/>
                <w:color w:val="auto"/>
              </w:rPr>
            </w:pPr>
          </w:p>
        </w:tc>
        <w:tc>
          <w:tcPr>
            <w:tcW w:w="880" w:type="dxa"/>
            <w:vAlign w:val="bottom"/>
            <w:shd w:val="clear" w:color="auto" w:fill="EBFBFF"/>
          </w:tcPr>
          <w:p>
            <w:pPr>
              <w:spacing w:after="0"/>
              <w:rPr>
                <w:sz w:val="12"/>
                <w:szCs w:val="12"/>
                <w:color w:val="auto"/>
              </w:rPr>
            </w:pPr>
          </w:p>
        </w:tc>
        <w:tc>
          <w:tcPr>
            <w:tcW w:w="220" w:type="dxa"/>
            <w:vAlign w:val="bottom"/>
            <w:shd w:val="clear" w:color="auto" w:fill="EBFBFF"/>
          </w:tcPr>
          <w:p>
            <w:pPr>
              <w:spacing w:after="0"/>
              <w:rPr>
                <w:sz w:val="12"/>
                <w:szCs w:val="12"/>
                <w:color w:val="auto"/>
              </w:rPr>
            </w:pPr>
          </w:p>
        </w:tc>
        <w:tc>
          <w:tcPr>
            <w:tcW w:w="1020" w:type="dxa"/>
            <w:vAlign w:val="bottom"/>
            <w:shd w:val="clear" w:color="auto" w:fill="EBFBFF"/>
          </w:tcPr>
          <w:p>
            <w:pPr>
              <w:spacing w:after="0"/>
              <w:rPr>
                <w:sz w:val="12"/>
                <w:szCs w:val="12"/>
                <w:color w:val="auto"/>
              </w:rPr>
            </w:pPr>
          </w:p>
        </w:tc>
      </w:tr>
      <w:tr>
        <w:trPr>
          <w:trHeight w:val="170"/>
        </w:trPr>
        <w:tc>
          <w:tcPr>
            <w:tcW w:w="5980" w:type="dxa"/>
            <w:vAlign w:val="bottom"/>
          </w:tcPr>
          <w:p>
            <w:pPr>
              <w:ind w:left="20"/>
              <w:spacing w:after="0"/>
              <w:rPr>
                <w:sz w:val="20"/>
                <w:szCs w:val="20"/>
                <w:color w:val="auto"/>
              </w:rPr>
            </w:pPr>
            <w:r>
              <w:rPr>
                <w:rFonts w:ascii="Calibri" w:cs="Calibri" w:eastAsia="Calibri" w:hAnsi="Calibri"/>
                <w:sz w:val="14"/>
                <w:szCs w:val="14"/>
                <w:color w:val="51555C"/>
              </w:rPr>
              <w:t>Non-GAAP adjustments:</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0"/>
        </w:trPr>
        <w:tc>
          <w:tcPr>
            <w:tcW w:w="5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10"/>
        </w:trPr>
        <w:tc>
          <w:tcPr>
            <w:tcW w:w="59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Stock-based compensaton expense</w:t>
            </w:r>
          </w:p>
        </w:tc>
        <w:tc>
          <w:tcPr>
            <w:tcW w:w="500" w:type="dxa"/>
            <w:vAlign w:val="bottom"/>
            <w:tcBorders>
              <w:bottom w:val="single" w:sz="8" w:color="EBFBFF"/>
            </w:tcBorders>
            <w:shd w:val="clear" w:color="auto" w:fill="EBFBFF"/>
          </w:tcPr>
          <w:p>
            <w:pPr>
              <w:jc w:val="right"/>
              <w:ind w:right="328"/>
              <w:spacing w:after="0"/>
              <w:rPr>
                <w:sz w:val="20"/>
                <w:szCs w:val="20"/>
                <w:color w:val="auto"/>
              </w:rPr>
            </w:pPr>
            <w:r>
              <w:rPr>
                <w:rFonts w:ascii="Calibri" w:cs="Calibri" w:eastAsia="Calibri" w:hAnsi="Calibri"/>
                <w:sz w:val="14"/>
                <w:szCs w:val="14"/>
                <w:color w:val="51555C"/>
              </w:rPr>
              <w:t>$</w:t>
            </w:r>
          </w:p>
        </w:tc>
        <w:tc>
          <w:tcPr>
            <w:tcW w:w="8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18.6</w:t>
            </w:r>
          </w:p>
        </w:tc>
        <w:tc>
          <w:tcPr>
            <w:tcW w:w="22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32.4</w:t>
            </w:r>
          </w:p>
        </w:tc>
        <w:tc>
          <w:tcPr>
            <w:tcW w:w="560" w:type="dxa"/>
            <w:vAlign w:val="bottom"/>
            <w:tcBorders>
              <w:bottom w:val="single" w:sz="8" w:color="EBFBFF"/>
            </w:tcBorders>
            <w:gridSpan w:val="2"/>
            <w:shd w:val="clear" w:color="auto" w:fill="EBFBFF"/>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76.4</w:t>
            </w:r>
          </w:p>
        </w:tc>
        <w:tc>
          <w:tcPr>
            <w:tcW w:w="22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95.7</w:t>
            </w:r>
          </w:p>
        </w:tc>
      </w:tr>
      <w:tr>
        <w:trPr>
          <w:trHeight w:val="170"/>
        </w:trPr>
        <w:tc>
          <w:tcPr>
            <w:tcW w:w="5980" w:type="dxa"/>
            <w:vAlign w:val="bottom"/>
          </w:tcPr>
          <w:p>
            <w:pPr>
              <w:ind w:left="140"/>
              <w:spacing w:after="0"/>
              <w:rPr>
                <w:sz w:val="20"/>
                <w:szCs w:val="20"/>
                <w:color w:val="auto"/>
              </w:rPr>
            </w:pPr>
            <w:r>
              <w:rPr>
                <w:rFonts w:ascii="Calibri" w:cs="Calibri" w:eastAsia="Calibri" w:hAnsi="Calibri"/>
                <w:sz w:val="14"/>
                <w:szCs w:val="14"/>
                <w:color w:val="51555C"/>
              </w:rPr>
              <w:t>Add: Employee severance</w:t>
            </w:r>
          </w:p>
        </w:tc>
        <w:tc>
          <w:tcPr>
            <w:tcW w:w="50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Calibri" w:cs="Calibri" w:eastAsia="Calibri" w:hAnsi="Calibri"/>
                <w:sz w:val="14"/>
                <w:szCs w:val="14"/>
                <w:color w:val="51555C"/>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0.1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Calibri" w:cs="Calibri" w:eastAsia="Calibri" w:hAnsi="Calibri"/>
                <w:sz w:val="14"/>
                <w:szCs w:val="14"/>
                <w:color w:val="51555C"/>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5.1</w:t>
            </w:r>
          </w:p>
        </w:tc>
      </w:tr>
      <w:tr>
        <w:trPr>
          <w:trHeight w:val="60"/>
        </w:trPr>
        <w:tc>
          <w:tcPr>
            <w:tcW w:w="5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10"/>
        </w:trPr>
        <w:tc>
          <w:tcPr>
            <w:tcW w:w="59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Acquisiton and dispositon-related costs</w:t>
            </w:r>
          </w:p>
        </w:tc>
        <w:tc>
          <w:tcPr>
            <w:tcW w:w="500" w:type="dxa"/>
            <w:vAlign w:val="bottom"/>
            <w:tcBorders>
              <w:bottom w:val="single" w:sz="8" w:color="EBFBFF"/>
            </w:tcBorders>
            <w:shd w:val="clear" w:color="auto" w:fill="EBFBFF"/>
          </w:tcPr>
          <w:p>
            <w:pPr>
              <w:spacing w:after="0"/>
              <w:rPr>
                <w:sz w:val="18"/>
                <w:szCs w:val="18"/>
                <w:color w:val="auto"/>
              </w:rPr>
            </w:pPr>
          </w:p>
        </w:tc>
        <w:tc>
          <w:tcPr>
            <w:tcW w:w="8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0.2</w:t>
            </w:r>
          </w:p>
        </w:tc>
        <w:tc>
          <w:tcPr>
            <w:tcW w:w="22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7.0</w:t>
            </w:r>
          </w:p>
        </w:tc>
        <w:tc>
          <w:tcPr>
            <w:tcW w:w="80" w:type="dxa"/>
            <w:vAlign w:val="bottom"/>
            <w:tcBorders>
              <w:bottom w:val="single" w:sz="8" w:color="EBFBFF"/>
            </w:tcBorders>
            <w:shd w:val="clear" w:color="auto" w:fill="EBFBFF"/>
          </w:tcPr>
          <w:p>
            <w:pPr>
              <w:spacing w:after="0"/>
              <w:rPr>
                <w:sz w:val="18"/>
                <w:szCs w:val="18"/>
                <w:color w:val="auto"/>
              </w:rPr>
            </w:pPr>
          </w:p>
        </w:tc>
        <w:tc>
          <w:tcPr>
            <w:tcW w:w="480" w:type="dxa"/>
            <w:vAlign w:val="bottom"/>
            <w:tcBorders>
              <w:bottom w:val="single" w:sz="8" w:color="EBFBFF"/>
            </w:tcBorders>
            <w:shd w:val="clear" w:color="auto" w:fill="EBFBFF"/>
          </w:tcPr>
          <w:p>
            <w:pPr>
              <w:spacing w:after="0"/>
              <w:rPr>
                <w:sz w:val="18"/>
                <w:szCs w:val="18"/>
                <w:color w:val="auto"/>
              </w:rPr>
            </w:pPr>
          </w:p>
        </w:tc>
        <w:tc>
          <w:tcPr>
            <w:tcW w:w="88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4.9</w:t>
            </w:r>
          </w:p>
        </w:tc>
        <w:tc>
          <w:tcPr>
            <w:tcW w:w="22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6.8</w:t>
            </w:r>
          </w:p>
        </w:tc>
      </w:tr>
      <w:tr>
        <w:trPr>
          <w:trHeight w:val="223"/>
        </w:trPr>
        <w:tc>
          <w:tcPr>
            <w:tcW w:w="5980" w:type="dxa"/>
            <w:vAlign w:val="bottom"/>
            <w:tcBorders>
              <w:bottom w:val="single" w:sz="8" w:color="EBFBFF"/>
            </w:tcBorders>
          </w:tcPr>
          <w:p>
            <w:pPr>
              <w:ind w:left="140"/>
              <w:spacing w:after="0" w:line="216" w:lineRule="exact"/>
              <w:rPr>
                <w:sz w:val="20"/>
                <w:szCs w:val="20"/>
                <w:color w:val="auto"/>
              </w:rPr>
            </w:pPr>
            <w:r>
              <w:rPr>
                <w:rFonts w:ascii="Calibri" w:cs="Calibri" w:eastAsia="Calibri" w:hAnsi="Calibri"/>
                <w:sz w:val="14"/>
                <w:szCs w:val="14"/>
                <w:color w:val="51555C"/>
              </w:rPr>
              <w:t>Add: Security Incident-related costs</w:t>
            </w:r>
            <w:r>
              <w:rPr>
                <w:rFonts w:ascii="Calibri" w:cs="Calibri" w:eastAsia="Calibri" w:hAnsi="Calibri"/>
                <w:sz w:val="18"/>
                <w:szCs w:val="18"/>
                <w:color w:val="51555C"/>
                <w:vertAlign w:val="superscript"/>
              </w:rPr>
              <w:t>(4)</w:t>
            </w:r>
          </w:p>
        </w:tc>
        <w:tc>
          <w:tcPr>
            <w:tcW w:w="500" w:type="dxa"/>
            <w:vAlign w:val="bottom"/>
            <w:tcBorders>
              <w:bottom w:val="single" w:sz="8" w:color="51555C"/>
            </w:tcBorders>
          </w:tcPr>
          <w:p>
            <w:pPr>
              <w:spacing w:after="0"/>
              <w:rPr>
                <w:sz w:val="19"/>
                <w:szCs w:val="19"/>
                <w:color w:val="auto"/>
              </w:rPr>
            </w:pPr>
          </w:p>
        </w:tc>
        <w:tc>
          <w:tcPr>
            <w:tcW w:w="840" w:type="dxa"/>
            <w:vAlign w:val="bottom"/>
            <w:tcBorders>
              <w:bottom w:val="single" w:sz="8" w:color="51555C"/>
            </w:tcBorders>
          </w:tcPr>
          <w:p>
            <w:pPr>
              <w:jc w:val="right"/>
              <w:ind w:right="88"/>
              <w:spacing w:after="0"/>
              <w:rPr>
                <w:sz w:val="20"/>
                <w:szCs w:val="20"/>
                <w:color w:val="auto"/>
              </w:rPr>
            </w:pPr>
            <w:r>
              <w:rPr>
                <w:rFonts w:ascii="Calibri" w:cs="Calibri" w:eastAsia="Calibri" w:hAnsi="Calibri"/>
                <w:sz w:val="14"/>
                <w:szCs w:val="14"/>
                <w:color w:val="51555C"/>
              </w:rPr>
              <w:t>0.6</w:t>
            </w:r>
          </w:p>
        </w:tc>
        <w:tc>
          <w:tcPr>
            <w:tcW w:w="220" w:type="dxa"/>
            <w:vAlign w:val="bottom"/>
            <w:tcBorders>
              <w:bottom w:val="single" w:sz="8" w:color="51555C"/>
            </w:tcBorders>
          </w:tcPr>
          <w:p>
            <w:pPr>
              <w:spacing w:after="0"/>
              <w:rPr>
                <w:sz w:val="19"/>
                <w:szCs w:val="19"/>
                <w:color w:val="auto"/>
              </w:rPr>
            </w:pPr>
          </w:p>
        </w:tc>
        <w:tc>
          <w:tcPr>
            <w:tcW w:w="1020" w:type="dxa"/>
            <w:vAlign w:val="bottom"/>
            <w:tcBorders>
              <w:bottom w:val="single" w:sz="8" w:color="51555C"/>
            </w:tcBorders>
          </w:tcPr>
          <w:p>
            <w:pPr>
              <w:jc w:val="right"/>
              <w:spacing w:after="0"/>
              <w:rPr>
                <w:sz w:val="20"/>
                <w:szCs w:val="20"/>
                <w:color w:val="auto"/>
              </w:rPr>
            </w:pPr>
            <w:r>
              <w:rPr>
                <w:rFonts w:ascii="Calibri" w:cs="Calibri" w:eastAsia="Calibri" w:hAnsi="Calibri"/>
                <w:sz w:val="14"/>
                <w:szCs w:val="14"/>
                <w:color w:val="51555C"/>
              </w:rPr>
              <w:t>4.1</w:t>
            </w:r>
          </w:p>
        </w:tc>
        <w:tc>
          <w:tcPr>
            <w:tcW w:w="80" w:type="dxa"/>
            <w:vAlign w:val="bottom"/>
            <w:tcBorders>
              <w:bottom w:val="single" w:sz="8" w:color="EBFBFF"/>
            </w:tcBorders>
          </w:tcPr>
          <w:p>
            <w:pPr>
              <w:spacing w:after="0"/>
              <w:rPr>
                <w:sz w:val="19"/>
                <w:szCs w:val="19"/>
                <w:color w:val="auto"/>
              </w:rPr>
            </w:pPr>
          </w:p>
        </w:tc>
        <w:tc>
          <w:tcPr>
            <w:tcW w:w="480" w:type="dxa"/>
            <w:vAlign w:val="bottom"/>
            <w:tcBorders>
              <w:bottom w:val="single" w:sz="8" w:color="51555C"/>
            </w:tcBorders>
          </w:tcPr>
          <w:p>
            <w:pPr>
              <w:spacing w:after="0"/>
              <w:rPr>
                <w:sz w:val="19"/>
                <w:szCs w:val="19"/>
                <w:color w:val="auto"/>
              </w:rPr>
            </w:pPr>
          </w:p>
        </w:tc>
        <w:tc>
          <w:tcPr>
            <w:tcW w:w="880" w:type="dxa"/>
            <w:vAlign w:val="bottom"/>
            <w:tcBorders>
              <w:bottom w:val="single" w:sz="8" w:color="51555C"/>
            </w:tcBorders>
          </w:tcPr>
          <w:p>
            <w:pPr>
              <w:jc w:val="right"/>
              <w:ind w:right="88"/>
              <w:spacing w:after="0"/>
              <w:rPr>
                <w:sz w:val="20"/>
                <w:szCs w:val="20"/>
                <w:color w:val="auto"/>
              </w:rPr>
            </w:pPr>
            <w:r>
              <w:rPr>
                <w:rFonts w:ascii="Calibri" w:cs="Calibri" w:eastAsia="Calibri" w:hAnsi="Calibri"/>
                <w:sz w:val="14"/>
                <w:szCs w:val="14"/>
                <w:color w:val="51555C"/>
              </w:rPr>
              <w:t>12.8</w:t>
            </w:r>
          </w:p>
        </w:tc>
        <w:tc>
          <w:tcPr>
            <w:tcW w:w="220" w:type="dxa"/>
            <w:vAlign w:val="bottom"/>
            <w:tcBorders>
              <w:bottom w:val="single" w:sz="8" w:color="51555C"/>
            </w:tcBorders>
          </w:tcPr>
          <w:p>
            <w:pPr>
              <w:spacing w:after="0"/>
              <w:rPr>
                <w:sz w:val="19"/>
                <w:szCs w:val="19"/>
                <w:color w:val="auto"/>
              </w:rPr>
            </w:pPr>
          </w:p>
        </w:tc>
        <w:tc>
          <w:tcPr>
            <w:tcW w:w="1020" w:type="dxa"/>
            <w:vAlign w:val="bottom"/>
            <w:tcBorders>
              <w:bottom w:val="single" w:sz="8" w:color="51555C"/>
            </w:tcBorders>
          </w:tcPr>
          <w:p>
            <w:pPr>
              <w:jc w:val="right"/>
              <w:spacing w:after="0"/>
              <w:rPr>
                <w:sz w:val="20"/>
                <w:szCs w:val="20"/>
                <w:color w:val="auto"/>
              </w:rPr>
            </w:pPr>
            <w:r>
              <w:rPr>
                <w:rFonts w:ascii="Calibri" w:cs="Calibri" w:eastAsia="Calibri" w:hAnsi="Calibri"/>
                <w:sz w:val="14"/>
                <w:szCs w:val="14"/>
                <w:color w:val="51555C"/>
              </w:rPr>
              <w:t>48.6</w:t>
            </w:r>
          </w:p>
        </w:tc>
      </w:tr>
      <w:tr>
        <w:trPr>
          <w:trHeight w:val="230"/>
        </w:trPr>
        <w:tc>
          <w:tcPr>
            <w:tcW w:w="5980" w:type="dxa"/>
            <w:vAlign w:val="bottom"/>
            <w:tcBorders>
              <w:bottom w:val="single" w:sz="8" w:color="EBFBFF"/>
            </w:tcBorders>
            <w:shd w:val="clear" w:color="auto" w:fill="EBFBFF"/>
          </w:tcPr>
          <w:p>
            <w:pPr>
              <w:ind w:left="240"/>
              <w:spacing w:after="0" w:line="208" w:lineRule="exact"/>
              <w:rPr>
                <w:sz w:val="20"/>
                <w:szCs w:val="20"/>
                <w:color w:val="auto"/>
              </w:rPr>
            </w:pPr>
            <w:r>
              <w:rPr>
                <w:rFonts w:ascii="Calibri" w:cs="Calibri" w:eastAsia="Calibri" w:hAnsi="Calibri"/>
                <w:sz w:val="14"/>
                <w:szCs w:val="14"/>
                <w:color w:val="51555C"/>
              </w:rPr>
              <w:t>Subtotal</w:t>
            </w:r>
            <w:r>
              <w:rPr>
                <w:rFonts w:ascii="Calibri" w:cs="Calibri" w:eastAsia="Calibri" w:hAnsi="Calibri"/>
                <w:sz w:val="18"/>
                <w:szCs w:val="18"/>
                <w:color w:val="51555C"/>
                <w:vertAlign w:val="superscript"/>
              </w:rPr>
              <w:t>(2)</w:t>
            </w:r>
          </w:p>
        </w:tc>
        <w:tc>
          <w:tcPr>
            <w:tcW w:w="500" w:type="dxa"/>
            <w:vAlign w:val="bottom"/>
            <w:tcBorders>
              <w:bottom w:val="single" w:sz="8" w:color="EBFBFF"/>
            </w:tcBorders>
            <w:shd w:val="clear" w:color="auto" w:fill="EBFBFF"/>
          </w:tcPr>
          <w:p>
            <w:pPr>
              <w:spacing w:after="0"/>
              <w:rPr>
                <w:sz w:val="19"/>
                <w:szCs w:val="19"/>
                <w:color w:val="auto"/>
              </w:rPr>
            </w:pPr>
          </w:p>
        </w:tc>
        <w:tc>
          <w:tcPr>
            <w:tcW w:w="8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19.5</w:t>
            </w:r>
          </w:p>
        </w:tc>
        <w:tc>
          <w:tcPr>
            <w:tcW w:w="220" w:type="dxa"/>
            <w:vAlign w:val="bottom"/>
            <w:tcBorders>
              <w:bottom w:val="single" w:sz="8" w:color="EBFBFF"/>
            </w:tcBorders>
            <w:shd w:val="clear" w:color="auto" w:fill="EBFBFF"/>
          </w:tcPr>
          <w:p>
            <w:pPr>
              <w:spacing w:after="0"/>
              <w:rPr>
                <w:sz w:val="19"/>
                <w:szCs w:val="19"/>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43.6</w:t>
            </w:r>
          </w:p>
        </w:tc>
        <w:tc>
          <w:tcPr>
            <w:tcW w:w="80" w:type="dxa"/>
            <w:vAlign w:val="bottom"/>
            <w:tcBorders>
              <w:bottom w:val="single" w:sz="8" w:color="EBFBFF"/>
            </w:tcBorders>
            <w:shd w:val="clear" w:color="auto" w:fill="EBFBFF"/>
          </w:tcPr>
          <w:p>
            <w:pPr>
              <w:spacing w:after="0"/>
              <w:rPr>
                <w:sz w:val="19"/>
                <w:szCs w:val="19"/>
                <w:color w:val="auto"/>
              </w:rPr>
            </w:pPr>
          </w:p>
        </w:tc>
        <w:tc>
          <w:tcPr>
            <w:tcW w:w="48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94.1</w:t>
            </w:r>
          </w:p>
        </w:tc>
        <w:tc>
          <w:tcPr>
            <w:tcW w:w="220" w:type="dxa"/>
            <w:vAlign w:val="bottom"/>
            <w:tcBorders>
              <w:bottom w:val="single" w:sz="8" w:color="EBFBFF"/>
            </w:tcBorders>
            <w:shd w:val="clear" w:color="auto" w:fill="EBFBFF"/>
          </w:tcPr>
          <w:p>
            <w:pPr>
              <w:spacing w:after="0"/>
              <w:rPr>
                <w:sz w:val="19"/>
                <w:szCs w:val="19"/>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156.2</w:t>
            </w:r>
          </w:p>
        </w:tc>
      </w:tr>
      <w:tr>
        <w:trPr>
          <w:trHeight w:val="202"/>
        </w:trPr>
        <w:tc>
          <w:tcPr>
            <w:tcW w:w="5980" w:type="dxa"/>
            <w:vAlign w:val="bottom"/>
          </w:tcPr>
          <w:p>
            <w:pPr>
              <w:ind w:left="20"/>
              <w:spacing w:after="0" w:line="202" w:lineRule="exact"/>
              <w:rPr>
                <w:sz w:val="20"/>
                <w:szCs w:val="20"/>
                <w:color w:val="auto"/>
              </w:rPr>
            </w:pPr>
            <w:r>
              <w:rPr>
                <w:rFonts w:ascii="Calibri" w:cs="Calibri" w:eastAsia="Calibri" w:hAnsi="Calibri"/>
                <w:sz w:val="14"/>
                <w:szCs w:val="14"/>
                <w:color w:val="51555C"/>
              </w:rPr>
              <w:t>Non-GAAP adjusted EBITDA</w:t>
            </w:r>
            <w:r>
              <w:rPr>
                <w:rFonts w:ascii="Calibri" w:cs="Calibri" w:eastAsia="Calibri" w:hAnsi="Calibri"/>
                <w:sz w:val="18"/>
                <w:szCs w:val="18"/>
                <w:color w:val="51555C"/>
                <w:vertAlign w:val="superscript"/>
              </w:rPr>
              <w:t>(2)</w:t>
            </w:r>
          </w:p>
        </w:tc>
        <w:tc>
          <w:tcPr>
            <w:tcW w:w="500" w:type="dxa"/>
            <w:vAlign w:val="bottom"/>
            <w:tcBorders>
              <w:top w:val="single" w:sz="8" w:color="51555C"/>
            </w:tcBorders>
          </w:tcPr>
          <w:p>
            <w:pPr>
              <w:jc w:val="right"/>
              <w:ind w:right="328"/>
              <w:spacing w:after="0"/>
              <w:rPr>
                <w:sz w:val="20"/>
                <w:szCs w:val="20"/>
                <w:color w:val="auto"/>
              </w:rPr>
            </w:pPr>
            <w:r>
              <w:rPr>
                <w:rFonts w:ascii="Calibri" w:cs="Calibri" w:eastAsia="Calibri" w:hAnsi="Calibri"/>
                <w:sz w:val="14"/>
                <w:szCs w:val="14"/>
                <w:color w:val="51555C"/>
              </w:rPr>
              <w:t>$</w:t>
            </w:r>
          </w:p>
        </w:tc>
        <w:tc>
          <w:tcPr>
            <w:tcW w:w="84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95.2</w:t>
            </w:r>
          </w:p>
        </w:tc>
        <w:tc>
          <w:tcPr>
            <w:tcW w:w="220" w:type="dxa"/>
            <w:vAlign w:val="bottom"/>
            <w:tcBorders>
              <w:top w:val="single" w:sz="8" w:color="51555C"/>
            </w:tcBorders>
          </w:tcPr>
          <w:p>
            <w:pPr>
              <w:jc w:val="right"/>
              <w:ind w:right="48"/>
              <w:spacing w:after="0"/>
              <w:rPr>
                <w:sz w:val="20"/>
                <w:szCs w:val="20"/>
                <w:color w:val="auto"/>
              </w:rPr>
            </w:pPr>
            <w:r>
              <w:rPr>
                <w:rFonts w:ascii="Calibri" w:cs="Calibri" w:eastAsia="Calibri" w:hAnsi="Calibri"/>
                <w:sz w:val="14"/>
                <w:szCs w:val="14"/>
                <w:color w:val="51555C"/>
              </w:rPr>
              <w:t>$</w:t>
            </w:r>
          </w:p>
        </w:tc>
        <w:tc>
          <w:tcPr>
            <w:tcW w:w="1020" w:type="dxa"/>
            <w:vAlign w:val="bottom"/>
            <w:tcBorders>
              <w:top w:val="single" w:sz="8" w:color="51555C"/>
            </w:tcBorders>
          </w:tcPr>
          <w:p>
            <w:pPr>
              <w:jc w:val="right"/>
              <w:spacing w:after="0"/>
              <w:rPr>
                <w:sz w:val="20"/>
                <w:szCs w:val="20"/>
                <w:color w:val="auto"/>
              </w:rPr>
            </w:pPr>
            <w:r>
              <w:rPr>
                <w:rFonts w:ascii="Calibri" w:cs="Calibri" w:eastAsia="Calibri" w:hAnsi="Calibri"/>
                <w:sz w:val="14"/>
                <w:szCs w:val="14"/>
                <w:color w:val="51555C"/>
              </w:rPr>
              <w:t>97.1</w:t>
            </w:r>
          </w:p>
        </w:tc>
        <w:tc>
          <w:tcPr>
            <w:tcW w:w="80" w:type="dxa"/>
            <w:vAlign w:val="bottom"/>
          </w:tcPr>
          <w:p>
            <w:pPr>
              <w:spacing w:after="0"/>
              <w:rPr>
                <w:sz w:val="17"/>
                <w:szCs w:val="17"/>
                <w:color w:val="auto"/>
              </w:rPr>
            </w:pPr>
          </w:p>
        </w:tc>
        <w:tc>
          <w:tcPr>
            <w:tcW w:w="480" w:type="dxa"/>
            <w:vAlign w:val="bottom"/>
            <w:tcBorders>
              <w:top w:val="single" w:sz="8" w:color="51555C"/>
            </w:tcBorders>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286.6</w:t>
            </w:r>
          </w:p>
        </w:tc>
        <w:tc>
          <w:tcPr>
            <w:tcW w:w="220" w:type="dxa"/>
            <w:vAlign w:val="bottom"/>
            <w:tcBorders>
              <w:top w:val="single" w:sz="8" w:color="51555C"/>
            </w:tcBorders>
          </w:tcPr>
          <w:p>
            <w:pPr>
              <w:jc w:val="right"/>
              <w:ind w:right="68"/>
              <w:spacing w:after="0"/>
              <w:rPr>
                <w:sz w:val="20"/>
                <w:szCs w:val="20"/>
                <w:color w:val="auto"/>
              </w:rPr>
            </w:pPr>
            <w:r>
              <w:rPr>
                <w:rFonts w:ascii="Calibri" w:cs="Calibri" w:eastAsia="Calibri" w:hAnsi="Calibri"/>
                <w:sz w:val="14"/>
                <w:szCs w:val="14"/>
                <w:color w:val="51555C"/>
                <w:w w:val="83"/>
              </w:rPr>
              <w:t>$</w:t>
            </w:r>
          </w:p>
        </w:tc>
        <w:tc>
          <w:tcPr>
            <w:tcW w:w="1020" w:type="dxa"/>
            <w:vAlign w:val="bottom"/>
            <w:tcBorders>
              <w:top w:val="single" w:sz="8" w:color="51555C"/>
            </w:tcBorders>
          </w:tcPr>
          <w:p>
            <w:pPr>
              <w:jc w:val="right"/>
              <w:spacing w:after="0"/>
              <w:rPr>
                <w:sz w:val="20"/>
                <w:szCs w:val="20"/>
                <w:color w:val="auto"/>
              </w:rPr>
            </w:pPr>
            <w:r>
              <w:rPr>
                <w:rFonts w:ascii="Calibri" w:cs="Calibri" w:eastAsia="Calibri" w:hAnsi="Calibri"/>
                <w:sz w:val="14"/>
                <w:szCs w:val="14"/>
                <w:color w:val="51555C"/>
              </w:rPr>
              <w:t>257.2</w:t>
            </w:r>
          </w:p>
        </w:tc>
      </w:tr>
      <w:tr>
        <w:trPr>
          <w:trHeight w:val="21"/>
        </w:trPr>
        <w:tc>
          <w:tcPr>
            <w:tcW w:w="5980" w:type="dxa"/>
            <w:vAlign w:val="bottom"/>
            <w:tcBorders>
              <w:bottom w:val="single" w:sz="8" w:color="EBFBFF"/>
            </w:tcBorders>
          </w:tcPr>
          <w:p>
            <w:pPr>
              <w:spacing w:after="0" w:line="20" w:lineRule="exact"/>
              <w:rPr>
                <w:sz w:val="1"/>
                <w:szCs w:val="1"/>
                <w:color w:val="auto"/>
              </w:rPr>
            </w:pPr>
          </w:p>
        </w:tc>
        <w:tc>
          <w:tcPr>
            <w:tcW w:w="500" w:type="dxa"/>
            <w:vAlign w:val="bottom"/>
            <w:tcBorders>
              <w:bottom w:val="single" w:sz="8" w:color="51555C"/>
            </w:tcBorders>
          </w:tcPr>
          <w:p>
            <w:pPr>
              <w:spacing w:after="0" w:line="20" w:lineRule="exact"/>
              <w:rPr>
                <w:sz w:val="1"/>
                <w:szCs w:val="1"/>
                <w:color w:val="auto"/>
              </w:rPr>
            </w:pPr>
          </w:p>
        </w:tc>
        <w:tc>
          <w:tcPr>
            <w:tcW w:w="840" w:type="dxa"/>
            <w:vAlign w:val="bottom"/>
            <w:tcBorders>
              <w:bottom w:val="single" w:sz="8" w:color="51555C"/>
            </w:tcBorders>
          </w:tcPr>
          <w:p>
            <w:pPr>
              <w:spacing w:after="0" w:line="20" w:lineRule="exact"/>
              <w:rPr>
                <w:sz w:val="1"/>
                <w:szCs w:val="1"/>
                <w:color w:val="auto"/>
              </w:rPr>
            </w:pPr>
          </w:p>
        </w:tc>
        <w:tc>
          <w:tcPr>
            <w:tcW w:w="220" w:type="dxa"/>
            <w:vAlign w:val="bottom"/>
            <w:tcBorders>
              <w:bottom w:val="single" w:sz="8" w:color="51555C"/>
            </w:tcBorders>
          </w:tcPr>
          <w:p>
            <w:pPr>
              <w:spacing w:after="0" w:line="20" w:lineRule="exact"/>
              <w:rPr>
                <w:sz w:val="1"/>
                <w:szCs w:val="1"/>
                <w:color w:val="auto"/>
              </w:rPr>
            </w:pPr>
          </w:p>
        </w:tc>
        <w:tc>
          <w:tcPr>
            <w:tcW w:w="1020" w:type="dxa"/>
            <w:vAlign w:val="bottom"/>
            <w:tcBorders>
              <w:bottom w:val="single" w:sz="8" w:color="51555C"/>
            </w:tcBorders>
          </w:tcPr>
          <w:p>
            <w:pPr>
              <w:spacing w:after="0" w:line="20" w:lineRule="exact"/>
              <w:rPr>
                <w:sz w:val="1"/>
                <w:szCs w:val="1"/>
                <w:color w:val="auto"/>
              </w:rPr>
            </w:pPr>
          </w:p>
        </w:tc>
        <w:tc>
          <w:tcPr>
            <w:tcW w:w="80" w:type="dxa"/>
            <w:vAlign w:val="bottom"/>
            <w:tcBorders>
              <w:bottom w:val="single" w:sz="8" w:color="EBFBFF"/>
            </w:tcBorders>
          </w:tcPr>
          <w:p>
            <w:pPr>
              <w:spacing w:after="0" w:line="20" w:lineRule="exact"/>
              <w:rPr>
                <w:sz w:val="1"/>
                <w:szCs w:val="1"/>
                <w:color w:val="auto"/>
              </w:rPr>
            </w:pPr>
          </w:p>
        </w:tc>
        <w:tc>
          <w:tcPr>
            <w:tcW w:w="480" w:type="dxa"/>
            <w:vAlign w:val="bottom"/>
            <w:tcBorders>
              <w:bottom w:val="single" w:sz="8" w:color="51555C"/>
            </w:tcBorders>
          </w:tcPr>
          <w:p>
            <w:pPr>
              <w:spacing w:after="0" w:line="20" w:lineRule="exact"/>
              <w:rPr>
                <w:sz w:val="1"/>
                <w:szCs w:val="1"/>
                <w:color w:val="auto"/>
              </w:rPr>
            </w:pPr>
          </w:p>
        </w:tc>
        <w:tc>
          <w:tcPr>
            <w:tcW w:w="880" w:type="dxa"/>
            <w:vAlign w:val="bottom"/>
            <w:tcBorders>
              <w:bottom w:val="single" w:sz="8" w:color="51555C"/>
            </w:tcBorders>
          </w:tcPr>
          <w:p>
            <w:pPr>
              <w:spacing w:after="0" w:line="20" w:lineRule="exact"/>
              <w:rPr>
                <w:sz w:val="1"/>
                <w:szCs w:val="1"/>
                <w:color w:val="auto"/>
              </w:rPr>
            </w:pPr>
          </w:p>
        </w:tc>
        <w:tc>
          <w:tcPr>
            <w:tcW w:w="220" w:type="dxa"/>
            <w:vAlign w:val="bottom"/>
            <w:tcBorders>
              <w:bottom w:val="single" w:sz="8" w:color="51555C"/>
            </w:tcBorders>
          </w:tcPr>
          <w:p>
            <w:pPr>
              <w:spacing w:after="0" w:line="20" w:lineRule="exact"/>
              <w:rPr>
                <w:sz w:val="1"/>
                <w:szCs w:val="1"/>
                <w:color w:val="auto"/>
              </w:rPr>
            </w:pPr>
          </w:p>
        </w:tc>
        <w:tc>
          <w:tcPr>
            <w:tcW w:w="1020" w:type="dxa"/>
            <w:vAlign w:val="bottom"/>
            <w:tcBorders>
              <w:bottom w:val="single" w:sz="8" w:color="51555C"/>
            </w:tcBorders>
          </w:tcPr>
          <w:p>
            <w:pPr>
              <w:spacing w:after="0" w:line="20" w:lineRule="exact"/>
              <w:rPr>
                <w:sz w:val="1"/>
                <w:szCs w:val="1"/>
                <w:color w:val="auto"/>
              </w:rPr>
            </w:pPr>
          </w:p>
        </w:tc>
      </w:tr>
      <w:tr>
        <w:trPr>
          <w:trHeight w:val="203"/>
        </w:trPr>
        <w:tc>
          <w:tcPr>
            <w:tcW w:w="5980" w:type="dxa"/>
            <w:vAlign w:val="bottom"/>
            <w:tcBorders>
              <w:bottom w:val="single" w:sz="8" w:color="EBFBFF"/>
            </w:tcBorders>
            <w:shd w:val="clear" w:color="auto" w:fill="EBFBFF"/>
          </w:tcPr>
          <w:p>
            <w:pPr>
              <w:ind w:left="140"/>
              <w:spacing w:after="0" w:line="202" w:lineRule="exact"/>
              <w:rPr>
                <w:sz w:val="20"/>
                <w:szCs w:val="20"/>
                <w:color w:val="auto"/>
              </w:rPr>
            </w:pPr>
            <w:r>
              <w:rPr>
                <w:rFonts w:ascii="Calibri" w:cs="Calibri" w:eastAsia="Calibri" w:hAnsi="Calibri"/>
                <w:sz w:val="14"/>
                <w:szCs w:val="14"/>
                <w:b w:val="1"/>
                <w:bCs w:val="1"/>
                <w:color w:val="51555C"/>
              </w:rPr>
              <w:t>Non-GAAP adjusted EBITDA margin</w:t>
            </w:r>
            <w:r>
              <w:rPr>
                <w:rFonts w:ascii="Calibri" w:cs="Calibri" w:eastAsia="Calibri" w:hAnsi="Calibri"/>
                <w:sz w:val="18"/>
                <w:szCs w:val="18"/>
                <w:b w:val="1"/>
                <w:bCs w:val="1"/>
                <w:color w:val="51555C"/>
                <w:vertAlign w:val="superscript"/>
              </w:rPr>
              <w:t>(5)</w:t>
            </w:r>
          </w:p>
        </w:tc>
        <w:tc>
          <w:tcPr>
            <w:tcW w:w="500" w:type="dxa"/>
            <w:vAlign w:val="bottom"/>
            <w:tcBorders>
              <w:bottom w:val="single" w:sz="8" w:color="EBFBFF"/>
            </w:tcBorders>
            <w:shd w:val="clear" w:color="auto" w:fill="EBFBFF"/>
          </w:tcPr>
          <w:p>
            <w:pPr>
              <w:spacing w:after="0"/>
              <w:rPr>
                <w:sz w:val="17"/>
                <w:szCs w:val="17"/>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b w:val="1"/>
                <w:bCs w:val="1"/>
                <w:color w:val="51555C"/>
              </w:rPr>
              <w:t>33.2 %</w:t>
            </w:r>
          </w:p>
        </w:tc>
        <w:tc>
          <w:tcPr>
            <w:tcW w:w="220" w:type="dxa"/>
            <w:vAlign w:val="bottom"/>
            <w:tcBorders>
              <w:bottom w:val="single" w:sz="8" w:color="EBFBFF"/>
            </w:tcBorders>
            <w:shd w:val="clear" w:color="auto" w:fill="EBFBFF"/>
          </w:tcPr>
          <w:p>
            <w:pPr>
              <w:spacing w:after="0"/>
              <w:rPr>
                <w:sz w:val="17"/>
                <w:szCs w:val="17"/>
                <w:color w:val="auto"/>
              </w:rPr>
            </w:pPr>
          </w:p>
        </w:tc>
        <w:tc>
          <w:tcPr>
            <w:tcW w:w="1020" w:type="dxa"/>
            <w:vAlign w:val="bottom"/>
            <w:tcBorders>
              <w:bottom w:val="single" w:sz="8" w:color="EBFBFF"/>
            </w:tcBorders>
            <w:shd w:val="clear" w:color="auto" w:fill="EBFBFF"/>
          </w:tcPr>
          <w:p>
            <w:pPr>
              <w:spacing w:after="0"/>
              <w:rPr>
                <w:sz w:val="17"/>
                <w:szCs w:val="17"/>
                <w:color w:val="auto"/>
              </w:rPr>
            </w:pPr>
          </w:p>
        </w:tc>
        <w:tc>
          <w:tcPr>
            <w:tcW w:w="80" w:type="dxa"/>
            <w:vAlign w:val="bottom"/>
            <w:tcBorders>
              <w:bottom w:val="single" w:sz="8" w:color="EBFBFF"/>
            </w:tcBorders>
            <w:shd w:val="clear" w:color="auto" w:fill="EBFBFF"/>
          </w:tcPr>
          <w:p>
            <w:pPr>
              <w:spacing w:after="0"/>
              <w:rPr>
                <w:sz w:val="17"/>
                <w:szCs w:val="17"/>
                <w:color w:val="auto"/>
              </w:rPr>
            </w:pPr>
          </w:p>
        </w:tc>
        <w:tc>
          <w:tcPr>
            <w:tcW w:w="480" w:type="dxa"/>
            <w:vAlign w:val="bottom"/>
            <w:tcBorders>
              <w:bottom w:val="single" w:sz="8" w:color="EBFBFF"/>
            </w:tcBorders>
            <w:shd w:val="clear" w:color="auto" w:fill="EBFBFF"/>
          </w:tcPr>
          <w:p>
            <w:pPr>
              <w:spacing w:after="0"/>
              <w:rPr>
                <w:sz w:val="17"/>
                <w:szCs w:val="17"/>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b w:val="1"/>
                <w:bCs w:val="1"/>
                <w:color w:val="51555C"/>
              </w:rPr>
              <w:t>33.6 %</w:t>
            </w:r>
          </w:p>
        </w:tc>
        <w:tc>
          <w:tcPr>
            <w:tcW w:w="220" w:type="dxa"/>
            <w:vAlign w:val="bottom"/>
            <w:tcBorders>
              <w:bottom w:val="single" w:sz="8" w:color="EBFBFF"/>
            </w:tcBorders>
            <w:shd w:val="clear" w:color="auto" w:fill="EBFBFF"/>
          </w:tcPr>
          <w:p>
            <w:pPr>
              <w:spacing w:after="0"/>
              <w:rPr>
                <w:sz w:val="17"/>
                <w:szCs w:val="17"/>
                <w:color w:val="auto"/>
              </w:rPr>
            </w:pPr>
          </w:p>
        </w:tc>
        <w:tc>
          <w:tcPr>
            <w:tcW w:w="1020" w:type="dxa"/>
            <w:vAlign w:val="bottom"/>
            <w:tcBorders>
              <w:bottom w:val="single" w:sz="8" w:color="EBFBFF"/>
            </w:tcBorders>
            <w:shd w:val="clear" w:color="auto" w:fill="EBFBFF"/>
          </w:tcPr>
          <w:p>
            <w:pPr>
              <w:spacing w:after="0"/>
              <w:rPr>
                <w:sz w:val="17"/>
                <w:szCs w:val="17"/>
                <w:color w:val="auto"/>
              </w:rPr>
            </w:pPr>
          </w:p>
        </w:tc>
      </w:tr>
      <w:tr>
        <w:trPr>
          <w:trHeight w:val="95"/>
        </w:trPr>
        <w:tc>
          <w:tcPr>
            <w:tcW w:w="5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30"/>
        </w:trPr>
        <w:tc>
          <w:tcPr>
            <w:tcW w:w="5980" w:type="dxa"/>
            <w:vAlign w:val="bottom"/>
            <w:shd w:val="clear" w:color="auto" w:fill="EBFBFF"/>
          </w:tcPr>
          <w:p>
            <w:pPr>
              <w:ind w:left="20"/>
              <w:spacing w:after="0" w:line="216" w:lineRule="exact"/>
              <w:rPr>
                <w:sz w:val="20"/>
                <w:szCs w:val="20"/>
                <w:color w:val="auto"/>
              </w:rPr>
            </w:pPr>
            <w:r>
              <w:rPr>
                <w:rFonts w:ascii="Calibri" w:cs="Calibri" w:eastAsia="Calibri" w:hAnsi="Calibri"/>
                <w:sz w:val="14"/>
                <w:szCs w:val="14"/>
                <w:b w:val="1"/>
                <w:bCs w:val="1"/>
                <w:color w:val="51555C"/>
              </w:rPr>
              <w:t>Rule of 40</w:t>
            </w:r>
            <w:r>
              <w:rPr>
                <w:rFonts w:ascii="Calibri" w:cs="Calibri" w:eastAsia="Calibri" w:hAnsi="Calibri"/>
                <w:sz w:val="18"/>
                <w:szCs w:val="18"/>
                <w:b w:val="1"/>
                <w:bCs w:val="1"/>
                <w:color w:val="51555C"/>
                <w:vertAlign w:val="superscript"/>
              </w:rPr>
              <w:t>(6)</w:t>
            </w:r>
          </w:p>
        </w:tc>
        <w:tc>
          <w:tcPr>
            <w:tcW w:w="500" w:type="dxa"/>
            <w:vAlign w:val="bottom"/>
            <w:shd w:val="clear" w:color="auto" w:fill="EBFBFF"/>
          </w:tcPr>
          <w:p>
            <w:pPr>
              <w:spacing w:after="0"/>
              <w:rPr>
                <w:sz w:val="19"/>
                <w:szCs w:val="19"/>
                <w:color w:val="auto"/>
              </w:rPr>
            </w:pPr>
          </w:p>
        </w:tc>
        <w:tc>
          <w:tcPr>
            <w:tcW w:w="840" w:type="dxa"/>
            <w:vAlign w:val="bottom"/>
            <w:shd w:val="clear" w:color="auto" w:fill="EBFBFF"/>
          </w:tcPr>
          <w:p>
            <w:pPr>
              <w:jc w:val="right"/>
              <w:spacing w:after="0"/>
              <w:rPr>
                <w:sz w:val="20"/>
                <w:szCs w:val="20"/>
                <w:color w:val="auto"/>
              </w:rPr>
            </w:pPr>
            <w:r>
              <w:rPr>
                <w:rFonts w:ascii="Calibri" w:cs="Calibri" w:eastAsia="Calibri" w:hAnsi="Calibri"/>
                <w:sz w:val="14"/>
                <w:szCs w:val="14"/>
                <w:b w:val="1"/>
                <w:bCs w:val="1"/>
                <w:color w:val="51555C"/>
              </w:rPr>
              <w:t>37.5 %</w:t>
            </w:r>
          </w:p>
        </w:tc>
        <w:tc>
          <w:tcPr>
            <w:tcW w:w="220" w:type="dxa"/>
            <w:vAlign w:val="bottom"/>
            <w:shd w:val="clear" w:color="auto" w:fill="EBFBFF"/>
          </w:tcPr>
          <w:p>
            <w:pPr>
              <w:spacing w:after="0"/>
              <w:rPr>
                <w:sz w:val="19"/>
                <w:szCs w:val="19"/>
                <w:color w:val="auto"/>
              </w:rPr>
            </w:pPr>
          </w:p>
        </w:tc>
        <w:tc>
          <w:tcPr>
            <w:tcW w:w="1020" w:type="dxa"/>
            <w:vAlign w:val="bottom"/>
            <w:shd w:val="clear" w:color="auto" w:fill="EBFBFF"/>
          </w:tcPr>
          <w:p>
            <w:pPr>
              <w:spacing w:after="0"/>
              <w:rPr>
                <w:sz w:val="19"/>
                <w:szCs w:val="19"/>
                <w:color w:val="auto"/>
              </w:rPr>
            </w:pPr>
          </w:p>
        </w:tc>
        <w:tc>
          <w:tcPr>
            <w:tcW w:w="80" w:type="dxa"/>
            <w:vAlign w:val="bottom"/>
            <w:shd w:val="clear" w:color="auto" w:fill="EBFBFF"/>
          </w:tcPr>
          <w:p>
            <w:pPr>
              <w:spacing w:after="0"/>
              <w:rPr>
                <w:sz w:val="19"/>
                <w:szCs w:val="19"/>
                <w:color w:val="auto"/>
              </w:rPr>
            </w:pPr>
          </w:p>
        </w:tc>
        <w:tc>
          <w:tcPr>
            <w:tcW w:w="480" w:type="dxa"/>
            <w:vAlign w:val="bottom"/>
            <w:shd w:val="clear" w:color="auto" w:fill="EBFBFF"/>
          </w:tcPr>
          <w:p>
            <w:pPr>
              <w:spacing w:after="0"/>
              <w:rPr>
                <w:sz w:val="19"/>
                <w:szCs w:val="19"/>
                <w:color w:val="auto"/>
              </w:rPr>
            </w:pPr>
          </w:p>
        </w:tc>
        <w:tc>
          <w:tcPr>
            <w:tcW w:w="880" w:type="dxa"/>
            <w:vAlign w:val="bottom"/>
            <w:shd w:val="clear" w:color="auto" w:fill="EBFBFF"/>
          </w:tcPr>
          <w:p>
            <w:pPr>
              <w:jc w:val="right"/>
              <w:spacing w:after="0"/>
              <w:rPr>
                <w:sz w:val="20"/>
                <w:szCs w:val="20"/>
                <w:color w:val="auto"/>
              </w:rPr>
            </w:pPr>
            <w:r>
              <w:rPr>
                <w:rFonts w:ascii="Calibri" w:cs="Calibri" w:eastAsia="Calibri" w:hAnsi="Calibri"/>
                <w:sz w:val="14"/>
                <w:szCs w:val="14"/>
                <w:b w:val="1"/>
                <w:bCs w:val="1"/>
                <w:color w:val="51555C"/>
              </w:rPr>
              <w:t>39.6 %</w:t>
            </w:r>
          </w:p>
        </w:tc>
        <w:tc>
          <w:tcPr>
            <w:tcW w:w="220" w:type="dxa"/>
            <w:vAlign w:val="bottom"/>
            <w:shd w:val="clear" w:color="auto" w:fill="EBFBFF"/>
          </w:tcPr>
          <w:p>
            <w:pPr>
              <w:spacing w:after="0"/>
              <w:rPr>
                <w:sz w:val="19"/>
                <w:szCs w:val="19"/>
                <w:color w:val="auto"/>
              </w:rPr>
            </w:pPr>
          </w:p>
        </w:tc>
        <w:tc>
          <w:tcPr>
            <w:tcW w:w="1020" w:type="dxa"/>
            <w:vAlign w:val="bottom"/>
            <w:shd w:val="clear" w:color="auto" w:fill="EBFB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5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Non-GAAP adjusted EBITDA</w:t>
            </w:r>
          </w:p>
        </w:tc>
        <w:tc>
          <w:tcPr>
            <w:tcW w:w="500" w:type="dxa"/>
            <w:vAlign w:val="bottom"/>
            <w:tcBorders>
              <w:bottom w:val="single" w:sz="8" w:color="EBFBFF"/>
            </w:tcBorders>
            <w:shd w:val="clear" w:color="auto" w:fill="EBFBFF"/>
          </w:tcPr>
          <w:p>
            <w:pPr>
              <w:jc w:val="right"/>
              <w:ind w:right="328"/>
              <w:spacing w:after="0"/>
              <w:rPr>
                <w:sz w:val="20"/>
                <w:szCs w:val="20"/>
                <w:color w:val="auto"/>
              </w:rPr>
            </w:pPr>
            <w:r>
              <w:rPr>
                <w:rFonts w:ascii="Calibri" w:cs="Calibri" w:eastAsia="Calibri" w:hAnsi="Calibri"/>
                <w:sz w:val="14"/>
                <w:szCs w:val="14"/>
                <w:color w:val="51555C"/>
              </w:rPr>
              <w:t>$</w:t>
            </w:r>
          </w:p>
        </w:tc>
        <w:tc>
          <w:tcPr>
            <w:tcW w:w="8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95.2</w:t>
            </w:r>
          </w:p>
        </w:tc>
        <w:tc>
          <w:tcPr>
            <w:tcW w:w="22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97.1</w:t>
            </w:r>
          </w:p>
        </w:tc>
        <w:tc>
          <w:tcPr>
            <w:tcW w:w="560" w:type="dxa"/>
            <w:vAlign w:val="bottom"/>
            <w:tcBorders>
              <w:bottom w:val="single" w:sz="8" w:color="EBFBFF"/>
            </w:tcBorders>
            <w:gridSpan w:val="2"/>
            <w:shd w:val="clear" w:color="auto" w:fill="EBFBFF"/>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286.6</w:t>
            </w:r>
          </w:p>
        </w:tc>
        <w:tc>
          <w:tcPr>
            <w:tcW w:w="22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257.2</w:t>
            </w:r>
          </w:p>
        </w:tc>
      </w:tr>
      <w:tr>
        <w:trPr>
          <w:trHeight w:val="223"/>
        </w:trPr>
        <w:tc>
          <w:tcPr>
            <w:tcW w:w="5980" w:type="dxa"/>
            <w:vAlign w:val="bottom"/>
            <w:tcBorders>
              <w:bottom w:val="single" w:sz="8" w:color="EBFBFF"/>
            </w:tcBorders>
          </w:tcPr>
          <w:p>
            <w:pPr>
              <w:ind w:left="140"/>
              <w:spacing w:after="0" w:line="216" w:lineRule="exact"/>
              <w:rPr>
                <w:sz w:val="20"/>
                <w:szCs w:val="20"/>
                <w:color w:val="auto"/>
              </w:rPr>
            </w:pPr>
            <w:r>
              <w:rPr>
                <w:rFonts w:ascii="Calibri" w:cs="Calibri" w:eastAsia="Calibri" w:hAnsi="Calibri"/>
                <w:sz w:val="14"/>
                <w:szCs w:val="14"/>
                <w:color w:val="51555C"/>
              </w:rPr>
              <w:t>Foreign currency impact on Non-GAAP adjusted EBITDA</w:t>
            </w:r>
            <w:r>
              <w:rPr>
                <w:rFonts w:ascii="Calibri" w:cs="Calibri" w:eastAsia="Calibri" w:hAnsi="Calibri"/>
                <w:sz w:val="18"/>
                <w:szCs w:val="18"/>
                <w:color w:val="51555C"/>
                <w:vertAlign w:val="superscript"/>
              </w:rPr>
              <w:t>(7)</w:t>
            </w:r>
          </w:p>
        </w:tc>
        <w:tc>
          <w:tcPr>
            <w:tcW w:w="500" w:type="dxa"/>
            <w:vAlign w:val="bottom"/>
            <w:tcBorders>
              <w:bottom w:val="single" w:sz="8" w:color="51555C"/>
            </w:tcBorders>
          </w:tcPr>
          <w:p>
            <w:pPr>
              <w:spacing w:after="0"/>
              <w:rPr>
                <w:sz w:val="19"/>
                <w:szCs w:val="19"/>
                <w:color w:val="auto"/>
              </w:rPr>
            </w:pPr>
          </w:p>
        </w:tc>
        <w:tc>
          <w:tcPr>
            <w:tcW w:w="840" w:type="dxa"/>
            <w:vAlign w:val="bottom"/>
            <w:tcBorders>
              <w:bottom w:val="single" w:sz="8" w:color="51555C"/>
            </w:tcBorders>
          </w:tcPr>
          <w:p>
            <w:pPr>
              <w:jc w:val="right"/>
              <w:ind w:right="48"/>
              <w:spacing w:after="0"/>
              <w:rPr>
                <w:sz w:val="20"/>
                <w:szCs w:val="20"/>
                <w:color w:val="auto"/>
              </w:rPr>
            </w:pPr>
            <w:r>
              <w:rPr>
                <w:rFonts w:ascii="Calibri" w:cs="Calibri" w:eastAsia="Calibri" w:hAnsi="Calibri"/>
                <w:sz w:val="14"/>
                <w:szCs w:val="14"/>
                <w:color w:val="51555C"/>
              </w:rPr>
              <w:t>(0.6)</w:t>
            </w:r>
          </w:p>
        </w:tc>
        <w:tc>
          <w:tcPr>
            <w:tcW w:w="220" w:type="dxa"/>
            <w:vAlign w:val="bottom"/>
            <w:tcBorders>
              <w:bottom w:val="single" w:sz="8" w:color="51555C"/>
            </w:tcBorders>
          </w:tcPr>
          <w:p>
            <w:pPr>
              <w:spacing w:after="0"/>
              <w:rPr>
                <w:sz w:val="19"/>
                <w:szCs w:val="19"/>
                <w:color w:val="auto"/>
              </w:rPr>
            </w:pPr>
          </w:p>
        </w:tc>
        <w:tc>
          <w:tcPr>
            <w:tcW w:w="1020" w:type="dxa"/>
            <w:vAlign w:val="bottom"/>
            <w:tcBorders>
              <w:bottom w:val="single" w:sz="8" w:color="51555C"/>
            </w:tcBorders>
          </w:tcPr>
          <w:p>
            <w:pPr>
              <w:jc w:val="right"/>
              <w:spacing w:after="0"/>
              <w:rPr>
                <w:sz w:val="20"/>
                <w:szCs w:val="20"/>
                <w:color w:val="auto"/>
              </w:rPr>
            </w:pPr>
            <w:r>
              <w:rPr>
                <w:rFonts w:ascii="Calibri" w:cs="Calibri" w:eastAsia="Calibri" w:hAnsi="Calibri"/>
                <w:sz w:val="14"/>
                <w:szCs w:val="14"/>
                <w:color w:val="51555C"/>
              </w:rPr>
              <w:t>(1.2)</w:t>
            </w:r>
          </w:p>
        </w:tc>
        <w:tc>
          <w:tcPr>
            <w:tcW w:w="80" w:type="dxa"/>
            <w:vAlign w:val="bottom"/>
            <w:tcBorders>
              <w:bottom w:val="single" w:sz="8" w:color="EBFBFF"/>
            </w:tcBorders>
          </w:tcPr>
          <w:p>
            <w:pPr>
              <w:spacing w:after="0"/>
              <w:rPr>
                <w:sz w:val="19"/>
                <w:szCs w:val="19"/>
                <w:color w:val="auto"/>
              </w:rPr>
            </w:pPr>
          </w:p>
        </w:tc>
        <w:tc>
          <w:tcPr>
            <w:tcW w:w="480" w:type="dxa"/>
            <w:vAlign w:val="bottom"/>
            <w:tcBorders>
              <w:bottom w:val="single" w:sz="8" w:color="51555C"/>
            </w:tcBorders>
          </w:tcPr>
          <w:p>
            <w:pPr>
              <w:spacing w:after="0"/>
              <w:rPr>
                <w:sz w:val="19"/>
                <w:szCs w:val="19"/>
                <w:color w:val="auto"/>
              </w:rPr>
            </w:pPr>
          </w:p>
        </w:tc>
        <w:tc>
          <w:tcPr>
            <w:tcW w:w="880" w:type="dxa"/>
            <w:vAlign w:val="bottom"/>
            <w:tcBorders>
              <w:bottom w:val="single" w:sz="8" w:color="51555C"/>
            </w:tcBorders>
          </w:tcPr>
          <w:p>
            <w:pPr>
              <w:jc w:val="right"/>
              <w:ind w:right="68"/>
              <w:spacing w:after="0"/>
              <w:rPr>
                <w:sz w:val="20"/>
                <w:szCs w:val="20"/>
                <w:color w:val="auto"/>
              </w:rPr>
            </w:pPr>
            <w:r>
              <w:rPr>
                <w:rFonts w:ascii="Calibri" w:cs="Calibri" w:eastAsia="Calibri" w:hAnsi="Calibri"/>
                <w:sz w:val="14"/>
                <w:szCs w:val="14"/>
                <w:color w:val="51555C"/>
              </w:rPr>
              <w:t>(1.1)</w:t>
            </w:r>
          </w:p>
        </w:tc>
        <w:tc>
          <w:tcPr>
            <w:tcW w:w="220" w:type="dxa"/>
            <w:vAlign w:val="bottom"/>
            <w:tcBorders>
              <w:bottom w:val="single" w:sz="8" w:color="51555C"/>
            </w:tcBorders>
          </w:tcPr>
          <w:p>
            <w:pPr>
              <w:spacing w:after="0"/>
              <w:rPr>
                <w:sz w:val="19"/>
                <w:szCs w:val="19"/>
                <w:color w:val="auto"/>
              </w:rPr>
            </w:pPr>
          </w:p>
        </w:tc>
        <w:tc>
          <w:tcPr>
            <w:tcW w:w="1020" w:type="dxa"/>
            <w:vAlign w:val="bottom"/>
            <w:tcBorders>
              <w:bottom w:val="single" w:sz="8" w:color="51555C"/>
            </w:tcBorders>
          </w:tcPr>
          <w:p>
            <w:pPr>
              <w:jc w:val="right"/>
              <w:spacing w:after="0"/>
              <w:rPr>
                <w:sz w:val="20"/>
                <w:szCs w:val="20"/>
                <w:color w:val="auto"/>
              </w:rPr>
            </w:pPr>
            <w:r>
              <w:rPr>
                <w:rFonts w:ascii="Calibri" w:cs="Calibri" w:eastAsia="Calibri" w:hAnsi="Calibri"/>
                <w:sz w:val="14"/>
                <w:szCs w:val="14"/>
                <w:color w:val="51555C"/>
              </w:rPr>
              <w:t>0.7</w:t>
            </w:r>
          </w:p>
        </w:tc>
      </w:tr>
      <w:tr>
        <w:trPr>
          <w:trHeight w:val="230"/>
        </w:trPr>
        <w:tc>
          <w:tcPr>
            <w:tcW w:w="5980" w:type="dxa"/>
            <w:vAlign w:val="bottom"/>
            <w:tcBorders>
              <w:bottom w:val="single" w:sz="8" w:color="EBFBFF"/>
            </w:tcBorders>
            <w:shd w:val="clear" w:color="auto" w:fill="EBFBFF"/>
          </w:tcPr>
          <w:p>
            <w:pPr>
              <w:ind w:left="20"/>
              <w:spacing w:after="0" w:line="208" w:lineRule="exact"/>
              <w:rPr>
                <w:sz w:val="20"/>
                <w:szCs w:val="20"/>
                <w:color w:val="auto"/>
              </w:rPr>
            </w:pPr>
            <w:r>
              <w:rPr>
                <w:rFonts w:ascii="Calibri" w:cs="Calibri" w:eastAsia="Calibri" w:hAnsi="Calibri"/>
                <w:sz w:val="14"/>
                <w:szCs w:val="14"/>
                <w:color w:val="51555C"/>
              </w:rPr>
              <w:t>Non-GAAP adjusted EBITDA on constant currency basis</w:t>
            </w:r>
            <w:r>
              <w:rPr>
                <w:rFonts w:ascii="Calibri" w:cs="Calibri" w:eastAsia="Calibri" w:hAnsi="Calibri"/>
                <w:sz w:val="18"/>
                <w:szCs w:val="18"/>
                <w:color w:val="51555C"/>
                <w:vertAlign w:val="superscript"/>
              </w:rPr>
              <w:t>(7)</w:t>
            </w:r>
          </w:p>
        </w:tc>
        <w:tc>
          <w:tcPr>
            <w:tcW w:w="500" w:type="dxa"/>
            <w:vAlign w:val="bottom"/>
            <w:tcBorders>
              <w:bottom w:val="single" w:sz="8" w:color="EBFBFF"/>
            </w:tcBorders>
            <w:shd w:val="clear" w:color="auto" w:fill="EBFBFF"/>
          </w:tcPr>
          <w:p>
            <w:pPr>
              <w:jc w:val="right"/>
              <w:ind w:right="328"/>
              <w:spacing w:after="0"/>
              <w:rPr>
                <w:sz w:val="20"/>
                <w:szCs w:val="20"/>
                <w:color w:val="auto"/>
              </w:rPr>
            </w:pPr>
            <w:r>
              <w:rPr>
                <w:rFonts w:ascii="Calibri" w:cs="Calibri" w:eastAsia="Calibri" w:hAnsi="Calibri"/>
                <w:sz w:val="14"/>
                <w:szCs w:val="14"/>
                <w:color w:val="51555C"/>
              </w:rPr>
              <w:t>$</w:t>
            </w:r>
          </w:p>
        </w:tc>
        <w:tc>
          <w:tcPr>
            <w:tcW w:w="8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94.7</w:t>
            </w:r>
          </w:p>
        </w:tc>
        <w:tc>
          <w:tcPr>
            <w:tcW w:w="22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95.9</w:t>
            </w:r>
          </w:p>
        </w:tc>
        <w:tc>
          <w:tcPr>
            <w:tcW w:w="80" w:type="dxa"/>
            <w:vAlign w:val="bottom"/>
            <w:tcBorders>
              <w:bottom w:val="single" w:sz="8" w:color="EBFBFF"/>
            </w:tcBorders>
            <w:shd w:val="clear" w:color="auto" w:fill="EBFBFF"/>
          </w:tcPr>
          <w:p>
            <w:pPr>
              <w:spacing w:after="0"/>
              <w:rPr>
                <w:sz w:val="19"/>
                <w:szCs w:val="19"/>
                <w:color w:val="auto"/>
              </w:rPr>
            </w:pPr>
          </w:p>
        </w:tc>
        <w:tc>
          <w:tcPr>
            <w:tcW w:w="480" w:type="dxa"/>
            <w:vAlign w:val="bottom"/>
            <w:tcBorders>
              <w:bottom w:val="single" w:sz="8" w:color="EBFBFF"/>
            </w:tcBorders>
            <w:shd w:val="clear" w:color="auto" w:fill="EBFBFF"/>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285.6</w:t>
            </w:r>
          </w:p>
        </w:tc>
        <w:tc>
          <w:tcPr>
            <w:tcW w:w="22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257.9</w:t>
            </w:r>
          </w:p>
        </w:tc>
      </w:tr>
      <w:tr>
        <w:trPr>
          <w:trHeight w:val="163"/>
        </w:trPr>
        <w:tc>
          <w:tcPr>
            <w:tcW w:w="5980" w:type="dxa"/>
            <w:vAlign w:val="bottom"/>
          </w:tcPr>
          <w:p>
            <w:pPr>
              <w:ind w:left="140"/>
              <w:spacing w:after="0" w:line="163" w:lineRule="exact"/>
              <w:rPr>
                <w:sz w:val="20"/>
                <w:szCs w:val="20"/>
                <w:color w:val="auto"/>
              </w:rPr>
            </w:pPr>
            <w:r>
              <w:rPr>
                <w:rFonts w:ascii="Calibri" w:cs="Calibri" w:eastAsia="Calibri" w:hAnsi="Calibri"/>
                <w:sz w:val="14"/>
                <w:szCs w:val="14"/>
                <w:b w:val="1"/>
                <w:bCs w:val="1"/>
                <w:color w:val="51555C"/>
              </w:rPr>
              <w:t>Non-GAAP adjusted EBITDA margin on constant currency basis</w:t>
            </w:r>
          </w:p>
        </w:tc>
        <w:tc>
          <w:tcPr>
            <w:tcW w:w="500" w:type="dxa"/>
            <w:vAlign w:val="bottom"/>
            <w:tcBorders>
              <w:top w:val="single" w:sz="8" w:color="51555C"/>
            </w:tcBorders>
          </w:tcPr>
          <w:p>
            <w:pPr>
              <w:spacing w:after="0"/>
              <w:rPr>
                <w:sz w:val="14"/>
                <w:szCs w:val="14"/>
                <w:color w:val="auto"/>
              </w:rPr>
            </w:pPr>
          </w:p>
        </w:tc>
        <w:tc>
          <w:tcPr>
            <w:tcW w:w="840" w:type="dxa"/>
            <w:vAlign w:val="bottom"/>
            <w:tcBorders>
              <w:top w:val="single" w:sz="8" w:color="51555C"/>
            </w:tcBorders>
          </w:tcPr>
          <w:p>
            <w:pPr>
              <w:jc w:val="right"/>
              <w:spacing w:after="0" w:line="164" w:lineRule="exact"/>
              <w:rPr>
                <w:sz w:val="20"/>
                <w:szCs w:val="20"/>
                <w:color w:val="auto"/>
              </w:rPr>
            </w:pPr>
            <w:r>
              <w:rPr>
                <w:rFonts w:ascii="Calibri" w:cs="Calibri" w:eastAsia="Calibri" w:hAnsi="Calibri"/>
                <w:sz w:val="14"/>
                <w:szCs w:val="14"/>
                <w:b w:val="1"/>
                <w:bCs w:val="1"/>
                <w:color w:val="51555C"/>
              </w:rPr>
              <w:t>33.1 %</w:t>
            </w:r>
          </w:p>
        </w:tc>
        <w:tc>
          <w:tcPr>
            <w:tcW w:w="220" w:type="dxa"/>
            <w:vAlign w:val="bottom"/>
            <w:tcBorders>
              <w:top w:val="single" w:sz="8" w:color="51555C"/>
            </w:tcBorders>
          </w:tcPr>
          <w:p>
            <w:pPr>
              <w:spacing w:after="0"/>
              <w:rPr>
                <w:sz w:val="14"/>
                <w:szCs w:val="14"/>
                <w:color w:val="auto"/>
              </w:rPr>
            </w:pPr>
          </w:p>
        </w:tc>
        <w:tc>
          <w:tcPr>
            <w:tcW w:w="1020" w:type="dxa"/>
            <w:vAlign w:val="bottom"/>
            <w:tcBorders>
              <w:top w:val="single" w:sz="8" w:color="51555C"/>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51555C"/>
            </w:tcBorders>
          </w:tcPr>
          <w:p>
            <w:pPr>
              <w:spacing w:after="0"/>
              <w:rPr>
                <w:sz w:val="14"/>
                <w:szCs w:val="14"/>
                <w:color w:val="auto"/>
              </w:rPr>
            </w:pPr>
          </w:p>
        </w:tc>
        <w:tc>
          <w:tcPr>
            <w:tcW w:w="880" w:type="dxa"/>
            <w:vAlign w:val="bottom"/>
            <w:tcBorders>
              <w:top w:val="single" w:sz="8" w:color="51555C"/>
            </w:tcBorders>
          </w:tcPr>
          <w:p>
            <w:pPr>
              <w:jc w:val="right"/>
              <w:spacing w:after="0" w:line="164" w:lineRule="exact"/>
              <w:rPr>
                <w:sz w:val="20"/>
                <w:szCs w:val="20"/>
                <w:color w:val="auto"/>
              </w:rPr>
            </w:pPr>
            <w:r>
              <w:rPr>
                <w:rFonts w:ascii="Calibri" w:cs="Calibri" w:eastAsia="Calibri" w:hAnsi="Calibri"/>
                <w:sz w:val="14"/>
                <w:szCs w:val="14"/>
                <w:b w:val="1"/>
                <w:bCs w:val="1"/>
                <w:color w:val="51555C"/>
              </w:rPr>
              <w:t>33.6 %</w:t>
            </w:r>
          </w:p>
        </w:tc>
        <w:tc>
          <w:tcPr>
            <w:tcW w:w="220" w:type="dxa"/>
            <w:vAlign w:val="bottom"/>
            <w:tcBorders>
              <w:top w:val="single" w:sz="8" w:color="51555C"/>
            </w:tcBorders>
          </w:tcPr>
          <w:p>
            <w:pPr>
              <w:spacing w:after="0"/>
              <w:rPr>
                <w:sz w:val="14"/>
                <w:szCs w:val="14"/>
                <w:color w:val="auto"/>
              </w:rPr>
            </w:pPr>
          </w:p>
        </w:tc>
        <w:tc>
          <w:tcPr>
            <w:tcW w:w="1020" w:type="dxa"/>
            <w:vAlign w:val="bottom"/>
            <w:tcBorders>
              <w:top w:val="single" w:sz="8" w:color="51555C"/>
            </w:tcBorders>
          </w:tcPr>
          <w:p>
            <w:pPr>
              <w:spacing w:after="0"/>
              <w:rPr>
                <w:sz w:val="14"/>
                <w:szCs w:val="14"/>
                <w:color w:val="auto"/>
              </w:rPr>
            </w:pPr>
          </w:p>
        </w:tc>
      </w:tr>
      <w:tr>
        <w:trPr>
          <w:trHeight w:val="60"/>
        </w:trPr>
        <w:tc>
          <w:tcPr>
            <w:tcW w:w="5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95"/>
        </w:trPr>
        <w:tc>
          <w:tcPr>
            <w:tcW w:w="5980" w:type="dxa"/>
            <w:vAlign w:val="bottom"/>
            <w:shd w:val="clear" w:color="auto" w:fill="EBFBFF"/>
          </w:tcPr>
          <w:p>
            <w:pPr>
              <w:spacing w:after="0"/>
              <w:rPr>
                <w:sz w:val="8"/>
                <w:szCs w:val="8"/>
                <w:color w:val="auto"/>
              </w:rPr>
            </w:pPr>
          </w:p>
        </w:tc>
        <w:tc>
          <w:tcPr>
            <w:tcW w:w="500" w:type="dxa"/>
            <w:vAlign w:val="bottom"/>
            <w:shd w:val="clear" w:color="auto" w:fill="EBFBFF"/>
          </w:tcPr>
          <w:p>
            <w:pPr>
              <w:spacing w:after="0"/>
              <w:rPr>
                <w:sz w:val="8"/>
                <w:szCs w:val="8"/>
                <w:color w:val="auto"/>
              </w:rPr>
            </w:pPr>
          </w:p>
        </w:tc>
        <w:tc>
          <w:tcPr>
            <w:tcW w:w="840" w:type="dxa"/>
            <w:vAlign w:val="bottom"/>
            <w:shd w:val="clear" w:color="auto" w:fill="EBFBFF"/>
          </w:tcPr>
          <w:p>
            <w:pPr>
              <w:spacing w:after="0"/>
              <w:rPr>
                <w:sz w:val="8"/>
                <w:szCs w:val="8"/>
                <w:color w:val="auto"/>
              </w:rPr>
            </w:pPr>
          </w:p>
        </w:tc>
        <w:tc>
          <w:tcPr>
            <w:tcW w:w="220" w:type="dxa"/>
            <w:vAlign w:val="bottom"/>
            <w:shd w:val="clear" w:color="auto" w:fill="EBFBFF"/>
          </w:tcPr>
          <w:p>
            <w:pPr>
              <w:spacing w:after="0"/>
              <w:rPr>
                <w:sz w:val="8"/>
                <w:szCs w:val="8"/>
                <w:color w:val="auto"/>
              </w:rPr>
            </w:pPr>
          </w:p>
        </w:tc>
        <w:tc>
          <w:tcPr>
            <w:tcW w:w="1020" w:type="dxa"/>
            <w:vAlign w:val="bottom"/>
            <w:shd w:val="clear" w:color="auto" w:fill="EBFBFF"/>
          </w:tcPr>
          <w:p>
            <w:pPr>
              <w:spacing w:after="0"/>
              <w:rPr>
                <w:sz w:val="8"/>
                <w:szCs w:val="8"/>
                <w:color w:val="auto"/>
              </w:rPr>
            </w:pPr>
          </w:p>
        </w:tc>
        <w:tc>
          <w:tcPr>
            <w:tcW w:w="80" w:type="dxa"/>
            <w:vAlign w:val="bottom"/>
            <w:shd w:val="clear" w:color="auto" w:fill="EBFBFF"/>
          </w:tcPr>
          <w:p>
            <w:pPr>
              <w:spacing w:after="0"/>
              <w:rPr>
                <w:sz w:val="8"/>
                <w:szCs w:val="8"/>
                <w:color w:val="auto"/>
              </w:rPr>
            </w:pPr>
          </w:p>
        </w:tc>
        <w:tc>
          <w:tcPr>
            <w:tcW w:w="480" w:type="dxa"/>
            <w:vAlign w:val="bottom"/>
            <w:shd w:val="clear" w:color="auto" w:fill="EBFBFF"/>
          </w:tcPr>
          <w:p>
            <w:pPr>
              <w:spacing w:after="0"/>
              <w:rPr>
                <w:sz w:val="8"/>
                <w:szCs w:val="8"/>
                <w:color w:val="auto"/>
              </w:rPr>
            </w:pPr>
          </w:p>
        </w:tc>
        <w:tc>
          <w:tcPr>
            <w:tcW w:w="880" w:type="dxa"/>
            <w:vAlign w:val="bottom"/>
            <w:shd w:val="clear" w:color="auto" w:fill="EBFBFF"/>
          </w:tcPr>
          <w:p>
            <w:pPr>
              <w:spacing w:after="0"/>
              <w:rPr>
                <w:sz w:val="8"/>
                <w:szCs w:val="8"/>
                <w:color w:val="auto"/>
              </w:rPr>
            </w:pPr>
          </w:p>
        </w:tc>
        <w:tc>
          <w:tcPr>
            <w:tcW w:w="220" w:type="dxa"/>
            <w:vAlign w:val="bottom"/>
            <w:shd w:val="clear" w:color="auto" w:fill="EBFBFF"/>
          </w:tcPr>
          <w:p>
            <w:pPr>
              <w:spacing w:after="0"/>
              <w:rPr>
                <w:sz w:val="8"/>
                <w:szCs w:val="8"/>
                <w:color w:val="auto"/>
              </w:rPr>
            </w:pPr>
          </w:p>
        </w:tc>
        <w:tc>
          <w:tcPr>
            <w:tcW w:w="1020" w:type="dxa"/>
            <w:vAlign w:val="bottom"/>
            <w:shd w:val="clear" w:color="auto" w:fill="EBFBFF"/>
          </w:tcPr>
          <w:p>
            <w:pPr>
              <w:spacing w:after="0"/>
              <w:rPr>
                <w:sz w:val="8"/>
                <w:szCs w:val="8"/>
                <w:color w:val="auto"/>
              </w:rPr>
            </w:pPr>
          </w:p>
        </w:tc>
      </w:tr>
      <w:tr>
        <w:trPr>
          <w:trHeight w:val="223"/>
        </w:trPr>
        <w:tc>
          <w:tcPr>
            <w:tcW w:w="5980" w:type="dxa"/>
            <w:vAlign w:val="bottom"/>
            <w:tcBorders>
              <w:bottom w:val="single" w:sz="8" w:color="0CD973"/>
            </w:tcBorders>
          </w:tcPr>
          <w:p>
            <w:pPr>
              <w:ind w:left="20"/>
              <w:spacing w:after="0" w:line="216" w:lineRule="exact"/>
              <w:rPr>
                <w:sz w:val="20"/>
                <w:szCs w:val="20"/>
                <w:color w:val="auto"/>
              </w:rPr>
            </w:pPr>
            <w:r>
              <w:rPr>
                <w:rFonts w:ascii="Calibri" w:cs="Calibri" w:eastAsia="Calibri" w:hAnsi="Calibri"/>
                <w:sz w:val="14"/>
                <w:szCs w:val="14"/>
                <w:b w:val="1"/>
                <w:bCs w:val="1"/>
                <w:color w:val="51555C"/>
              </w:rPr>
              <w:t>Rule of 40 on constant currency basis</w:t>
            </w:r>
            <w:r>
              <w:rPr>
                <w:rFonts w:ascii="Calibri" w:cs="Calibri" w:eastAsia="Calibri" w:hAnsi="Calibri"/>
                <w:sz w:val="18"/>
                <w:szCs w:val="18"/>
                <w:b w:val="1"/>
                <w:bCs w:val="1"/>
                <w:color w:val="51555C"/>
                <w:vertAlign w:val="superscript"/>
              </w:rPr>
              <w:t>(8)</w:t>
            </w:r>
          </w:p>
        </w:tc>
        <w:tc>
          <w:tcPr>
            <w:tcW w:w="500" w:type="dxa"/>
            <w:vAlign w:val="bottom"/>
            <w:tcBorders>
              <w:bottom w:val="single" w:sz="8" w:color="0CD973"/>
            </w:tcBorders>
          </w:tcPr>
          <w:p>
            <w:pPr>
              <w:spacing w:after="0"/>
              <w:rPr>
                <w:sz w:val="19"/>
                <w:szCs w:val="19"/>
                <w:color w:val="auto"/>
              </w:rPr>
            </w:pPr>
          </w:p>
        </w:tc>
        <w:tc>
          <w:tcPr>
            <w:tcW w:w="840" w:type="dxa"/>
            <w:vAlign w:val="bottom"/>
            <w:tcBorders>
              <w:bottom w:val="single" w:sz="8" w:color="0CD973"/>
            </w:tcBorders>
          </w:tcPr>
          <w:p>
            <w:pPr>
              <w:jc w:val="right"/>
              <w:spacing w:after="0"/>
              <w:rPr>
                <w:sz w:val="20"/>
                <w:szCs w:val="20"/>
                <w:color w:val="auto"/>
              </w:rPr>
            </w:pPr>
            <w:r>
              <w:rPr>
                <w:rFonts w:ascii="Calibri" w:cs="Calibri" w:eastAsia="Calibri" w:hAnsi="Calibri"/>
                <w:sz w:val="14"/>
                <w:szCs w:val="14"/>
                <w:b w:val="1"/>
                <w:bCs w:val="1"/>
                <w:color w:val="51555C"/>
              </w:rPr>
              <w:t>37.0 %</w:t>
            </w:r>
          </w:p>
        </w:tc>
        <w:tc>
          <w:tcPr>
            <w:tcW w:w="220" w:type="dxa"/>
            <w:vAlign w:val="bottom"/>
            <w:tcBorders>
              <w:bottom w:val="single" w:sz="8" w:color="0CD973"/>
            </w:tcBorders>
          </w:tcPr>
          <w:p>
            <w:pPr>
              <w:spacing w:after="0"/>
              <w:rPr>
                <w:sz w:val="19"/>
                <w:szCs w:val="19"/>
                <w:color w:val="auto"/>
              </w:rPr>
            </w:pPr>
          </w:p>
        </w:tc>
        <w:tc>
          <w:tcPr>
            <w:tcW w:w="1020" w:type="dxa"/>
            <w:vAlign w:val="bottom"/>
            <w:tcBorders>
              <w:bottom w:val="single" w:sz="8" w:color="0CD973"/>
            </w:tcBorders>
          </w:tcPr>
          <w:p>
            <w:pPr>
              <w:spacing w:after="0"/>
              <w:rPr>
                <w:sz w:val="19"/>
                <w:szCs w:val="19"/>
                <w:color w:val="auto"/>
              </w:rPr>
            </w:pPr>
          </w:p>
        </w:tc>
        <w:tc>
          <w:tcPr>
            <w:tcW w:w="80" w:type="dxa"/>
            <w:vAlign w:val="bottom"/>
            <w:tcBorders>
              <w:bottom w:val="single" w:sz="8" w:color="0CD973"/>
            </w:tcBorders>
          </w:tcPr>
          <w:p>
            <w:pPr>
              <w:spacing w:after="0"/>
              <w:rPr>
                <w:sz w:val="19"/>
                <w:szCs w:val="19"/>
                <w:color w:val="auto"/>
              </w:rPr>
            </w:pPr>
          </w:p>
        </w:tc>
        <w:tc>
          <w:tcPr>
            <w:tcW w:w="480" w:type="dxa"/>
            <w:vAlign w:val="bottom"/>
            <w:tcBorders>
              <w:bottom w:val="single" w:sz="8" w:color="0CD973"/>
            </w:tcBorders>
          </w:tcPr>
          <w:p>
            <w:pPr>
              <w:spacing w:after="0"/>
              <w:rPr>
                <w:sz w:val="19"/>
                <w:szCs w:val="19"/>
                <w:color w:val="auto"/>
              </w:rPr>
            </w:pPr>
          </w:p>
        </w:tc>
        <w:tc>
          <w:tcPr>
            <w:tcW w:w="880" w:type="dxa"/>
            <w:vAlign w:val="bottom"/>
            <w:tcBorders>
              <w:bottom w:val="single" w:sz="8" w:color="0CD973"/>
            </w:tcBorders>
          </w:tcPr>
          <w:p>
            <w:pPr>
              <w:jc w:val="right"/>
              <w:spacing w:after="0"/>
              <w:rPr>
                <w:sz w:val="20"/>
                <w:szCs w:val="20"/>
                <w:color w:val="auto"/>
              </w:rPr>
            </w:pPr>
            <w:r>
              <w:rPr>
                <w:rFonts w:ascii="Calibri" w:cs="Calibri" w:eastAsia="Calibri" w:hAnsi="Calibri"/>
                <w:sz w:val="14"/>
                <w:szCs w:val="14"/>
                <w:b w:val="1"/>
                <w:bCs w:val="1"/>
                <w:color w:val="51555C"/>
              </w:rPr>
              <w:t>39.3 %</w:t>
            </w:r>
          </w:p>
        </w:tc>
        <w:tc>
          <w:tcPr>
            <w:tcW w:w="220" w:type="dxa"/>
            <w:vAlign w:val="bottom"/>
            <w:tcBorders>
              <w:bottom w:val="single" w:sz="8" w:color="0CD973"/>
            </w:tcBorders>
          </w:tcPr>
          <w:p>
            <w:pPr>
              <w:spacing w:after="0"/>
              <w:rPr>
                <w:sz w:val="19"/>
                <w:szCs w:val="19"/>
                <w:color w:val="auto"/>
              </w:rPr>
            </w:pPr>
          </w:p>
        </w:tc>
        <w:tc>
          <w:tcPr>
            <w:tcW w:w="1020" w:type="dxa"/>
            <w:vAlign w:val="bottom"/>
            <w:tcBorders>
              <w:bottom w:val="single" w:sz="8" w:color="0CD973"/>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-4088765</wp:posOffset>
            </wp:positionV>
            <wp:extent cx="333438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46" w:lineRule="exact"/>
        <w:rPr>
          <w:sz w:val="20"/>
          <w:szCs w:val="20"/>
          <w:color w:val="auto"/>
        </w:rPr>
      </w:pPr>
    </w:p>
    <w:p>
      <w:pPr>
        <w:ind w:left="340" w:hanging="332"/>
        <w:spacing w:after="0"/>
        <w:tabs>
          <w:tab w:leader="none" w:pos="340" w:val="left"/>
        </w:tabs>
        <w:numPr>
          <w:ilvl w:val="0"/>
          <w:numId w:val="31"/>
        </w:numPr>
        <w:rPr>
          <w:rFonts w:ascii="Calibri" w:cs="Calibri" w:eastAsia="Calibri" w:hAnsi="Calibri"/>
          <w:sz w:val="14"/>
          <w:szCs w:val="14"/>
          <w:color w:val="51555C"/>
        </w:rPr>
      </w:pPr>
      <w:r>
        <w:rPr>
          <w:rFonts w:ascii="Calibri" w:cs="Calibri" w:eastAsia="Calibri" w:hAnsi="Calibri"/>
          <w:sz w:val="14"/>
          <w:szCs w:val="14"/>
          <w:color w:val="51555C"/>
        </w:rPr>
        <w:t>Includes amortzaton expense related to sofware and content development costs and amortzaton expense from capitalized cloud computng implementaton costs.</w:t>
      </w:r>
    </w:p>
    <w:p>
      <w:pPr>
        <w:ind w:left="340" w:hanging="332"/>
        <w:spacing w:after="0" w:line="227" w:lineRule="auto"/>
        <w:tabs>
          <w:tab w:leader="none" w:pos="340" w:val="left"/>
        </w:tabs>
        <w:numPr>
          <w:ilvl w:val="0"/>
          <w:numId w:val="31"/>
        </w:numPr>
        <w:rPr>
          <w:rFonts w:ascii="Calibri" w:cs="Calibri" w:eastAsia="Calibri" w:hAnsi="Calibri"/>
          <w:sz w:val="14"/>
          <w:szCs w:val="14"/>
          <w:color w:val="51555C"/>
        </w:rPr>
      </w:pPr>
      <w:r>
        <w:rPr>
          <w:rFonts w:ascii="Calibri" w:cs="Calibri" w:eastAsia="Calibri" w:hAnsi="Calibri"/>
          <w:sz w:val="14"/>
          <w:szCs w:val="14"/>
          <w:color w:val="51555C"/>
        </w:rPr>
        <w:t>The individual amounts for each year may not sum to subtotal, non-GAAP EBITDA, non-GAAP adjusted EBITDA or non-GAAP adjusted EBITDA on a constant currency basis due to rounding.</w:t>
      </w:r>
    </w:p>
    <w:p>
      <w:pPr>
        <w:spacing w:after="0" w:line="4" w:lineRule="exact"/>
        <w:rPr>
          <w:rFonts w:ascii="Calibri" w:cs="Calibri" w:eastAsia="Calibri" w:hAnsi="Calibri"/>
          <w:sz w:val="14"/>
          <w:szCs w:val="14"/>
          <w:color w:val="51555C"/>
        </w:rPr>
      </w:pPr>
    </w:p>
    <w:p>
      <w:pPr>
        <w:ind w:left="340" w:hanging="332"/>
        <w:spacing w:after="0"/>
        <w:tabs>
          <w:tab w:leader="none" w:pos="340" w:val="left"/>
        </w:tabs>
        <w:numPr>
          <w:ilvl w:val="0"/>
          <w:numId w:val="31"/>
        </w:numPr>
        <w:rPr>
          <w:rFonts w:ascii="Calibri" w:cs="Calibri" w:eastAsia="Calibri" w:hAnsi="Calibri"/>
          <w:sz w:val="14"/>
          <w:szCs w:val="14"/>
          <w:color w:val="51555C"/>
        </w:rPr>
      </w:pPr>
      <w:r>
        <w:rPr>
          <w:rFonts w:ascii="Calibri" w:cs="Calibri" w:eastAsia="Calibri" w:hAnsi="Calibri"/>
          <w:sz w:val="14"/>
          <w:szCs w:val="14"/>
          <w:color w:val="51555C"/>
        </w:rPr>
        <w:t>Measured by GAAP revenue divided by non-GAAP EBITDA.</w:t>
      </w:r>
    </w:p>
    <w:p>
      <w:pPr>
        <w:spacing w:after="0" w:line="4" w:lineRule="exact"/>
        <w:rPr>
          <w:rFonts w:ascii="Calibri" w:cs="Calibri" w:eastAsia="Calibri" w:hAnsi="Calibri"/>
          <w:sz w:val="14"/>
          <w:szCs w:val="14"/>
          <w:color w:val="51555C"/>
        </w:rPr>
      </w:pPr>
    </w:p>
    <w:p>
      <w:pPr>
        <w:ind w:left="340" w:hanging="332"/>
        <w:spacing w:after="0"/>
        <w:tabs>
          <w:tab w:leader="none" w:pos="340" w:val="left"/>
        </w:tabs>
        <w:numPr>
          <w:ilvl w:val="0"/>
          <w:numId w:val="31"/>
        </w:numPr>
        <w:rPr>
          <w:rFonts w:ascii="Calibri" w:cs="Calibri" w:eastAsia="Calibri" w:hAnsi="Calibri"/>
          <w:sz w:val="14"/>
          <w:szCs w:val="14"/>
          <w:color w:val="51555C"/>
        </w:rPr>
      </w:pPr>
      <w:r>
        <w:rPr>
          <w:rFonts w:ascii="Calibri" w:cs="Calibri" w:eastAsia="Calibri" w:hAnsi="Calibri"/>
          <w:sz w:val="14"/>
          <w:szCs w:val="14"/>
          <w:color w:val="51555C"/>
        </w:rPr>
        <w:t>See additonal details in the reconciliaton of GAAP to Non-GAAP operatng income above.</w:t>
      </w:r>
    </w:p>
    <w:p>
      <w:pPr>
        <w:spacing w:after="0" w:line="4" w:lineRule="exact"/>
        <w:rPr>
          <w:rFonts w:ascii="Calibri" w:cs="Calibri" w:eastAsia="Calibri" w:hAnsi="Calibri"/>
          <w:sz w:val="14"/>
          <w:szCs w:val="14"/>
          <w:color w:val="51555C"/>
        </w:rPr>
      </w:pPr>
    </w:p>
    <w:p>
      <w:pPr>
        <w:ind w:left="340" w:hanging="332"/>
        <w:spacing w:after="0"/>
        <w:tabs>
          <w:tab w:leader="none" w:pos="340" w:val="left"/>
        </w:tabs>
        <w:numPr>
          <w:ilvl w:val="0"/>
          <w:numId w:val="31"/>
        </w:numPr>
        <w:rPr>
          <w:rFonts w:ascii="Calibri" w:cs="Calibri" w:eastAsia="Calibri" w:hAnsi="Calibri"/>
          <w:sz w:val="14"/>
          <w:szCs w:val="14"/>
          <w:color w:val="51555C"/>
        </w:rPr>
      </w:pPr>
      <w:r>
        <w:rPr>
          <w:rFonts w:ascii="Calibri" w:cs="Calibri" w:eastAsia="Calibri" w:hAnsi="Calibri"/>
          <w:sz w:val="14"/>
          <w:szCs w:val="14"/>
          <w:color w:val="51555C"/>
        </w:rPr>
        <w:t>Measured by non-GAAP organic revenue divided by non-GAAP adjusted EBITDA.</w:t>
      </w:r>
    </w:p>
    <w:p>
      <w:pPr>
        <w:spacing w:after="0" w:line="4" w:lineRule="exact"/>
        <w:rPr>
          <w:rFonts w:ascii="Calibri" w:cs="Calibri" w:eastAsia="Calibri" w:hAnsi="Calibri"/>
          <w:sz w:val="14"/>
          <w:szCs w:val="14"/>
          <w:color w:val="51555C"/>
        </w:rPr>
      </w:pPr>
    </w:p>
    <w:p>
      <w:pPr>
        <w:ind w:left="340" w:hanging="332"/>
        <w:spacing w:after="0"/>
        <w:tabs>
          <w:tab w:leader="none" w:pos="340" w:val="left"/>
        </w:tabs>
        <w:numPr>
          <w:ilvl w:val="0"/>
          <w:numId w:val="31"/>
        </w:numPr>
        <w:rPr>
          <w:rFonts w:ascii="Calibri" w:cs="Calibri" w:eastAsia="Calibri" w:hAnsi="Calibri"/>
          <w:sz w:val="14"/>
          <w:szCs w:val="14"/>
          <w:color w:val="51555C"/>
        </w:rPr>
      </w:pPr>
      <w:r>
        <w:rPr>
          <w:rFonts w:ascii="Calibri" w:cs="Calibri" w:eastAsia="Calibri" w:hAnsi="Calibri"/>
          <w:sz w:val="14"/>
          <w:szCs w:val="14"/>
          <w:color w:val="51555C"/>
        </w:rPr>
        <w:t>Measured by non-GAAP organic revenue growth plus non-GAAP adjusted EBITDA margin. See Non-GAAP organic revenue growth table above.</w:t>
      </w:r>
    </w:p>
    <w:p>
      <w:pPr>
        <w:jc w:val="both"/>
        <w:ind w:left="340" w:hanging="332"/>
        <w:spacing w:after="0"/>
        <w:tabs>
          <w:tab w:leader="none" w:pos="338" w:val="left"/>
        </w:tabs>
        <w:numPr>
          <w:ilvl w:val="0"/>
          <w:numId w:val="31"/>
        </w:numPr>
        <w:rPr>
          <w:rFonts w:ascii="Calibri" w:cs="Calibri" w:eastAsia="Calibri" w:hAnsi="Calibri"/>
          <w:sz w:val="14"/>
          <w:szCs w:val="14"/>
          <w:color w:val="51555C"/>
        </w:rPr>
      </w:pPr>
      <w:r>
        <w:rPr>
          <w:rFonts w:ascii="Calibri" w:cs="Calibri" w:eastAsia="Calibri" w:hAnsi="Calibri"/>
          <w:sz w:val="14"/>
          <w:szCs w:val="14"/>
          <w:color w:val="51555C"/>
        </w:rPr>
        <w:t>To determine non-GAAP adjusted EBITDA on a constant currency basis, non-GAAP adjusted EBITDA from enttes reportng in foreign currencies were translated to U.S. Dollars using the comparable prior period's quarterly weighted average foreign currency exchange rates. The primary foreign currencies creatng the impact are the Australian Dollar, Britsh Pound, Canadian Dollar and Euro.</w:t>
      </w:r>
    </w:p>
    <w:p>
      <w:pPr>
        <w:spacing w:after="0" w:line="5" w:lineRule="exact"/>
        <w:rPr>
          <w:rFonts w:ascii="Calibri" w:cs="Calibri" w:eastAsia="Calibri" w:hAnsi="Calibri"/>
          <w:sz w:val="14"/>
          <w:szCs w:val="14"/>
          <w:color w:val="51555C"/>
        </w:rPr>
      </w:pPr>
    </w:p>
    <w:p>
      <w:pPr>
        <w:ind w:left="340" w:hanging="332"/>
        <w:spacing w:after="0" w:line="245" w:lineRule="auto"/>
        <w:tabs>
          <w:tab w:leader="none" w:pos="338" w:val="left"/>
        </w:tabs>
        <w:numPr>
          <w:ilvl w:val="0"/>
          <w:numId w:val="31"/>
        </w:numPr>
        <w:rPr>
          <w:rFonts w:ascii="Calibri" w:cs="Calibri" w:eastAsia="Calibri" w:hAnsi="Calibri"/>
          <w:sz w:val="14"/>
          <w:szCs w:val="14"/>
          <w:color w:val="51555C"/>
        </w:rPr>
      </w:pPr>
      <w:r>
        <w:rPr>
          <w:rFonts w:ascii="Calibri" w:cs="Calibri" w:eastAsia="Calibri" w:hAnsi="Calibri"/>
          <w:sz w:val="14"/>
          <w:szCs w:val="14"/>
          <w:color w:val="51555C"/>
        </w:rPr>
        <w:t>Measured by non-GAAP organic revenue growth on constant currency basis plus non-GAAP adjusted EBITDA margin on constant currency basis. See Non-GAAP organic revenue growth table above.</w:t>
      </w:r>
    </w:p>
    <w:p>
      <w:pPr>
        <w:spacing w:after="0" w:line="343"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42</w:t>
      </w:r>
      <w:r>
        <w:rPr>
          <w:sz w:val="20"/>
          <w:szCs w:val="20"/>
          <w:color w:val="auto"/>
        </w:rPr>
        <w:tab/>
      </w:r>
      <w:r>
        <w:rPr>
          <w:sz w:val="1"/>
          <w:szCs w:val="1"/>
          <w:color w:val="auto"/>
        </w:rPr>
        <w:drawing>
          <wp:inline distT="0" distB="0" distL="0" distR="0">
            <wp:extent cx="651510" cy="1714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Non-GAAP free cash fow and non-GAAP adjusted free cash fow</w:t>
      </w:r>
    </w:p>
    <w:p>
      <w:pPr>
        <w:spacing w:after="0" w:line="16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Non-GAAP free cash fow is defned as operatng cash fow less capital expenditures, including costs required to be capitalized for sofware and content development, and capital expenditures for property and equipment.</w:t>
      </w:r>
    </w:p>
    <w:p>
      <w:pPr>
        <w:spacing w:after="0" w:line="16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Non-GAAP adjusted free cash fow is defned as operatng cash fow less capital expenditures, including costs required to be capitalized for sofware and content development and capital expenditures for property and equipment, plus cash outlows related to the Security Incident.</w:t>
      </w:r>
    </w:p>
    <w:p>
      <w:pPr>
        <w:spacing w:after="0" w:line="16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We believe non-GAAP free cash fow and non-GAAP adjusted free cash fow provides useful measures of the Company's operatng performance. Non-GAAP adjusted free cash fow is not intended to represent and should not be viewed as the amount of residual cash fow available for discretonary expenditures.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60" w:type="dxa"/>
            <w:vAlign w:val="bottom"/>
            <w:shd w:val="clear" w:color="auto" w:fill="004054"/>
          </w:tcPr>
          <w:p>
            <w:pPr>
              <w:spacing w:after="0"/>
              <w:rPr>
                <w:sz w:val="16"/>
                <w:szCs w:val="16"/>
                <w:color w:val="auto"/>
              </w:rPr>
            </w:pPr>
          </w:p>
        </w:tc>
        <w:tc>
          <w:tcPr>
            <w:tcW w:w="480" w:type="dxa"/>
            <w:vAlign w:val="bottom"/>
            <w:shd w:val="clear" w:color="auto" w:fill="004054"/>
          </w:tcPr>
          <w:p>
            <w:pPr>
              <w:spacing w:after="0"/>
              <w:rPr>
                <w:sz w:val="16"/>
                <w:szCs w:val="16"/>
                <w:color w:val="auto"/>
              </w:rPr>
            </w:pPr>
          </w:p>
        </w:tc>
        <w:tc>
          <w:tcPr>
            <w:tcW w:w="860" w:type="dxa"/>
            <w:vAlign w:val="bottom"/>
            <w:shd w:val="clear" w:color="auto" w:fill="004054"/>
          </w:tcPr>
          <w:p>
            <w:pPr>
              <w:spacing w:after="0"/>
              <w:rPr>
                <w:sz w:val="16"/>
                <w:szCs w:val="16"/>
                <w:color w:val="auto"/>
              </w:rPr>
            </w:pPr>
          </w:p>
        </w:tc>
        <w:tc>
          <w:tcPr>
            <w:tcW w:w="120" w:type="dxa"/>
            <w:vAlign w:val="bottom"/>
            <w:shd w:val="clear" w:color="auto" w:fill="004054"/>
          </w:tcPr>
          <w:p>
            <w:pPr>
              <w:spacing w:after="0"/>
              <w:rPr>
                <w:sz w:val="16"/>
                <w:szCs w:val="16"/>
                <w:color w:val="auto"/>
              </w:rPr>
            </w:pPr>
          </w:p>
        </w:tc>
        <w:tc>
          <w:tcPr>
            <w:tcW w:w="1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560" w:type="dxa"/>
            <w:vAlign w:val="bottom"/>
            <w:shd w:val="clear" w:color="auto" w:fill="004054"/>
          </w:tcPr>
          <w:p>
            <w:pPr>
              <w:spacing w:after="0"/>
              <w:rPr>
                <w:sz w:val="14"/>
                <w:szCs w:val="14"/>
                <w:color w:val="auto"/>
              </w:rPr>
            </w:pPr>
          </w:p>
        </w:tc>
        <w:tc>
          <w:tcPr>
            <w:tcW w:w="480" w:type="dxa"/>
            <w:vAlign w:val="bottom"/>
            <w:shd w:val="clear" w:color="auto" w:fill="004054"/>
          </w:tcPr>
          <w:p>
            <w:pPr>
              <w:spacing w:after="0"/>
              <w:rPr>
                <w:sz w:val="14"/>
                <w:szCs w:val="14"/>
                <w:color w:val="auto"/>
              </w:rPr>
            </w:pPr>
          </w:p>
        </w:tc>
        <w:tc>
          <w:tcPr>
            <w:tcW w:w="860" w:type="dxa"/>
            <w:vAlign w:val="bottom"/>
            <w:shd w:val="clear" w:color="auto" w:fill="004054"/>
          </w:tcPr>
          <w:p>
            <w:pPr>
              <w:spacing w:after="0"/>
              <w:rPr>
                <w:sz w:val="14"/>
                <w:szCs w:val="14"/>
                <w:color w:val="auto"/>
              </w:rPr>
            </w:pPr>
          </w:p>
        </w:tc>
        <w:tc>
          <w:tcPr>
            <w:tcW w:w="120" w:type="dxa"/>
            <w:vAlign w:val="bottom"/>
            <w:shd w:val="clear" w:color="auto" w:fill="004054"/>
          </w:tcPr>
          <w:p>
            <w:pPr>
              <w:spacing w:after="0"/>
              <w:rPr>
                <w:sz w:val="14"/>
                <w:szCs w:val="14"/>
                <w:color w:val="auto"/>
              </w:rPr>
            </w:pPr>
          </w:p>
        </w:tc>
        <w:tc>
          <w:tcPr>
            <w:tcW w:w="1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8560" w:type="dxa"/>
            <w:vAlign w:val="bottom"/>
            <w:vMerge w:val="restart"/>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480" w:type="dxa"/>
            <w:vAlign w:val="bottom"/>
            <w:shd w:val="clear" w:color="auto" w:fill="004054"/>
          </w:tcPr>
          <w:p>
            <w:pPr>
              <w:spacing w:after="0"/>
              <w:rPr>
                <w:sz w:val="5"/>
                <w:szCs w:val="5"/>
                <w:color w:val="auto"/>
              </w:rPr>
            </w:pPr>
          </w:p>
        </w:tc>
        <w:tc>
          <w:tcPr>
            <w:tcW w:w="86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20" w:type="dxa"/>
            <w:vAlign w:val="bottom"/>
            <w:shd w:val="clear" w:color="auto" w:fill="004054"/>
          </w:tcPr>
          <w:p>
            <w:pPr>
              <w:spacing w:after="0"/>
              <w:rPr>
                <w:sz w:val="5"/>
                <w:szCs w:val="5"/>
                <w:color w:val="auto"/>
              </w:rPr>
            </w:pPr>
          </w:p>
        </w:tc>
        <w:tc>
          <w:tcPr>
            <w:tcW w:w="12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560" w:type="dxa"/>
            <w:vAlign w:val="bottom"/>
            <w:vMerge w:val="continue"/>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60" w:type="dxa"/>
            <w:vAlign w:val="bottom"/>
            <w:vMerge w:val="continue"/>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1220" w:type="dxa"/>
            <w:vAlign w:val="bottom"/>
            <w:vMerge w:val="continue"/>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560" w:type="dxa"/>
            <w:vAlign w:val="bottom"/>
            <w:shd w:val="clear" w:color="auto" w:fill="004054"/>
          </w:tcPr>
          <w:p>
            <w:pPr>
              <w:spacing w:after="0"/>
              <w:rPr>
                <w:sz w:val="6"/>
                <w:szCs w:val="6"/>
                <w:color w:val="auto"/>
              </w:rPr>
            </w:pPr>
          </w:p>
        </w:tc>
        <w:tc>
          <w:tcPr>
            <w:tcW w:w="480" w:type="dxa"/>
            <w:vAlign w:val="bottom"/>
            <w:shd w:val="clear" w:color="auto" w:fill="004054"/>
          </w:tcPr>
          <w:p>
            <w:pPr>
              <w:spacing w:after="0"/>
              <w:rPr>
                <w:sz w:val="6"/>
                <w:szCs w:val="6"/>
                <w:color w:val="auto"/>
              </w:rPr>
            </w:pPr>
          </w:p>
        </w:tc>
        <w:tc>
          <w:tcPr>
            <w:tcW w:w="860" w:type="dxa"/>
            <w:vAlign w:val="bottom"/>
            <w:shd w:val="clear" w:color="auto" w:fill="004054"/>
          </w:tcPr>
          <w:p>
            <w:pPr>
              <w:spacing w:after="0"/>
              <w:rPr>
                <w:sz w:val="6"/>
                <w:szCs w:val="6"/>
                <w:color w:val="auto"/>
              </w:rPr>
            </w:pPr>
          </w:p>
        </w:tc>
        <w:tc>
          <w:tcPr>
            <w:tcW w:w="120" w:type="dxa"/>
            <w:vAlign w:val="bottom"/>
            <w:shd w:val="clear" w:color="auto" w:fill="004054"/>
          </w:tcPr>
          <w:p>
            <w:pPr>
              <w:spacing w:after="0"/>
              <w:rPr>
                <w:sz w:val="6"/>
                <w:szCs w:val="6"/>
                <w:color w:val="auto"/>
              </w:rPr>
            </w:pPr>
          </w:p>
        </w:tc>
        <w:tc>
          <w:tcPr>
            <w:tcW w:w="12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85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GAAP net cash provided by operatng actvites</w:t>
            </w:r>
          </w:p>
        </w:tc>
        <w:tc>
          <w:tcPr>
            <w:tcW w:w="480" w:type="dxa"/>
            <w:vAlign w:val="bottom"/>
            <w:tcBorders>
              <w:bottom w:val="single" w:sz="8" w:color="EBFBFF"/>
            </w:tcBorders>
            <w:shd w:val="clear" w:color="auto" w:fill="EBFBFF"/>
          </w:tcPr>
          <w:p>
            <w:pPr>
              <w:jc w:val="right"/>
              <w:ind w:right="308"/>
              <w:spacing w:after="0"/>
              <w:rPr>
                <w:sz w:val="20"/>
                <w:szCs w:val="20"/>
                <w:color w:val="auto"/>
              </w:rPr>
            </w:pPr>
            <w:r>
              <w:rPr>
                <w:rFonts w:ascii="Calibri" w:cs="Calibri" w:eastAsia="Calibri" w:hAnsi="Calibri"/>
                <w:sz w:val="14"/>
                <w:szCs w:val="14"/>
                <w:color w:val="51555C"/>
              </w:rPr>
              <w:t>$</w:t>
            </w:r>
          </w:p>
        </w:tc>
        <w:tc>
          <w:tcPr>
            <w:tcW w:w="86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222.4</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w:t>
            </w:r>
          </w:p>
        </w:tc>
        <w:tc>
          <w:tcPr>
            <w:tcW w:w="12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560" w:type="dxa"/>
            <w:vAlign w:val="bottom"/>
          </w:tcPr>
          <w:p>
            <w:pPr>
              <w:ind w:left="140"/>
              <w:spacing w:after="0"/>
              <w:rPr>
                <w:sz w:val="20"/>
                <w:szCs w:val="20"/>
                <w:color w:val="auto"/>
              </w:rPr>
            </w:pPr>
            <w:r>
              <w:rPr>
                <w:rFonts w:ascii="Calibri" w:cs="Calibri" w:eastAsia="Calibri" w:hAnsi="Calibri"/>
                <w:sz w:val="14"/>
                <w:szCs w:val="14"/>
                <w:b w:val="1"/>
                <w:bCs w:val="1"/>
                <w:color w:val="51555C"/>
              </w:rPr>
              <w:t>GAAP operatng cash fow margin</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4"/>
                <w:szCs w:val="14"/>
                <w:color w:val="51555C"/>
              </w:rPr>
              <w:t>26.1 %</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51555C"/>
              </w:rPr>
              <w:t>25.0 %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5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Non-GAAP adjustments:</w:t>
            </w:r>
          </w:p>
        </w:tc>
        <w:tc>
          <w:tcPr>
            <w:tcW w:w="480" w:type="dxa"/>
            <w:vAlign w:val="bottom"/>
            <w:tcBorders>
              <w:bottom w:val="single" w:sz="8" w:color="EBFBFF"/>
            </w:tcBorders>
            <w:shd w:val="clear" w:color="auto" w:fill="EBFBFF"/>
          </w:tcPr>
          <w:p>
            <w:pPr>
              <w:spacing w:after="0"/>
              <w:rPr>
                <w:sz w:val="18"/>
                <w:szCs w:val="18"/>
                <w:color w:val="auto"/>
              </w:rPr>
            </w:pPr>
          </w:p>
        </w:tc>
        <w:tc>
          <w:tcPr>
            <w:tcW w:w="860" w:type="dxa"/>
            <w:vAlign w:val="bottom"/>
            <w:tcBorders>
              <w:bottom w:val="single" w:sz="8" w:color="EBFBFF"/>
            </w:tcBorders>
            <w:shd w:val="clear" w:color="auto" w:fill="EBFBFF"/>
          </w:tcPr>
          <w:p>
            <w:pPr>
              <w:spacing w:after="0"/>
              <w:rPr>
                <w:sz w:val="18"/>
                <w:szCs w:val="18"/>
                <w:color w:val="auto"/>
              </w:rPr>
            </w:pPr>
          </w:p>
        </w:tc>
        <w:tc>
          <w:tcPr>
            <w:tcW w:w="120" w:type="dxa"/>
            <w:vAlign w:val="bottom"/>
            <w:tcBorders>
              <w:bottom w:val="single" w:sz="8" w:color="EBFBFF"/>
            </w:tcBorders>
            <w:shd w:val="clear" w:color="auto" w:fill="EBFBFF"/>
          </w:tcPr>
          <w:p>
            <w:pPr>
              <w:spacing w:after="0"/>
              <w:rPr>
                <w:sz w:val="18"/>
                <w:szCs w:val="18"/>
                <w:color w:val="auto"/>
              </w:rPr>
            </w:pPr>
          </w:p>
        </w:tc>
        <w:tc>
          <w:tcPr>
            <w:tcW w:w="1220" w:type="dxa"/>
            <w:vAlign w:val="bottom"/>
            <w:tcBorders>
              <w:bottom w:val="single" w:sz="8" w:color="EBFBFF"/>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560" w:type="dxa"/>
            <w:vAlign w:val="bottom"/>
          </w:tcPr>
          <w:p>
            <w:pPr>
              <w:ind w:left="140"/>
              <w:spacing w:after="0"/>
              <w:rPr>
                <w:sz w:val="20"/>
                <w:szCs w:val="20"/>
                <w:color w:val="auto"/>
              </w:rPr>
            </w:pPr>
            <w:r>
              <w:rPr>
                <w:rFonts w:ascii="Calibri" w:cs="Calibri" w:eastAsia="Calibri" w:hAnsi="Calibri"/>
                <w:sz w:val="14"/>
                <w:szCs w:val="14"/>
                <w:color w:val="51555C"/>
              </w:rPr>
              <w:t>Less: purchase of property and equipment</w:t>
            </w:r>
          </w:p>
        </w:tc>
        <w:tc>
          <w:tcPr>
            <w:tcW w:w="4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alibri" w:cs="Calibri" w:eastAsia="Calibri" w:hAnsi="Calibri"/>
                <w:sz w:val="14"/>
                <w:szCs w:val="14"/>
                <w:color w:val="51555C"/>
              </w:rPr>
              <w:t>(7.2)</w:t>
            </w:r>
          </w:p>
        </w:tc>
        <w:tc>
          <w:tcPr>
            <w:tcW w:w="12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Calibri" w:cs="Calibri" w:eastAsia="Calibri" w:hAnsi="Calibri"/>
                <w:sz w:val="14"/>
                <w:szCs w:val="14"/>
                <w:color w:val="51555C"/>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5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Less: capitalized sofware and content development costs</w:t>
            </w:r>
          </w:p>
        </w:tc>
        <w:tc>
          <w:tcPr>
            <w:tcW w:w="48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(42.9)</w:t>
            </w:r>
          </w:p>
        </w:tc>
        <w:tc>
          <w:tcPr>
            <w:tcW w:w="120" w:type="dxa"/>
            <w:vAlign w:val="bottom"/>
            <w:tcBorders>
              <w:bottom w:val="single" w:sz="8" w:color="EBFBFF"/>
            </w:tcBorders>
            <w:shd w:val="clear" w:color="auto" w:fill="EBFBFF"/>
          </w:tcPr>
          <w:p>
            <w:pPr>
              <w:spacing w:after="0"/>
              <w:rPr>
                <w:sz w:val="19"/>
                <w:szCs w:val="19"/>
                <w:color w:val="auto"/>
              </w:rPr>
            </w:pPr>
          </w:p>
        </w:tc>
        <w:tc>
          <w:tcPr>
            <w:tcW w:w="122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560" w:type="dxa"/>
            <w:vAlign w:val="bottom"/>
          </w:tcPr>
          <w:p>
            <w:pPr>
              <w:ind w:left="20"/>
              <w:spacing w:after="0" w:line="202" w:lineRule="exact"/>
              <w:rPr>
                <w:sz w:val="20"/>
                <w:szCs w:val="20"/>
                <w:color w:val="auto"/>
              </w:rPr>
            </w:pPr>
            <w:r>
              <w:rPr>
                <w:rFonts w:ascii="Calibri" w:cs="Calibri" w:eastAsia="Calibri" w:hAnsi="Calibri"/>
                <w:sz w:val="14"/>
                <w:szCs w:val="14"/>
                <w:b w:val="1"/>
                <w:bCs w:val="1"/>
                <w:color w:val="51555C"/>
              </w:rPr>
              <w:t>Non-GAAP free cash fow</w:t>
            </w:r>
            <w:r>
              <w:rPr>
                <w:rFonts w:ascii="Calibri" w:cs="Calibri" w:eastAsia="Calibri" w:hAnsi="Calibri"/>
                <w:sz w:val="18"/>
                <w:szCs w:val="18"/>
                <w:b w:val="1"/>
                <w:bCs w:val="1"/>
                <w:color w:val="51555C"/>
                <w:vertAlign w:val="superscript"/>
              </w:rPr>
              <w:t>(1)</w:t>
            </w:r>
          </w:p>
        </w:tc>
        <w:tc>
          <w:tcPr>
            <w:tcW w:w="480" w:type="dxa"/>
            <w:vAlign w:val="bottom"/>
            <w:tcBorders>
              <w:top w:val="single" w:sz="8" w:color="51555C"/>
            </w:tcBorders>
          </w:tcPr>
          <w:p>
            <w:pPr>
              <w:jc w:val="right"/>
              <w:ind w:right="308"/>
              <w:spacing w:after="0"/>
              <w:rPr>
                <w:sz w:val="20"/>
                <w:szCs w:val="20"/>
                <w:color w:val="auto"/>
              </w:rPr>
            </w:pPr>
            <w:r>
              <w:rPr>
                <w:rFonts w:ascii="Calibri" w:cs="Calibri" w:eastAsia="Calibri" w:hAnsi="Calibri"/>
                <w:sz w:val="14"/>
                <w:szCs w:val="14"/>
                <w:color w:val="51555C"/>
              </w:rPr>
              <w:t>$</w:t>
            </w:r>
          </w:p>
        </w:tc>
        <w:tc>
          <w:tcPr>
            <w:tcW w:w="86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172.3</w:t>
            </w:r>
          </w:p>
        </w:tc>
        <w:tc>
          <w:tcPr>
            <w:tcW w:w="120" w:type="dxa"/>
            <w:vAlign w:val="bottom"/>
            <w:tcBorders>
              <w:top w:val="single" w:sz="8" w:color="51555C"/>
            </w:tcBorders>
          </w:tcPr>
          <w:p>
            <w:pPr>
              <w:jc w:val="right"/>
              <w:spacing w:after="0"/>
              <w:rPr>
                <w:sz w:val="20"/>
                <w:szCs w:val="20"/>
                <w:color w:val="auto"/>
              </w:rPr>
            </w:pPr>
            <w:r>
              <w:rPr>
                <w:rFonts w:ascii="Calibri" w:cs="Calibri" w:eastAsia="Calibri" w:hAnsi="Calibri"/>
                <w:sz w:val="14"/>
                <w:szCs w:val="14"/>
                <w:color w:val="51555C"/>
              </w:rPr>
              <w:t>$</w:t>
            </w:r>
          </w:p>
        </w:tc>
        <w:tc>
          <w:tcPr>
            <w:tcW w:w="122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154.1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560" w:type="dxa"/>
            <w:vAlign w:val="bottom"/>
            <w:tcBorders>
              <w:bottom w:val="single" w:sz="8" w:color="EBFBFF"/>
            </w:tcBorders>
          </w:tcPr>
          <w:p>
            <w:pPr>
              <w:spacing w:after="0" w:line="20" w:lineRule="exact"/>
              <w:rPr>
                <w:sz w:val="1"/>
                <w:szCs w:val="1"/>
                <w:color w:val="auto"/>
              </w:rPr>
            </w:pPr>
          </w:p>
        </w:tc>
        <w:tc>
          <w:tcPr>
            <w:tcW w:w="480" w:type="dxa"/>
            <w:vAlign w:val="bottom"/>
            <w:tcBorders>
              <w:bottom w:val="single" w:sz="8" w:color="51555C"/>
            </w:tcBorders>
          </w:tcPr>
          <w:p>
            <w:pPr>
              <w:spacing w:after="0" w:line="20" w:lineRule="exact"/>
              <w:rPr>
                <w:sz w:val="1"/>
                <w:szCs w:val="1"/>
                <w:color w:val="auto"/>
              </w:rPr>
            </w:pPr>
          </w:p>
        </w:tc>
        <w:tc>
          <w:tcPr>
            <w:tcW w:w="860" w:type="dxa"/>
            <w:vAlign w:val="bottom"/>
            <w:tcBorders>
              <w:bottom w:val="single" w:sz="8" w:color="51555C"/>
            </w:tcBorders>
          </w:tcPr>
          <w:p>
            <w:pPr>
              <w:spacing w:after="0" w:line="20" w:lineRule="exact"/>
              <w:rPr>
                <w:sz w:val="1"/>
                <w:szCs w:val="1"/>
                <w:color w:val="auto"/>
              </w:rPr>
            </w:pPr>
          </w:p>
        </w:tc>
        <w:tc>
          <w:tcPr>
            <w:tcW w:w="120" w:type="dxa"/>
            <w:vAlign w:val="bottom"/>
            <w:tcBorders>
              <w:bottom w:val="single" w:sz="8" w:color="51555C"/>
            </w:tcBorders>
          </w:tcPr>
          <w:p>
            <w:pPr>
              <w:spacing w:after="0" w:line="20" w:lineRule="exact"/>
              <w:rPr>
                <w:sz w:val="1"/>
                <w:szCs w:val="1"/>
                <w:color w:val="auto"/>
              </w:rPr>
            </w:pPr>
          </w:p>
        </w:tc>
        <w:tc>
          <w:tcPr>
            <w:tcW w:w="1220" w:type="dxa"/>
            <w:vAlign w:val="bottom"/>
            <w:tcBorders>
              <w:bottom w:val="single" w:sz="8" w:color="51555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560" w:type="dxa"/>
            <w:vAlign w:val="bottom"/>
            <w:tcBorders>
              <w:bottom w:val="single" w:sz="8" w:color="EBFBFF"/>
            </w:tcBorders>
            <w:shd w:val="clear" w:color="auto" w:fill="EBFBFF"/>
          </w:tcPr>
          <w:p>
            <w:pPr>
              <w:ind w:left="140"/>
              <w:spacing w:after="0" w:line="163" w:lineRule="exact"/>
              <w:rPr>
                <w:sz w:val="20"/>
                <w:szCs w:val="20"/>
                <w:color w:val="auto"/>
              </w:rPr>
            </w:pPr>
            <w:r>
              <w:rPr>
                <w:rFonts w:ascii="Calibri" w:cs="Calibri" w:eastAsia="Calibri" w:hAnsi="Calibri"/>
                <w:sz w:val="14"/>
                <w:szCs w:val="14"/>
                <w:b w:val="1"/>
                <w:bCs w:val="1"/>
                <w:color w:val="51555C"/>
              </w:rPr>
              <w:t>Non-GAAP free cash fow margin</w:t>
            </w:r>
          </w:p>
        </w:tc>
        <w:tc>
          <w:tcPr>
            <w:tcW w:w="480" w:type="dxa"/>
            <w:vAlign w:val="bottom"/>
            <w:tcBorders>
              <w:bottom w:val="single" w:sz="8" w:color="EBFBFF"/>
            </w:tcBorders>
            <w:shd w:val="clear" w:color="auto" w:fill="EBFBFF"/>
          </w:tcPr>
          <w:p>
            <w:pPr>
              <w:spacing w:after="0"/>
              <w:rPr>
                <w:sz w:val="17"/>
                <w:szCs w:val="17"/>
                <w:color w:val="auto"/>
              </w:rPr>
            </w:pPr>
          </w:p>
        </w:tc>
        <w:tc>
          <w:tcPr>
            <w:tcW w:w="86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20.2 %</w:t>
            </w:r>
          </w:p>
        </w:tc>
        <w:tc>
          <w:tcPr>
            <w:tcW w:w="120" w:type="dxa"/>
            <w:vAlign w:val="bottom"/>
            <w:tcBorders>
              <w:bottom w:val="single" w:sz="8" w:color="EBFBFF"/>
            </w:tcBorders>
            <w:shd w:val="clear" w:color="auto" w:fill="EBFBFF"/>
          </w:tcPr>
          <w:p>
            <w:pPr>
              <w:spacing w:after="0"/>
              <w:rPr>
                <w:sz w:val="17"/>
                <w:szCs w:val="17"/>
                <w:color w:val="auto"/>
              </w:rPr>
            </w:pPr>
          </w:p>
        </w:tc>
        <w:tc>
          <w:tcPr>
            <w:tcW w:w="122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19.0 %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560" w:type="dxa"/>
            <w:vAlign w:val="bottom"/>
          </w:tcPr>
          <w:p>
            <w:pPr>
              <w:ind w:left="20"/>
              <w:spacing w:after="0"/>
              <w:rPr>
                <w:sz w:val="20"/>
                <w:szCs w:val="20"/>
                <w:color w:val="auto"/>
              </w:rPr>
            </w:pPr>
            <w:r>
              <w:rPr>
                <w:rFonts w:ascii="Calibri" w:cs="Calibri" w:eastAsia="Calibri" w:hAnsi="Calibri"/>
                <w:sz w:val="14"/>
                <w:szCs w:val="14"/>
                <w:b w:val="1"/>
                <w:bCs w:val="1"/>
                <w:color w:val="51555C"/>
              </w:rPr>
              <w:t>Non-GAAP adjustments: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5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Security Incident-related cash fows</w:t>
            </w:r>
          </w:p>
        </w:tc>
        <w:tc>
          <w:tcPr>
            <w:tcW w:w="48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15.1</w:t>
            </w:r>
          </w:p>
        </w:tc>
        <w:tc>
          <w:tcPr>
            <w:tcW w:w="120" w:type="dxa"/>
            <w:vAlign w:val="bottom"/>
            <w:tcBorders>
              <w:bottom w:val="single" w:sz="8" w:color="EBFBFF"/>
            </w:tcBorders>
            <w:shd w:val="clear" w:color="auto" w:fill="EBFBFF"/>
          </w:tcPr>
          <w:p>
            <w:pPr>
              <w:spacing w:after="0"/>
              <w:rPr>
                <w:sz w:val="19"/>
                <w:szCs w:val="19"/>
                <w:color w:val="auto"/>
              </w:rPr>
            </w:pPr>
          </w:p>
        </w:tc>
        <w:tc>
          <w:tcPr>
            <w:tcW w:w="122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560" w:type="dxa"/>
            <w:vAlign w:val="bottom"/>
          </w:tcPr>
          <w:p>
            <w:pPr>
              <w:ind w:left="20"/>
              <w:spacing w:after="0" w:line="202" w:lineRule="exact"/>
              <w:rPr>
                <w:sz w:val="20"/>
                <w:szCs w:val="20"/>
                <w:color w:val="auto"/>
              </w:rPr>
            </w:pPr>
            <w:r>
              <w:rPr>
                <w:rFonts w:ascii="Calibri" w:cs="Calibri" w:eastAsia="Calibri" w:hAnsi="Calibri"/>
                <w:sz w:val="14"/>
                <w:szCs w:val="14"/>
                <w:b w:val="1"/>
                <w:bCs w:val="1"/>
                <w:color w:val="51555C"/>
              </w:rPr>
              <w:t>Non-GAAP adjusted free cash fow</w:t>
            </w:r>
            <w:r>
              <w:rPr>
                <w:rFonts w:ascii="Calibri" w:cs="Calibri" w:eastAsia="Calibri" w:hAnsi="Calibri"/>
                <w:sz w:val="18"/>
                <w:szCs w:val="18"/>
                <w:b w:val="1"/>
                <w:bCs w:val="1"/>
                <w:color w:val="51555C"/>
                <w:vertAlign w:val="superscript"/>
              </w:rPr>
              <w:t>(1)</w:t>
            </w:r>
          </w:p>
        </w:tc>
        <w:tc>
          <w:tcPr>
            <w:tcW w:w="480" w:type="dxa"/>
            <w:vAlign w:val="bottom"/>
            <w:tcBorders>
              <w:top w:val="single" w:sz="8" w:color="51555C"/>
            </w:tcBorders>
          </w:tcPr>
          <w:p>
            <w:pPr>
              <w:jc w:val="right"/>
              <w:ind w:right="308"/>
              <w:spacing w:after="0"/>
              <w:rPr>
                <w:sz w:val="20"/>
                <w:szCs w:val="20"/>
                <w:color w:val="auto"/>
              </w:rPr>
            </w:pPr>
            <w:r>
              <w:rPr>
                <w:rFonts w:ascii="Calibri" w:cs="Calibri" w:eastAsia="Calibri" w:hAnsi="Calibri"/>
                <w:sz w:val="14"/>
                <w:szCs w:val="14"/>
                <w:color w:val="51555C"/>
              </w:rPr>
              <w:t>$</w:t>
            </w:r>
          </w:p>
        </w:tc>
        <w:tc>
          <w:tcPr>
            <w:tcW w:w="86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187.4</w:t>
            </w:r>
          </w:p>
        </w:tc>
        <w:tc>
          <w:tcPr>
            <w:tcW w:w="120" w:type="dxa"/>
            <w:vAlign w:val="bottom"/>
            <w:tcBorders>
              <w:top w:val="single" w:sz="8" w:color="51555C"/>
            </w:tcBorders>
          </w:tcPr>
          <w:p>
            <w:pPr>
              <w:jc w:val="right"/>
              <w:spacing w:after="0"/>
              <w:rPr>
                <w:sz w:val="20"/>
                <w:szCs w:val="20"/>
                <w:color w:val="auto"/>
              </w:rPr>
            </w:pPr>
            <w:r>
              <w:rPr>
                <w:rFonts w:ascii="Calibri" w:cs="Calibri" w:eastAsia="Calibri" w:hAnsi="Calibri"/>
                <w:sz w:val="14"/>
                <w:szCs w:val="14"/>
                <w:color w:val="51555C"/>
              </w:rPr>
              <w:t>$</w:t>
            </w:r>
          </w:p>
        </w:tc>
        <w:tc>
          <w:tcPr>
            <w:tcW w:w="122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177.2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560" w:type="dxa"/>
            <w:vAlign w:val="bottom"/>
            <w:tcBorders>
              <w:bottom w:val="single" w:sz="8" w:color="EBFBFF"/>
            </w:tcBorders>
          </w:tcPr>
          <w:p>
            <w:pPr>
              <w:spacing w:after="0" w:line="20" w:lineRule="exact"/>
              <w:rPr>
                <w:sz w:val="1"/>
                <w:szCs w:val="1"/>
                <w:color w:val="auto"/>
              </w:rPr>
            </w:pPr>
          </w:p>
        </w:tc>
        <w:tc>
          <w:tcPr>
            <w:tcW w:w="480" w:type="dxa"/>
            <w:vAlign w:val="bottom"/>
            <w:tcBorders>
              <w:bottom w:val="single" w:sz="8" w:color="51555C"/>
            </w:tcBorders>
          </w:tcPr>
          <w:p>
            <w:pPr>
              <w:spacing w:after="0" w:line="20" w:lineRule="exact"/>
              <w:rPr>
                <w:sz w:val="1"/>
                <w:szCs w:val="1"/>
                <w:color w:val="auto"/>
              </w:rPr>
            </w:pPr>
          </w:p>
        </w:tc>
        <w:tc>
          <w:tcPr>
            <w:tcW w:w="860" w:type="dxa"/>
            <w:vAlign w:val="bottom"/>
            <w:tcBorders>
              <w:bottom w:val="single" w:sz="8" w:color="51555C"/>
            </w:tcBorders>
          </w:tcPr>
          <w:p>
            <w:pPr>
              <w:spacing w:after="0" w:line="20" w:lineRule="exact"/>
              <w:rPr>
                <w:sz w:val="1"/>
                <w:szCs w:val="1"/>
                <w:color w:val="auto"/>
              </w:rPr>
            </w:pPr>
          </w:p>
        </w:tc>
        <w:tc>
          <w:tcPr>
            <w:tcW w:w="120" w:type="dxa"/>
            <w:vAlign w:val="bottom"/>
            <w:tcBorders>
              <w:bottom w:val="single" w:sz="8" w:color="51555C"/>
            </w:tcBorders>
          </w:tcPr>
          <w:p>
            <w:pPr>
              <w:spacing w:after="0" w:line="20" w:lineRule="exact"/>
              <w:rPr>
                <w:sz w:val="1"/>
                <w:szCs w:val="1"/>
                <w:color w:val="auto"/>
              </w:rPr>
            </w:pPr>
          </w:p>
        </w:tc>
        <w:tc>
          <w:tcPr>
            <w:tcW w:w="1220" w:type="dxa"/>
            <w:vAlign w:val="bottom"/>
            <w:tcBorders>
              <w:bottom w:val="single" w:sz="8" w:color="51555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560" w:type="dxa"/>
            <w:vAlign w:val="bottom"/>
            <w:tcBorders>
              <w:bottom w:val="single" w:sz="8" w:color="EBFBFF"/>
            </w:tcBorders>
            <w:shd w:val="clear" w:color="auto" w:fill="EBFBFF"/>
          </w:tcPr>
          <w:p>
            <w:pPr>
              <w:ind w:left="140"/>
              <w:spacing w:after="0" w:line="163" w:lineRule="exact"/>
              <w:rPr>
                <w:sz w:val="20"/>
                <w:szCs w:val="20"/>
                <w:color w:val="auto"/>
              </w:rPr>
            </w:pPr>
            <w:r>
              <w:rPr>
                <w:rFonts w:ascii="Calibri" w:cs="Calibri" w:eastAsia="Calibri" w:hAnsi="Calibri"/>
                <w:sz w:val="14"/>
                <w:szCs w:val="14"/>
                <w:b w:val="1"/>
                <w:bCs w:val="1"/>
                <w:color w:val="51555C"/>
              </w:rPr>
              <w:t>Non-GAAP adjusted free cash fow margin</w:t>
            </w:r>
          </w:p>
        </w:tc>
        <w:tc>
          <w:tcPr>
            <w:tcW w:w="480" w:type="dxa"/>
            <w:vAlign w:val="bottom"/>
            <w:tcBorders>
              <w:bottom w:val="single" w:sz="8" w:color="EBFBFF"/>
            </w:tcBorders>
            <w:shd w:val="clear" w:color="auto" w:fill="EBFBFF"/>
          </w:tcPr>
          <w:p>
            <w:pPr>
              <w:spacing w:after="0"/>
              <w:rPr>
                <w:sz w:val="17"/>
                <w:szCs w:val="17"/>
                <w:color w:val="auto"/>
              </w:rPr>
            </w:pPr>
          </w:p>
        </w:tc>
        <w:tc>
          <w:tcPr>
            <w:tcW w:w="86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22.0 %</w:t>
            </w:r>
          </w:p>
        </w:tc>
        <w:tc>
          <w:tcPr>
            <w:tcW w:w="120" w:type="dxa"/>
            <w:vAlign w:val="bottom"/>
            <w:tcBorders>
              <w:bottom w:val="single" w:sz="8" w:color="EBFBFF"/>
            </w:tcBorders>
            <w:shd w:val="clear" w:color="auto" w:fill="EBFBFF"/>
          </w:tcPr>
          <w:p>
            <w:pPr>
              <w:spacing w:after="0"/>
              <w:rPr>
                <w:sz w:val="17"/>
                <w:szCs w:val="17"/>
                <w:color w:val="auto"/>
              </w:rPr>
            </w:pPr>
          </w:p>
        </w:tc>
        <w:tc>
          <w:tcPr>
            <w:tcW w:w="122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21.9 %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12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-1808480</wp:posOffset>
            </wp:positionV>
            <wp:extent cx="170561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46" w:lineRule="exact"/>
        <w:rPr>
          <w:sz w:val="20"/>
          <w:szCs w:val="20"/>
          <w:color w:val="auto"/>
        </w:rPr>
      </w:pPr>
    </w:p>
    <w:p>
      <w:pPr>
        <w:ind w:left="340" w:hanging="332"/>
        <w:spacing w:after="0"/>
        <w:tabs>
          <w:tab w:leader="none" w:pos="340" w:val="left"/>
        </w:tabs>
        <w:numPr>
          <w:ilvl w:val="0"/>
          <w:numId w:val="32"/>
        </w:numPr>
        <w:rPr>
          <w:rFonts w:ascii="Calibri" w:cs="Calibri" w:eastAsia="Calibri" w:hAnsi="Calibri"/>
          <w:sz w:val="14"/>
          <w:szCs w:val="14"/>
          <w:color w:val="51555C"/>
        </w:rPr>
      </w:pPr>
      <w:r>
        <w:rPr>
          <w:rFonts w:ascii="Calibri" w:cs="Calibri" w:eastAsia="Calibri" w:hAnsi="Calibri"/>
          <w:sz w:val="14"/>
          <w:szCs w:val="14"/>
          <w:color w:val="51555C"/>
        </w:rPr>
        <w:t>The individual amounts for each year may not sum to non-GAAP free cash fow or non-GAAP adjusted free cash fow due to rounding.</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Seasonality</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revenues normally fuctuate as a result of certain seasonal variatons in our business. Our frst quarter has historically been the seasonal low for bookings, with the second and fourth quarters historically being seasonally higher, and our bookings tend to be back-end loaded within individual quarters given our quarterly quota plans. Transactonal revenue is non-contractual and less predictable given the susceptbility to certain drivers such as tming and number of events and marketng campaigns, as well as fuctuatons in donaton volumes and tuiton payments. Our transactonal revenue has historically been at its lowest in the frst quarter due to the tming of customer fundraising initatves and events. We have historically experienced seasonal highs during the fourth quarter due to year-end giving campaigns and during the second quarter when a large number of events are held. Our revenue from professional services has historically been lower in the frst quarter when many of those services commence and in the fourth quarter due to the holiday season. As a result of these and other factors, our total revenue has historically been lower in the frst quarter than in the remainder of our fscal year, with the fourth quarter historically achieving the highest total revenue. Our expenses, other than transacton-based costs related to our payments services, do not vary signifcantly as a result of these factors, but do fuctuate on a quarterly basis due to varying tming of expenditures.</w:t>
      </w:r>
    </w:p>
    <w:p>
      <w:pPr>
        <w:spacing w:after="0" w:line="17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cash fow from operatons normally fuctuates quarterly due to the combinaton of the tming of customer contract renewals, delivery of professional services and occurrence of customer events, as well as merit-based salary increases, among other factors. Historically, due to lower revenues in our frst quarter, combined with the payment of certain annual vendor contracts, our cash fow from operatons has been lowest in our frst quarter. Due to the tming of customer contract renewals and student enrollments, many of which take place at or near the beginning of our third quarter, our cash fow from operatons has generally been lower in our second quarter as compared to our third and fourth quarters. Partally ofsetng these favorable drivers of cash fow from operatons in our third and fourth quarters are base salary merit increases, which occur in July. In additon, deferred revenues can vary on a seasonal basis due to the tming of customer contract renewals and student enrollments or signifcant acquisitons. Our cash fow from fnancing is negatvely impacted in our frst quarter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250190</wp:posOffset>
            </wp:positionV>
            <wp:extent cx="659765"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43</w:t>
            </w:r>
          </w:p>
        </w:tc>
      </w:tr>
      <w:tr>
        <w:trPr>
          <w:trHeight w:val="351"/>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alibri" w:cs="Calibri" w:eastAsia="Calibri" w:hAnsi="Calibri"/>
          <w:sz w:val="18"/>
          <w:szCs w:val="18"/>
          <w:color w:val="51555C"/>
        </w:rPr>
        <w:t>most of our equity awards vest, as we pay taxes on behalf of our employees related to the setlement or exercise of equity awards.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These paterns may change as a result of the contnued shif to online giving, growth in volume of transactons for which we process payments, large dollar customer bookings and contract renewals, fuctuatons in the tming of vendor payments, or as a result of acquisitons, new market opportunites, new soluton introductons or other factors.</w:t>
      </w:r>
    </w:p>
    <w:p>
      <w:pPr>
        <w:spacing w:after="0" w:line="254"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presents selected fnancial informaton about our fnancial positon: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60" w:type="dxa"/>
            <w:vAlign w:val="bottom"/>
            <w:shd w:val="clear" w:color="auto" w:fill="004054"/>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September 30,</w:t>
            </w:r>
          </w:p>
        </w:tc>
        <w:tc>
          <w:tcPr>
            <w:tcW w:w="300" w:type="dxa"/>
            <w:vAlign w:val="bottom"/>
            <w:shd w:val="clear" w:color="auto" w:fill="004054"/>
          </w:tcPr>
          <w:p>
            <w:pPr>
              <w:spacing w:after="0"/>
              <w:rPr>
                <w:sz w:val="15"/>
                <w:szCs w:val="15"/>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44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183"/>
        </w:trPr>
        <w:tc>
          <w:tcPr>
            <w:tcW w:w="71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280" w:type="dxa"/>
            <w:vAlign w:val="bottom"/>
            <w:shd w:val="clear" w:color="auto" w:fill="004054"/>
          </w:tcPr>
          <w:p>
            <w:pPr>
              <w:spacing w:after="0"/>
              <w:rPr>
                <w:sz w:val="15"/>
                <w:szCs w:val="15"/>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300" w:type="dxa"/>
            <w:vAlign w:val="bottom"/>
            <w:shd w:val="clear" w:color="auto" w:fill="004054"/>
          </w:tcPr>
          <w:p>
            <w:pPr>
              <w:spacing w:after="0"/>
              <w:rPr>
                <w:sz w:val="15"/>
                <w:szCs w:val="15"/>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4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Change</w:t>
            </w:r>
          </w:p>
        </w:tc>
        <w:tc>
          <w:tcPr>
            <w:tcW w:w="20" w:type="dxa"/>
            <w:vAlign w:val="bottom"/>
            <w:shd w:val="clear" w:color="auto" w:fill="004054"/>
          </w:tcPr>
          <w:p>
            <w:pPr>
              <w:spacing w:after="0"/>
              <w:rPr>
                <w:sz w:val="15"/>
                <w:szCs w:val="15"/>
                <w:color w:val="auto"/>
              </w:rPr>
            </w:pPr>
          </w:p>
        </w:tc>
      </w:tr>
      <w:tr>
        <w:trPr>
          <w:trHeight w:val="74"/>
        </w:trPr>
        <w:tc>
          <w:tcPr>
            <w:tcW w:w="716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04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c>
          <w:tcPr>
            <w:tcW w:w="14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71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Cash and cash equivalents</w:t>
            </w: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rPr>
              <w:t>$</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34.6</w:t>
            </w: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31.3</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10.8 %</w:t>
            </w:r>
          </w:p>
        </w:tc>
        <w:tc>
          <w:tcPr>
            <w:tcW w:w="20" w:type="dxa"/>
            <w:vAlign w:val="bottom"/>
          </w:tcPr>
          <w:p>
            <w:pPr>
              <w:spacing w:after="0"/>
              <w:rPr>
                <w:sz w:val="21"/>
                <w:szCs w:val="21"/>
                <w:color w:val="auto"/>
              </w:rPr>
            </w:pPr>
          </w:p>
        </w:tc>
      </w:tr>
      <w:tr>
        <w:trPr>
          <w:trHeight w:val="219"/>
        </w:trPr>
        <w:tc>
          <w:tcPr>
            <w:tcW w:w="7160" w:type="dxa"/>
            <w:vAlign w:val="bottom"/>
          </w:tcPr>
          <w:p>
            <w:pPr>
              <w:ind w:left="20"/>
              <w:spacing w:after="0"/>
              <w:rPr>
                <w:sz w:val="20"/>
                <w:szCs w:val="20"/>
                <w:color w:val="auto"/>
              </w:rPr>
            </w:pPr>
            <w:r>
              <w:rPr>
                <w:rFonts w:ascii="Calibri" w:cs="Calibri" w:eastAsia="Calibri" w:hAnsi="Calibri"/>
                <w:sz w:val="18"/>
                <w:szCs w:val="18"/>
                <w:color w:val="51555C"/>
              </w:rPr>
              <w:t>Property and equipment,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95.1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98.7</w:t>
            </w:r>
          </w:p>
        </w:tc>
        <w:tc>
          <w:tcPr>
            <w:tcW w:w="1440" w:type="dxa"/>
            <w:vAlign w:val="bottom"/>
          </w:tcPr>
          <w:p>
            <w:pPr>
              <w:jc w:val="right"/>
              <w:spacing w:after="0"/>
              <w:rPr>
                <w:sz w:val="20"/>
                <w:szCs w:val="20"/>
                <w:color w:val="auto"/>
              </w:rPr>
            </w:pPr>
            <w:r>
              <w:rPr>
                <w:rFonts w:ascii="Calibri" w:cs="Calibri" w:eastAsia="Calibri" w:hAnsi="Calibri"/>
                <w:sz w:val="18"/>
                <w:szCs w:val="18"/>
                <w:color w:val="51555C"/>
              </w:rPr>
              <w:t>(3.7)%</w:t>
            </w:r>
          </w:p>
        </w:tc>
        <w:tc>
          <w:tcPr>
            <w:tcW w:w="20" w:type="dxa"/>
            <w:vAlign w:val="bottom"/>
          </w:tcPr>
          <w:p>
            <w:pPr>
              <w:spacing w:after="0"/>
              <w:rPr>
                <w:sz w:val="19"/>
                <w:szCs w:val="19"/>
                <w:color w:val="auto"/>
              </w:rPr>
            </w:pPr>
          </w:p>
        </w:tc>
      </w:tr>
      <w:tr>
        <w:trPr>
          <w:trHeight w:val="51"/>
        </w:trPr>
        <w:tc>
          <w:tcPr>
            <w:tcW w:w="7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1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Sofware and content development costs, net</w:t>
            </w:r>
          </w:p>
        </w:tc>
        <w:tc>
          <w:tcPr>
            <w:tcW w:w="28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169.5</w:t>
            </w:r>
          </w:p>
        </w:tc>
        <w:tc>
          <w:tcPr>
            <w:tcW w:w="3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160.2</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5.8 %</w:t>
            </w:r>
          </w:p>
        </w:tc>
        <w:tc>
          <w:tcPr>
            <w:tcW w:w="20" w:type="dxa"/>
            <w:vAlign w:val="bottom"/>
          </w:tcPr>
          <w:p>
            <w:pPr>
              <w:spacing w:after="0"/>
              <w:rPr>
                <w:sz w:val="21"/>
                <w:szCs w:val="21"/>
                <w:color w:val="auto"/>
              </w:rPr>
            </w:pPr>
          </w:p>
        </w:tc>
      </w:tr>
      <w:tr>
        <w:trPr>
          <w:trHeight w:val="219"/>
        </w:trPr>
        <w:tc>
          <w:tcPr>
            <w:tcW w:w="7160" w:type="dxa"/>
            <w:vAlign w:val="bottom"/>
          </w:tcPr>
          <w:p>
            <w:pPr>
              <w:ind w:left="20"/>
              <w:spacing w:after="0"/>
              <w:rPr>
                <w:sz w:val="20"/>
                <w:szCs w:val="20"/>
                <w:color w:val="auto"/>
              </w:rPr>
            </w:pPr>
            <w:r>
              <w:rPr>
                <w:rFonts w:ascii="Calibri" w:cs="Calibri" w:eastAsia="Calibri" w:hAnsi="Calibri"/>
                <w:sz w:val="18"/>
                <w:szCs w:val="18"/>
                <w:color w:val="51555C"/>
              </w:rPr>
              <w:t>Total carrying value of debt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1,000.8</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779.7</w:t>
            </w:r>
          </w:p>
        </w:tc>
        <w:tc>
          <w:tcPr>
            <w:tcW w:w="1440" w:type="dxa"/>
            <w:vAlign w:val="bottom"/>
          </w:tcPr>
          <w:p>
            <w:pPr>
              <w:jc w:val="right"/>
              <w:spacing w:after="0"/>
              <w:rPr>
                <w:sz w:val="20"/>
                <w:szCs w:val="20"/>
                <w:color w:val="auto"/>
              </w:rPr>
            </w:pPr>
            <w:r>
              <w:rPr>
                <w:rFonts w:ascii="Calibri" w:cs="Calibri" w:eastAsia="Calibri" w:hAnsi="Calibri"/>
                <w:sz w:val="18"/>
                <w:szCs w:val="18"/>
                <w:color w:val="51555C"/>
              </w:rPr>
              <w:t>28.4 %</w:t>
            </w:r>
          </w:p>
        </w:tc>
        <w:tc>
          <w:tcPr>
            <w:tcW w:w="20" w:type="dxa"/>
            <w:vAlign w:val="bottom"/>
          </w:tcPr>
          <w:p>
            <w:pPr>
              <w:spacing w:after="0"/>
              <w:rPr>
                <w:sz w:val="19"/>
                <w:szCs w:val="19"/>
                <w:color w:val="auto"/>
              </w:rPr>
            </w:pPr>
          </w:p>
        </w:tc>
      </w:tr>
      <w:tr>
        <w:trPr>
          <w:trHeight w:val="51"/>
        </w:trPr>
        <w:tc>
          <w:tcPr>
            <w:tcW w:w="7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5"/>
        </w:trPr>
        <w:tc>
          <w:tcPr>
            <w:tcW w:w="71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Working capital</w:t>
            </w:r>
          </w:p>
        </w:tc>
        <w:tc>
          <w:tcPr>
            <w:tcW w:w="280" w:type="dxa"/>
            <w:vAlign w:val="bottom"/>
            <w:tcBorders>
              <w:bottom w:val="single" w:sz="8" w:color="EBFBFF"/>
            </w:tcBorders>
            <w:shd w:val="clear" w:color="auto" w:fill="EBFBFF"/>
          </w:tcPr>
          <w:p>
            <w:pPr>
              <w:spacing w:after="0"/>
              <w:rPr>
                <w:sz w:val="23"/>
                <w:szCs w:val="23"/>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(306.6)</w:t>
            </w:r>
          </w:p>
        </w:tc>
        <w:tc>
          <w:tcPr>
            <w:tcW w:w="30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(267.4)</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(14.7)%</w:t>
            </w:r>
          </w:p>
        </w:tc>
        <w:tc>
          <w:tcPr>
            <w:tcW w:w="20" w:type="dxa"/>
            <w:vAlign w:val="bottom"/>
          </w:tcPr>
          <w:p>
            <w:pPr>
              <w:spacing w:after="0"/>
              <w:rPr>
                <w:sz w:val="23"/>
                <w:szCs w:val="23"/>
                <w:color w:val="auto"/>
              </w:rPr>
            </w:pPr>
          </w:p>
        </w:tc>
      </w:tr>
      <w:tr>
        <w:trPr>
          <w:trHeight w:val="429"/>
        </w:trPr>
        <w:tc>
          <w:tcPr>
            <w:tcW w:w="7160" w:type="dxa"/>
            <w:vAlign w:val="bottom"/>
            <w:tcBorders>
              <w:top w:val="single" w:sz="8" w:color="0CD973"/>
            </w:tcBorders>
          </w:tcPr>
          <w:p>
            <w:pPr>
              <w:spacing w:after="0"/>
              <w:rPr>
                <w:sz w:val="20"/>
                <w:szCs w:val="20"/>
                <w:color w:val="auto"/>
              </w:rPr>
            </w:pPr>
            <w:r>
              <w:rPr>
                <w:rFonts w:ascii="Calibri" w:cs="Calibri" w:eastAsia="Calibri" w:hAnsi="Calibri"/>
                <w:sz w:val="18"/>
                <w:szCs w:val="18"/>
                <w:color w:val="51555C"/>
              </w:rPr>
              <w:t>The following table presents selected fnancial informaton about our cash fows:</w:t>
            </w:r>
          </w:p>
        </w:tc>
        <w:tc>
          <w:tcPr>
            <w:tcW w:w="280" w:type="dxa"/>
            <w:vAlign w:val="bottom"/>
            <w:tcBorders>
              <w:top w:val="single" w:sz="8" w:color="0CD973"/>
            </w:tcBorders>
          </w:tcPr>
          <w:p>
            <w:pPr>
              <w:spacing w:after="0"/>
              <w:rPr>
                <w:sz w:val="24"/>
                <w:szCs w:val="24"/>
                <w:color w:val="auto"/>
              </w:rPr>
            </w:pPr>
          </w:p>
        </w:tc>
        <w:tc>
          <w:tcPr>
            <w:tcW w:w="1040" w:type="dxa"/>
            <w:vAlign w:val="bottom"/>
            <w:tcBorders>
              <w:top w:val="single" w:sz="8" w:color="0CD973"/>
            </w:tcBorders>
          </w:tcPr>
          <w:p>
            <w:pPr>
              <w:spacing w:after="0"/>
              <w:rPr>
                <w:sz w:val="24"/>
                <w:szCs w:val="24"/>
                <w:color w:val="auto"/>
              </w:rPr>
            </w:pPr>
          </w:p>
        </w:tc>
        <w:tc>
          <w:tcPr>
            <w:tcW w:w="300" w:type="dxa"/>
            <w:vAlign w:val="bottom"/>
            <w:tcBorders>
              <w:top w:val="single" w:sz="8" w:color="0CD973"/>
            </w:tcBorders>
          </w:tcPr>
          <w:p>
            <w:pPr>
              <w:spacing w:after="0"/>
              <w:rPr>
                <w:sz w:val="24"/>
                <w:szCs w:val="24"/>
                <w:color w:val="auto"/>
              </w:rPr>
            </w:pPr>
          </w:p>
        </w:tc>
        <w:tc>
          <w:tcPr>
            <w:tcW w:w="1020" w:type="dxa"/>
            <w:vAlign w:val="bottom"/>
            <w:tcBorders>
              <w:top w:val="single" w:sz="8" w:color="0CD973"/>
            </w:tcBorders>
          </w:tcPr>
          <w:p>
            <w:pPr>
              <w:spacing w:after="0"/>
              <w:rPr>
                <w:sz w:val="24"/>
                <w:szCs w:val="24"/>
                <w:color w:val="auto"/>
              </w:rPr>
            </w:pPr>
          </w:p>
        </w:tc>
        <w:tc>
          <w:tcPr>
            <w:tcW w:w="144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7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3"/>
        </w:trPr>
        <w:tc>
          <w:tcPr>
            <w:tcW w:w="7160" w:type="dxa"/>
            <w:vAlign w:val="bottom"/>
            <w:shd w:val="clear" w:color="auto" w:fill="004054"/>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04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2460" w:type="dxa"/>
            <w:vAlign w:val="bottom"/>
            <w:gridSpan w:val="2"/>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Nine months ended September 30,</w:t>
            </w:r>
          </w:p>
        </w:tc>
        <w:tc>
          <w:tcPr>
            <w:tcW w:w="20" w:type="dxa"/>
            <w:vAlign w:val="bottom"/>
            <w:shd w:val="clear" w:color="auto" w:fill="004054"/>
          </w:tcPr>
          <w:p>
            <w:pPr>
              <w:spacing w:after="0"/>
              <w:rPr>
                <w:sz w:val="15"/>
                <w:szCs w:val="15"/>
                <w:color w:val="auto"/>
              </w:rPr>
            </w:pPr>
          </w:p>
        </w:tc>
      </w:tr>
      <w:tr>
        <w:trPr>
          <w:trHeight w:val="243"/>
        </w:trPr>
        <w:tc>
          <w:tcPr>
            <w:tcW w:w="71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280" w:type="dxa"/>
            <w:vAlign w:val="bottom"/>
            <w:shd w:val="clear" w:color="auto" w:fill="004054"/>
          </w:tcPr>
          <w:p>
            <w:pPr>
              <w:spacing w:after="0"/>
              <w:rPr>
                <w:sz w:val="21"/>
                <w:szCs w:val="21"/>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300" w:type="dxa"/>
            <w:vAlign w:val="bottom"/>
            <w:shd w:val="clear" w:color="auto" w:fill="004054"/>
          </w:tcPr>
          <w:p>
            <w:pPr>
              <w:spacing w:after="0"/>
              <w:rPr>
                <w:sz w:val="21"/>
                <w:szCs w:val="21"/>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4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Change</w:t>
            </w:r>
          </w:p>
        </w:tc>
        <w:tc>
          <w:tcPr>
            <w:tcW w:w="20" w:type="dxa"/>
            <w:vAlign w:val="bottom"/>
            <w:shd w:val="clear" w:color="auto" w:fill="004054"/>
          </w:tcPr>
          <w:p>
            <w:pPr>
              <w:spacing w:after="0"/>
              <w:rPr>
                <w:sz w:val="21"/>
                <w:szCs w:val="21"/>
                <w:color w:val="auto"/>
              </w:rPr>
            </w:pPr>
          </w:p>
        </w:tc>
      </w:tr>
      <w:tr>
        <w:trPr>
          <w:trHeight w:val="74"/>
        </w:trPr>
        <w:tc>
          <w:tcPr>
            <w:tcW w:w="716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04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c>
          <w:tcPr>
            <w:tcW w:w="14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71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Net cash provided by operatng actvites</w:t>
            </w: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rPr>
              <w:t>$</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222.4</w:t>
            </w: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203.0</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9.6 %</w:t>
            </w:r>
          </w:p>
        </w:tc>
        <w:tc>
          <w:tcPr>
            <w:tcW w:w="20" w:type="dxa"/>
            <w:vAlign w:val="bottom"/>
          </w:tcPr>
          <w:p>
            <w:pPr>
              <w:spacing w:after="0"/>
              <w:rPr>
                <w:sz w:val="21"/>
                <w:szCs w:val="21"/>
                <w:color w:val="auto"/>
              </w:rPr>
            </w:pPr>
          </w:p>
        </w:tc>
      </w:tr>
      <w:tr>
        <w:trPr>
          <w:trHeight w:val="220"/>
        </w:trPr>
        <w:tc>
          <w:tcPr>
            <w:tcW w:w="7160" w:type="dxa"/>
            <w:vAlign w:val="bottom"/>
          </w:tcPr>
          <w:p>
            <w:pPr>
              <w:ind w:left="20"/>
              <w:spacing w:after="0"/>
              <w:rPr>
                <w:sz w:val="20"/>
                <w:szCs w:val="20"/>
                <w:color w:val="auto"/>
              </w:rPr>
            </w:pPr>
            <w:r>
              <w:rPr>
                <w:rFonts w:ascii="Calibri" w:cs="Calibri" w:eastAsia="Calibri" w:hAnsi="Calibri"/>
                <w:sz w:val="18"/>
                <w:szCs w:val="18"/>
                <w:color w:val="51555C"/>
              </w:rPr>
              <w:t>Net cash used in investng actvites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(56.3)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(49.2)</w:t>
            </w:r>
          </w:p>
        </w:tc>
        <w:tc>
          <w:tcPr>
            <w:tcW w:w="1440" w:type="dxa"/>
            <w:vAlign w:val="bottom"/>
          </w:tcPr>
          <w:p>
            <w:pPr>
              <w:jc w:val="right"/>
              <w:spacing w:after="0"/>
              <w:rPr>
                <w:sz w:val="20"/>
                <w:szCs w:val="20"/>
                <w:color w:val="auto"/>
              </w:rPr>
            </w:pPr>
            <w:r>
              <w:rPr>
                <w:rFonts w:ascii="Calibri" w:cs="Calibri" w:eastAsia="Calibri" w:hAnsi="Calibri"/>
                <w:sz w:val="18"/>
                <w:szCs w:val="18"/>
                <w:color w:val="51555C"/>
              </w:rPr>
              <w:t>14.6 %</w:t>
            </w:r>
          </w:p>
        </w:tc>
        <w:tc>
          <w:tcPr>
            <w:tcW w:w="20" w:type="dxa"/>
            <w:vAlign w:val="bottom"/>
          </w:tcPr>
          <w:p>
            <w:pPr>
              <w:spacing w:after="0"/>
              <w:rPr>
                <w:sz w:val="19"/>
                <w:szCs w:val="19"/>
                <w:color w:val="auto"/>
              </w:rPr>
            </w:pPr>
          </w:p>
        </w:tc>
      </w:tr>
      <w:tr>
        <w:trPr>
          <w:trHeight w:val="50"/>
        </w:trPr>
        <w:tc>
          <w:tcPr>
            <w:tcW w:w="7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1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Net cash used in fnancing actvites</w:t>
            </w:r>
          </w:p>
        </w:tc>
        <w:tc>
          <w:tcPr>
            <w:tcW w:w="28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(435.1)</w:t>
            </w:r>
          </w:p>
        </w:tc>
        <w:tc>
          <w:tcPr>
            <w:tcW w:w="3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(496.7)</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(12.4)%</w:t>
            </w:r>
          </w:p>
        </w:tc>
        <w:tc>
          <w:tcPr>
            <w:tcW w:w="20" w:type="dxa"/>
            <w:vAlign w:val="bottom"/>
          </w:tcPr>
          <w:p>
            <w:pPr>
              <w:spacing w:after="0"/>
              <w:rPr>
                <w:sz w:val="21"/>
                <w:szCs w:val="21"/>
                <w:color w:val="auto"/>
              </w:rPr>
            </w:pPr>
          </w:p>
        </w:tc>
      </w:tr>
      <w:tr>
        <w:trPr>
          <w:trHeight w:val="20"/>
        </w:trPr>
        <w:tc>
          <w:tcPr>
            <w:tcW w:w="716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104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14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-685165</wp:posOffset>
            </wp:positionV>
            <wp:extent cx="25888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principal sources of liquidity are our operatng cash fow, funds available under the 2024 Credit Facilites and cash on hand. Our operatng cash fow depends on contnued customer renewal of our subscripton and maintenance arrangements, market acceptance of our solutons and services, the volume and size of transactons for which we process payments and our customers' ability to pay. Based on current estmates of revenue and expenses, we believe that the currently available sources of funds and antcipated cash fows from operatons will be adequate for at least the next twelve months to fnance our operatons, fund antcipated capital expenditures and meet our debt obligatons. We also believe that we will be able to contnue to meet our long-term cash requirements due to our antcipated cash fow from operatons, solid fnancial positon and ability to access capital from fnancial markets. To the extent we undertake future material acquisitons or investments or unantcipated capital or operatng expenditures, including in connecton with the Security Incident, we may require additonal capital. In that context, we regularly evaluate opportunites to enhance our capital structure, including through potental debt or equity issuances.</w:t>
      </w:r>
    </w:p>
    <w:p>
      <w:pPr>
        <w:spacing w:after="0" w:line="17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a well-known seasoned issuer, we fled an automatc shelf registraton statement for an undetermined amount of debt and equity securites with the SEC on January 14, 2022. Under this universal shelf registraton statement we may ofer and sell, from tme to tme, debt securites, common stock, preferred stock, depositary shares, warrants, stock purchase contracts and stock purchase units. Subject to certain conditons and pursuant to applicable SEC regulatons, this registraton statement is efectve for three years from its date of fling with the SEC, or through January 13, 2025. In order to maintain uninterrupted access to the capital markets, we intend to fle a replacement universal shelf registraton statement with the SEC before the existng shelf registraton statement expires. In that event, the existng shelf registraton statement would terminate upon the fling of the replacement shelf registraton statement, which would, subject to certain conditons, expire three years from such date of fling.</w:t>
      </w:r>
    </w:p>
    <w:p>
      <w:pPr>
        <w:spacing w:after="0" w:line="168"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At September 30, 2024, our total cash and cash equivalents balance included approximately $15.1 million of cash that was held by operatons outside the U.S. While these funds may not be needed to fund our U.S. operatons for at least the next twelve months, if we need these funds, we may be required to accrue and pay taxes to repatriate the funds. We currently do not intend nor antcipate a need to repatriate our cash held outside the U.S.</w:t>
      </w:r>
    </w:p>
    <w:p>
      <w:pPr>
        <w:spacing w:after="0" w:line="338"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44</w:t>
      </w:r>
      <w:r>
        <w:rPr>
          <w:sz w:val="20"/>
          <w:szCs w:val="20"/>
          <w:color w:val="auto"/>
        </w:rPr>
        <w:tab/>
      </w:r>
      <w:r>
        <w:rPr>
          <w:sz w:val="1"/>
          <w:szCs w:val="1"/>
          <w:color w:val="auto"/>
        </w:rPr>
        <w:drawing>
          <wp:inline distT="0" distB="0" distL="0" distR="0">
            <wp:extent cx="651510" cy="1714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Operatng Cash Flow</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cash fows from operatons are derived principally from: (i) our earnings from on-going operatons prior to non-cash expenses such as depreciaton, amortzaton, stock-based compensaton, deferred taxes, amortzaton of deferred fnancing costs and debt discount and adjustments to our provision for credit losses and sales returns; and (ii) changes in our working capital.</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Working capital changes are composed of changes in accounts receivable, prepaid expenses and other assets, trade accounts payable, accrued expenses and other liabilites, and deferred revenue.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Net cash provided by operatng actvites increased by $19.4 million during the nine months ended September 30, 2024, when compared to the same period in 2023, primarily due to a $47.5 million increase in net income adjusted for non-cash expenses, partally ofset by a $28.1 million decrease in cash fow from operatons associated with working capital.</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decrease in cash fow from operatons associated with working capital during the nine months ended September 30, 2024, when compared to the same period in 2023, was primarily due to:</w:t>
      </w:r>
    </w:p>
    <w:p>
      <w:pPr>
        <w:spacing w:after="0" w:line="159" w:lineRule="exact"/>
        <w:rPr>
          <w:sz w:val="20"/>
          <w:szCs w:val="20"/>
          <w:color w:val="auto"/>
        </w:rPr>
      </w:pPr>
    </w:p>
    <w:p>
      <w:pPr>
        <w:ind w:left="640" w:hanging="308"/>
        <w:spacing w:after="0"/>
        <w:tabs>
          <w:tab w:leader="none" w:pos="640" w:val="left"/>
        </w:tabs>
        <w:numPr>
          <w:ilvl w:val="0"/>
          <w:numId w:val="33"/>
        </w:numPr>
        <w:rPr>
          <w:rFonts w:ascii="Calibri" w:cs="Calibri" w:eastAsia="Calibri" w:hAnsi="Calibri"/>
          <w:sz w:val="18"/>
          <w:szCs w:val="18"/>
          <w:color w:val="51555C"/>
        </w:rPr>
      </w:pPr>
      <w:r>
        <w:rPr>
          <w:rFonts w:ascii="Calibri" w:cs="Calibri" w:eastAsia="Calibri" w:hAnsi="Calibri"/>
          <w:sz w:val="18"/>
          <w:szCs w:val="18"/>
          <w:color w:val="51555C"/>
        </w:rPr>
        <w:t>a decrease in accrued expenses related to the Security Incident;</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0"/>
          <w:numId w:val="33"/>
        </w:numPr>
        <w:rPr>
          <w:rFonts w:ascii="Calibri" w:cs="Calibri" w:eastAsia="Calibri" w:hAnsi="Calibri"/>
          <w:sz w:val="18"/>
          <w:szCs w:val="18"/>
          <w:color w:val="51555C"/>
        </w:rPr>
      </w:pPr>
      <w:r>
        <w:rPr>
          <w:rFonts w:ascii="Calibri" w:cs="Calibri" w:eastAsia="Calibri" w:hAnsi="Calibri"/>
          <w:sz w:val="18"/>
          <w:szCs w:val="18"/>
          <w:color w:val="51555C"/>
        </w:rPr>
        <w:t>an increase in prepaid commissions and other expenses;</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0"/>
          <w:numId w:val="33"/>
        </w:numPr>
        <w:rPr>
          <w:rFonts w:ascii="Calibri" w:cs="Calibri" w:eastAsia="Calibri" w:hAnsi="Calibri"/>
          <w:sz w:val="18"/>
          <w:szCs w:val="18"/>
          <w:color w:val="51555C"/>
        </w:rPr>
      </w:pPr>
      <w:r>
        <w:rPr>
          <w:rFonts w:ascii="Calibri" w:cs="Calibri" w:eastAsia="Calibri" w:hAnsi="Calibri"/>
          <w:sz w:val="18"/>
          <w:szCs w:val="18"/>
          <w:color w:val="51555C"/>
        </w:rPr>
        <w:t>a decrease in deferred revenue largely driven by a drag on billings growth due to EVERFI; and</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0"/>
          <w:numId w:val="33"/>
        </w:numPr>
        <w:rPr>
          <w:rFonts w:ascii="Calibri" w:cs="Calibri" w:eastAsia="Calibri" w:hAnsi="Calibri"/>
          <w:sz w:val="18"/>
          <w:szCs w:val="18"/>
          <w:color w:val="51555C"/>
        </w:rPr>
      </w:pPr>
      <w:r>
        <w:rPr>
          <w:rFonts w:ascii="Calibri" w:cs="Calibri" w:eastAsia="Calibri" w:hAnsi="Calibri"/>
          <w:sz w:val="18"/>
          <w:szCs w:val="18"/>
          <w:color w:val="51555C"/>
        </w:rPr>
        <w:t>a decrease in taxes payable; partally ofset by</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0"/>
          <w:numId w:val="33"/>
        </w:numPr>
        <w:rPr>
          <w:rFonts w:ascii="Calibri" w:cs="Calibri" w:eastAsia="Calibri" w:hAnsi="Calibri"/>
          <w:sz w:val="18"/>
          <w:szCs w:val="18"/>
          <w:color w:val="51555C"/>
        </w:rPr>
      </w:pPr>
      <w:r>
        <w:rPr>
          <w:rFonts w:ascii="Calibri" w:cs="Calibri" w:eastAsia="Calibri" w:hAnsi="Calibri"/>
          <w:sz w:val="18"/>
          <w:szCs w:val="18"/>
          <w:color w:val="51555C"/>
        </w:rPr>
        <w:t>fuctuatons in the tming of vendor payments.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Security Incident update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discussed in Note 9 to our unaudited, condensed consolidated fnancial statements in this report, total costs related to the Security Incident exceeded the limit of our insurance coverage in the frst quarter of 2022. Accordingly, the Security Incident has negatvely impacted, and we expect it to contnue for the foreseeable future to negatvely impact, our GAAP proftability and GAAP cash fow (see discussion regarding non-GAAP free cash fow and non-GAAP adjusted free cash fow on page 43). For full year 2024, we currently expect pre-tax expenses of approximately $5 million to $10 million and cash outlays of approximately $8 million to $13 million for ongoing legal fees related to the Security Incident. In line with our policy, legal fees are expensed as incurred. Not included in these ranges are our previous setlements or current accruals for loss contngencies related to the maters discussed below.</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September 30, 2024, we have recorded approximately $0.7 million in aggregate liabilites for loss contngencies based primarily on recent negotatons with certain customers related to the Security Incident that we believed we could reasonably estmate in accordance with our loss contngency procedures described above and as more fully described in Note 9. It is reasonably possible that our estmated actual losses may change in the near term for those maters and be materially in excess of the amounts accrued, but we are unable at this tme to reasonably estmate the possible additonal loss.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There are other Security Incident-related maters, including customer claims, customer consttuent class actons and governmental investgatons, for which we have not recorded a liability for a loss contngency as of September 30, 2024 because we are unable at this tme to reasonably estmate the possible loss or range of loss. Each of these maters could, separately or in the aggregate, result in an adverse judgment, setlement, fne, penalty or other resoluton, the amount, scope and tming of which we are currently unable to predict, but could have a material adverse impact on our results of operatons, cash fows or fnancial conditon.</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Investng Cash Flow</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Net cash used in investng actvites of $56.3 million increased by $7.2 million during the nine months ended September 30, 2024, when compared to the same period in 2023.</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the nine months ended September 30, 2024, we used $42.9 million for sofware and content development costs, which was down $1.8 million from cash spent during the same period in 2023. We also spent $7.2 million of cash for purchases of property and equipment during the nine months ended September 30, 2024, which was an increase of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238760</wp:posOffset>
            </wp:positionV>
            <wp:extent cx="659765"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45</w:t>
            </w:r>
          </w:p>
        </w:tc>
      </w:tr>
      <w:tr>
        <w:trPr>
          <w:trHeight w:val="365"/>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million when compared to the same period in 2023. In additon, we used net cash of $1.2 million in the dispositon of a business and $5.0 million for a minority investment in a business during the nine months ended September 30, 2024.</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Financing Cash Flow</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the nine months ended September 30, 2024, we had a net increase in borrowings of $223.2 million, primarily due to our share repurchase program, including our ASR Transacton (as defned below) in March 2024. We also paid $6.5 million in debt issuance costs in conjuncton with our April 2024 refnancing.</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paid $56.0 million to satsfy tax obligatons of employees upon setlement of equity awards during the nine months ended September 30, 2024 compared to $35.6 million during the same period in 2023. The amount of taxes paid by us on behalf of employees related to the setlement of equity awards varies from period to period based upon the tming of grants and vestng, as well as the market price for shares of our common stock at the tme of setlement. Most of our equity awards currently vest in our frst quarter.</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the nine months ended September 30, 2024, cash fow from fnancing actvites associated with changes in restricted cash due to customers decreased $263.7 million, compared to a decrease of $339.7 million during the same period in 2023. This line in the statement of cash fows represents the change in the amount of restricted cash held and payable by us to customers from one period to the next.</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Stock repurchase program</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January 17, 2024, our Board of Directors reauthorized, expanded and replenished our stock repurchase program by raising the total capacity under the program from $250.0 million to $500.0 million available for repurchases. The program does not have an expiraton date. Under the stock repurchase program, we are authorized to repurchase shares from tme to tme in accordance with applicable laws both on the open market, including under trading plans established pursuant to Rule 10b5-1 under the Securites Exchange Act of 1934, as amended, and in privately negotated transactons. The tming and amount of repurchases depends on several factors, including market and business conditons, the trading price of our common stock and the nature of other investment opportunites. The repurchase program may be limited, suspended or discontnued at any tme without prior notce.</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March 2024, we announced that we intend to repurchase during 2024 between 7% and 10% of our outstanding common stock as of December 31, 2023 under our repurchase program. Consistent with that commitment, in March 2024, we entered into the ASR Transacton to repurchase an aggregate $200 million of shares of our common stock. Pursuant to the terms of the ASR Transacton, we provided the fnancial insttuton with a prepayment of $200 million and received an inital delivery of 2.1 million shares of our common stock, representng approximately 70% of the total shares then-expected to be repurchased under the ASR Transacton. The fnal number of shares of common stock delivered to us under the ASR Transacton will be based on the average of the daily volume-weighted average prices of the common stock during the term of the ASR Transacton, less a discount and subject to customary adjustments upon events afectng the common stock (e.g., dilutve or concentratve events, mergers and acquisitons, and market disruptons). See Note 13 to these unaudited, condensed consolidated fnancial statements for additonal informaton about the fnal setlement of the ASR Transacton which occurred in October 2024.</w:t>
      </w:r>
    </w:p>
    <w:p>
      <w:pPr>
        <w:spacing w:after="0" w:line="17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diference of $52.2 million between the prepayment of $200 million and the value of the shares repurchased on the ASR Transacton date represents an unsetled prepaid forward contract indexed to our common stock and met all of the applicable criteria for equity classifcaton; therefore, it was not accounted for as a derivatve instrument as of September 30, 2024. Because of our ability to setle in shares, the $52.2 million prepaid forward contract was classifed as a reducton to additonal paid-in capital within our unaudited, condensed consolidated statement of stockholders' equity in this report. We funded the ASR Transacton prepayment with borrowings pursuant to a revolving credit loan under the 2024 Credit Facilites.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July 16, 2024, our Board of Directors reauthorized, expanded and replenished our stock repurchase program by expanding the total capacity under the program from $500.0 million to $800.0 million available for repurchases.</w:t>
      </w:r>
    </w:p>
    <w:p>
      <w:pPr>
        <w:spacing w:after="0" w:line="338"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46</w:t>
      </w:r>
      <w:r>
        <w:rPr>
          <w:sz w:val="20"/>
          <w:szCs w:val="20"/>
          <w:color w:val="auto"/>
        </w:rPr>
        <w:tab/>
      </w:r>
      <w:r>
        <w:rPr>
          <w:sz w:val="1"/>
          <w:szCs w:val="1"/>
          <w:color w:val="auto"/>
        </w:rPr>
        <w:drawing>
          <wp:inline distT="0" distB="0" distL="0" distR="0">
            <wp:extent cx="651510" cy="17145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the three months ended September 30, 2024, we repurchased 807,774 shares for $62.8 million. During the nine months ended September 30, 2024, we repurchased 3,761,985 shares for $325.4 million, including the inital delivery of shares repurchased pursuant to the ASR Transacton and representng approximately 7.0% of the Company's common stock outstanding as of December 31, 2023. These share repurchases do not include the fnal setlement of the ASR Transacton, as discussed above. The remaining amount available to purchase stock under the stock repurchase program was $737.2 million as of September 30, 2024.</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October 29, 2024, we setled the previously announced ASR Transacton. In connecton with the setlement of the ASR Transacton, we received approximately 490,000 shares of our common stock, in additon to the 2.1 million shares received in March 2024. No cash was exchanged as part of the setlement of the ASR Transacton. We plan to contnue to be aggressive in the fourth quarter of 2024 repurchasing our stock with our goal of repurchasing up to 10% of our outstanding common stock this year. Afer 2024, we plan to repurchase shares to at least ofset the diluton from our annual stock-based compensaton and possibly beyond that amount as market conditons and our strategic plans permit.</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2024 Credit Facilites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Historically, we have drawn on our credit facility from tme to tme to help us meet fnancial needs, primarily due to the seasonality of our cash fows from operatons and fnancing for business acquisitons. At September 30, 2024, our available borrowing capacity under the 2024 Credit Facilites was $547.6 million. The 2024 Credit Facilites mature in April 2029.</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At September 30, 2024, the carrying amount of our debt under the 2024 Credit Facilites was $943.0 million. Our average daily borrowings during the three and nine months ended September 30, 2024 were $939.9 million and $913.7 million, respectvely.</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is a summary of the fnancial covenants under the 2024 Credit Facilites: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9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Financial covenant</w:t>
            </w:r>
          </w:p>
        </w:tc>
        <w:tc>
          <w:tcPr>
            <w:tcW w:w="286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w w:val="99"/>
              </w:rPr>
              <w:t>Requirement</w:t>
            </w:r>
          </w:p>
        </w:tc>
        <w:tc>
          <w:tcPr>
            <w:tcW w:w="337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Rato as of September 30, 2024</w:t>
            </w:r>
          </w:p>
        </w:tc>
      </w:tr>
      <w:tr>
        <w:trPr>
          <w:trHeight w:val="67"/>
        </w:trPr>
        <w:tc>
          <w:tcPr>
            <w:tcW w:w="4990" w:type="dxa"/>
            <w:vAlign w:val="bottom"/>
            <w:shd w:val="clear" w:color="auto" w:fill="004054"/>
          </w:tcPr>
          <w:p>
            <w:pPr>
              <w:spacing w:after="0"/>
              <w:rPr>
                <w:sz w:val="5"/>
                <w:szCs w:val="5"/>
                <w:color w:val="auto"/>
              </w:rPr>
            </w:pPr>
          </w:p>
        </w:tc>
        <w:tc>
          <w:tcPr>
            <w:tcW w:w="2860" w:type="dxa"/>
            <w:vAlign w:val="bottom"/>
            <w:shd w:val="clear" w:color="auto" w:fill="004054"/>
          </w:tcPr>
          <w:p>
            <w:pPr>
              <w:spacing w:after="0"/>
              <w:rPr>
                <w:sz w:val="5"/>
                <w:szCs w:val="5"/>
                <w:color w:val="auto"/>
              </w:rPr>
            </w:pPr>
          </w:p>
        </w:tc>
        <w:tc>
          <w:tcPr>
            <w:tcW w:w="3370" w:type="dxa"/>
            <w:vAlign w:val="bottom"/>
            <w:shd w:val="clear" w:color="auto" w:fill="004054"/>
          </w:tcPr>
          <w:p>
            <w:pPr>
              <w:spacing w:after="0"/>
              <w:rPr>
                <w:sz w:val="5"/>
                <w:szCs w:val="5"/>
                <w:color w:val="auto"/>
              </w:rPr>
            </w:pPr>
          </w:p>
        </w:tc>
      </w:tr>
      <w:tr>
        <w:trPr>
          <w:trHeight w:val="324"/>
        </w:trPr>
        <w:tc>
          <w:tcPr>
            <w:tcW w:w="499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Net leverage rato</w:t>
            </w:r>
            <w:r>
              <w:rPr>
                <w:rFonts w:ascii="Calibri" w:cs="Calibri" w:eastAsia="Calibri" w:hAnsi="Calibri"/>
                <w:sz w:val="23"/>
                <w:szCs w:val="23"/>
                <w:color w:val="51555C"/>
                <w:vertAlign w:val="superscript"/>
              </w:rPr>
              <w:t>(1)</w:t>
            </w:r>
          </w:p>
        </w:tc>
        <w:tc>
          <w:tcPr>
            <w:tcW w:w="2860" w:type="dxa"/>
            <w:vAlign w:val="bottom"/>
            <w:shd w:val="clear" w:color="auto" w:fill="EBFBFF"/>
          </w:tcPr>
          <w:p>
            <w:pPr>
              <w:jc w:val="center"/>
              <w:spacing w:after="0"/>
              <w:rPr>
                <w:sz w:val="20"/>
                <w:szCs w:val="20"/>
                <w:color w:val="auto"/>
              </w:rPr>
            </w:pPr>
            <w:r>
              <w:rPr>
                <w:rFonts w:ascii="Calibri" w:cs="Calibri" w:eastAsia="Calibri" w:hAnsi="Calibri"/>
                <w:sz w:val="18"/>
                <w:szCs w:val="18"/>
                <w:color w:val="51555C"/>
                <w:w w:val="97"/>
              </w:rPr>
              <w:t>≤ 3.75 to 1.00</w:t>
            </w:r>
          </w:p>
        </w:tc>
        <w:tc>
          <w:tcPr>
            <w:tcW w:w="3370" w:type="dxa"/>
            <w:vAlign w:val="bottom"/>
            <w:shd w:val="clear" w:color="auto" w:fill="EBFBFF"/>
          </w:tcPr>
          <w:p>
            <w:pPr>
              <w:jc w:val="center"/>
              <w:spacing w:after="0"/>
              <w:rPr>
                <w:sz w:val="20"/>
                <w:szCs w:val="20"/>
                <w:color w:val="auto"/>
              </w:rPr>
            </w:pPr>
            <w:r>
              <w:rPr>
                <w:rFonts w:ascii="Calibri" w:cs="Calibri" w:eastAsia="Calibri" w:hAnsi="Calibri"/>
                <w:sz w:val="18"/>
                <w:szCs w:val="18"/>
                <w:color w:val="51555C"/>
                <w:w w:val="98"/>
              </w:rPr>
              <w:t>2.42 to 1.00</w:t>
            </w:r>
          </w:p>
        </w:tc>
      </w:tr>
      <w:tr>
        <w:trPr>
          <w:trHeight w:val="220"/>
        </w:trPr>
        <w:tc>
          <w:tcPr>
            <w:tcW w:w="4990" w:type="dxa"/>
            <w:vAlign w:val="bottom"/>
          </w:tcPr>
          <w:p>
            <w:pPr>
              <w:ind w:left="20"/>
              <w:spacing w:after="0"/>
              <w:rPr>
                <w:sz w:val="20"/>
                <w:szCs w:val="20"/>
                <w:color w:val="auto"/>
              </w:rPr>
            </w:pPr>
            <w:r>
              <w:rPr>
                <w:rFonts w:ascii="Calibri" w:cs="Calibri" w:eastAsia="Calibri" w:hAnsi="Calibri"/>
                <w:sz w:val="18"/>
                <w:szCs w:val="18"/>
                <w:color w:val="51555C"/>
              </w:rPr>
              <w:t>Interest coverage rato</w:t>
            </w:r>
          </w:p>
        </w:tc>
        <w:tc>
          <w:tcPr>
            <w:tcW w:w="2860" w:type="dxa"/>
            <w:vAlign w:val="bottom"/>
          </w:tcPr>
          <w:p>
            <w:pPr>
              <w:jc w:val="center"/>
              <w:spacing w:after="0"/>
              <w:rPr>
                <w:sz w:val="20"/>
                <w:szCs w:val="20"/>
                <w:color w:val="auto"/>
              </w:rPr>
            </w:pPr>
            <w:r>
              <w:rPr>
                <w:rFonts w:ascii="Calibri" w:cs="Calibri" w:eastAsia="Calibri" w:hAnsi="Calibri"/>
                <w:sz w:val="18"/>
                <w:szCs w:val="18"/>
                <w:color w:val="51555C"/>
                <w:w w:val="97"/>
              </w:rPr>
              <w:t>≥ 2.50 to 1.00</w:t>
            </w:r>
          </w:p>
        </w:tc>
        <w:tc>
          <w:tcPr>
            <w:tcW w:w="3370" w:type="dxa"/>
            <w:vAlign w:val="bottom"/>
          </w:tcPr>
          <w:p>
            <w:pPr>
              <w:jc w:val="center"/>
              <w:spacing w:after="0"/>
              <w:rPr>
                <w:sz w:val="20"/>
                <w:szCs w:val="20"/>
                <w:color w:val="auto"/>
              </w:rPr>
            </w:pPr>
            <w:r>
              <w:rPr>
                <w:rFonts w:ascii="Calibri" w:cs="Calibri" w:eastAsia="Calibri" w:hAnsi="Calibri"/>
                <w:sz w:val="18"/>
                <w:szCs w:val="18"/>
                <w:color w:val="51555C"/>
                <w:w w:val="98"/>
              </w:rPr>
              <w:t>8.37 to 1.00</w:t>
            </w:r>
          </w:p>
        </w:tc>
      </w:tr>
      <w:tr>
        <w:trPr>
          <w:trHeight w:val="50"/>
        </w:trPr>
        <w:tc>
          <w:tcPr>
            <w:tcW w:w="4990" w:type="dxa"/>
            <w:vAlign w:val="bottom"/>
            <w:tcBorders>
              <w:bottom w:val="single" w:sz="8" w:color="0CD973"/>
            </w:tcBorders>
          </w:tcPr>
          <w:p>
            <w:pPr>
              <w:spacing w:after="0"/>
              <w:rPr>
                <w:sz w:val="4"/>
                <w:szCs w:val="4"/>
                <w:color w:val="auto"/>
              </w:rPr>
            </w:pPr>
          </w:p>
        </w:tc>
        <w:tc>
          <w:tcPr>
            <w:tcW w:w="2860" w:type="dxa"/>
            <w:vAlign w:val="bottom"/>
            <w:tcBorders>
              <w:bottom w:val="single" w:sz="8" w:color="0CD973"/>
            </w:tcBorders>
          </w:tcPr>
          <w:p>
            <w:pPr>
              <w:spacing w:after="0"/>
              <w:rPr>
                <w:sz w:val="4"/>
                <w:szCs w:val="4"/>
                <w:color w:val="auto"/>
              </w:rPr>
            </w:pPr>
          </w:p>
        </w:tc>
        <w:tc>
          <w:tcPr>
            <w:tcW w:w="3370" w:type="dxa"/>
            <w:vAlign w:val="bottom"/>
            <w:tcBorders>
              <w:bottom w:val="single" w:sz="8" w:color="0CD973"/>
            </w:tcBorders>
          </w:tcPr>
          <w:p>
            <w:pPr>
              <w:spacing w:after="0"/>
              <w:rPr>
                <w:sz w:val="4"/>
                <w:szCs w:val="4"/>
                <w:color w:val="auto"/>
              </w:rPr>
            </w:pPr>
          </w:p>
        </w:tc>
      </w:tr>
    </w:tbl>
    <w:p>
      <w:pPr>
        <w:spacing w:after="0" w:line="67" w:lineRule="exact"/>
        <w:rPr>
          <w:sz w:val="20"/>
          <w:szCs w:val="20"/>
          <w:color w:val="auto"/>
        </w:rPr>
      </w:pPr>
    </w:p>
    <w:p>
      <w:pPr>
        <w:ind w:left="340" w:hanging="332"/>
        <w:spacing w:after="0" w:line="233" w:lineRule="auto"/>
        <w:tabs>
          <w:tab w:leader="none" w:pos="338" w:val="left"/>
        </w:tabs>
        <w:numPr>
          <w:ilvl w:val="0"/>
          <w:numId w:val="34"/>
        </w:numPr>
        <w:rPr>
          <w:rFonts w:ascii="Calibri" w:cs="Calibri" w:eastAsia="Calibri" w:hAnsi="Calibri"/>
          <w:sz w:val="14"/>
          <w:szCs w:val="14"/>
          <w:color w:val="51555C"/>
        </w:rPr>
      </w:pPr>
      <w:r>
        <w:rPr>
          <w:rFonts w:ascii="Calibri" w:cs="Calibri" w:eastAsia="Calibri" w:hAnsi="Calibri"/>
          <w:sz w:val="14"/>
          <w:szCs w:val="14"/>
          <w:color w:val="51555C"/>
        </w:rPr>
        <w:t>Under the terms of the 2024 Credit Facilites, the Net Leverage Rato requirement may be increased by up to 0.50 provided we satsfy certain requirements, including a permited business acquisiton, and provided that the maximum Net Leverage Rato shall not exceed 4.25 to 1.00.</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Under the 2024 Credit Facilites, we also have restrictons on our ability to declare and pay dividends and our ability to repurchase shares of our common stock. In order to pay any cash dividends and/or repurchase shares of stock: (i) no default or event of default shall have occurred and be contnuing under the 2024 Credit Facilites, and (ii) our pro forma net leverage rato, as set forth in the 2024 Credit Facilites, must be 0.25 less than the net leverage rato requirement at the tme of dividend declaraton or share repurchase. At September 30, 2024, we were in compliance with our debt covenants under the 2024 Credit Facilites. See Note 7 to our unaudited, condensed consolidated fnancial statements in this report for additonal informaton regarding the 2024 Credit Facilites.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248920</wp:posOffset>
            </wp:positionV>
            <wp:extent cx="659765"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47</w:t>
            </w:r>
          </w:p>
        </w:tc>
      </w:tr>
      <w:tr>
        <w:trPr>
          <w:trHeight w:val="351"/>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Commitments and Contngencies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shd w:val="clear" w:color="auto" w:fill="004054"/>
          </w:tcPr>
          <w:p>
            <w:pPr>
              <w:spacing w:after="0"/>
              <w:rPr>
                <w:sz w:val="16"/>
                <w:szCs w:val="16"/>
                <w:color w:val="auto"/>
              </w:rPr>
            </w:pPr>
          </w:p>
        </w:tc>
        <w:tc>
          <w:tcPr>
            <w:tcW w:w="420" w:type="dxa"/>
            <w:vAlign w:val="bottom"/>
            <w:shd w:val="clear" w:color="auto" w:fill="004054"/>
          </w:tcPr>
          <w:p>
            <w:pPr>
              <w:spacing w:after="0"/>
              <w:rPr>
                <w:sz w:val="16"/>
                <w:szCs w:val="16"/>
                <w:color w:val="auto"/>
              </w:rPr>
            </w:pPr>
          </w:p>
        </w:tc>
        <w:tc>
          <w:tcPr>
            <w:tcW w:w="2640" w:type="dxa"/>
            <w:vAlign w:val="bottom"/>
            <w:gridSpan w:val="4"/>
            <w:shd w:val="clear" w:color="auto" w:fill="004054"/>
          </w:tcPr>
          <w:p>
            <w:pPr>
              <w:jc w:val="right"/>
              <w:ind w:right="270"/>
              <w:spacing w:after="0"/>
              <w:rPr>
                <w:sz w:val="20"/>
                <w:szCs w:val="20"/>
                <w:color w:val="auto"/>
              </w:rPr>
            </w:pPr>
            <w:r>
              <w:rPr>
                <w:rFonts w:ascii="Calibri" w:cs="Calibri" w:eastAsia="Calibri" w:hAnsi="Calibri"/>
                <w:sz w:val="14"/>
                <w:szCs w:val="14"/>
                <w:b w:val="1"/>
                <w:bCs w:val="1"/>
                <w:color w:val="FFFFFF"/>
              </w:rPr>
              <w:t>Payments due by period</w:t>
            </w:r>
          </w:p>
        </w:tc>
        <w:tc>
          <w:tcPr>
            <w:tcW w:w="9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280" w:type="dxa"/>
            <w:vAlign w:val="bottom"/>
            <w:shd w:val="clear" w:color="auto" w:fill="004054"/>
          </w:tcPr>
          <w:p>
            <w:pPr>
              <w:spacing w:after="0"/>
              <w:rPr>
                <w:sz w:val="20"/>
                <w:szCs w:val="20"/>
                <w:color w:val="auto"/>
              </w:rPr>
            </w:pPr>
          </w:p>
        </w:tc>
        <w:tc>
          <w:tcPr>
            <w:tcW w:w="420" w:type="dxa"/>
            <w:vAlign w:val="bottom"/>
            <w:shd w:val="clear" w:color="auto" w:fill="004054"/>
          </w:tcPr>
          <w:p>
            <w:pPr>
              <w:spacing w:after="0"/>
              <w:rPr>
                <w:sz w:val="20"/>
                <w:szCs w:val="20"/>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Less than</w:t>
            </w:r>
          </w:p>
        </w:tc>
        <w:tc>
          <w:tcPr>
            <w:tcW w:w="380" w:type="dxa"/>
            <w:vAlign w:val="bottom"/>
            <w:shd w:val="clear" w:color="auto" w:fill="004054"/>
          </w:tcPr>
          <w:p>
            <w:pPr>
              <w:spacing w:after="0"/>
              <w:rPr>
                <w:sz w:val="20"/>
                <w:szCs w:val="20"/>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More than</w:t>
            </w:r>
          </w:p>
        </w:tc>
        <w:tc>
          <w:tcPr>
            <w:tcW w:w="420" w:type="dxa"/>
            <w:vAlign w:val="bottom"/>
            <w:shd w:val="clear" w:color="auto" w:fill="004054"/>
          </w:tcPr>
          <w:p>
            <w:pPr>
              <w:spacing w:after="0"/>
              <w:rPr>
                <w:sz w:val="20"/>
                <w:szCs w:val="20"/>
                <w:color w:val="auto"/>
              </w:rPr>
            </w:pPr>
          </w:p>
        </w:tc>
        <w:tc>
          <w:tcPr>
            <w:tcW w:w="90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r>
              <w:rPr>
                <w:rFonts w:ascii="Calibri" w:cs="Calibri" w:eastAsia="Calibri" w:hAnsi="Calibri"/>
                <w:sz w:val="18"/>
                <w:szCs w:val="18"/>
                <w:b w:val="1"/>
                <w:bCs w:val="1"/>
                <w:color w:val="FFFFFF"/>
                <w:vertAlign w:val="superscript"/>
              </w:rPr>
              <w:t>(1)</w:t>
            </w:r>
          </w:p>
        </w:tc>
        <w:tc>
          <w:tcPr>
            <w:tcW w:w="20" w:type="dxa"/>
            <w:vAlign w:val="bottom"/>
            <w:shd w:val="clear" w:color="auto" w:fill="00405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80" w:type="dxa"/>
            <w:vAlign w:val="bottom"/>
            <w:tcBorders>
              <w:bottom w:val="single" w:sz="8" w:color="004054"/>
            </w:tcBorders>
            <w:shd w:val="clear" w:color="auto" w:fill="004054"/>
          </w:tcPr>
          <w:p>
            <w:pPr>
              <w:ind w:left="40"/>
              <w:spacing w:after="0"/>
              <w:rPr>
                <w:sz w:val="20"/>
                <w:szCs w:val="20"/>
                <w:color w:val="auto"/>
              </w:rPr>
            </w:pPr>
            <w:r>
              <w:rPr>
                <w:rFonts w:ascii="Calibri" w:cs="Calibri" w:eastAsia="Calibri" w:hAnsi="Calibri"/>
                <w:sz w:val="14"/>
                <w:szCs w:val="14"/>
                <w:b w:val="1"/>
                <w:bCs w:val="1"/>
                <w:color w:val="FFFFFF"/>
              </w:rPr>
              <w:t>(in millions)</w:t>
            </w:r>
          </w:p>
        </w:tc>
        <w:tc>
          <w:tcPr>
            <w:tcW w:w="420" w:type="dxa"/>
            <w:vAlign w:val="bottom"/>
            <w:tcBorders>
              <w:bottom w:val="single" w:sz="8" w:color="004054"/>
            </w:tcBorders>
            <w:shd w:val="clear" w:color="auto" w:fill="004054"/>
          </w:tcPr>
          <w:p>
            <w:pPr>
              <w:spacing w:after="0"/>
              <w:rPr>
                <w:sz w:val="19"/>
                <w:szCs w:val="19"/>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1 year</w:t>
            </w:r>
          </w:p>
        </w:tc>
        <w:tc>
          <w:tcPr>
            <w:tcW w:w="380" w:type="dxa"/>
            <w:vAlign w:val="bottom"/>
            <w:tcBorders>
              <w:bottom w:val="single" w:sz="8" w:color="004054"/>
            </w:tcBorders>
            <w:shd w:val="clear" w:color="auto" w:fill="004054"/>
          </w:tcPr>
          <w:p>
            <w:pPr>
              <w:spacing w:after="0"/>
              <w:rPr>
                <w:sz w:val="19"/>
                <w:szCs w:val="19"/>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1 year</w:t>
            </w:r>
          </w:p>
        </w:tc>
        <w:tc>
          <w:tcPr>
            <w:tcW w:w="420" w:type="dxa"/>
            <w:vAlign w:val="bottom"/>
            <w:tcBorders>
              <w:bottom w:val="single" w:sz="8" w:color="004054"/>
            </w:tcBorders>
            <w:shd w:val="clear" w:color="auto" w:fill="004054"/>
          </w:tcPr>
          <w:p>
            <w:pPr>
              <w:spacing w:after="0"/>
              <w:rPr>
                <w:sz w:val="19"/>
                <w:szCs w:val="19"/>
                <w:color w:val="auto"/>
              </w:rPr>
            </w:pPr>
          </w:p>
        </w:tc>
        <w:tc>
          <w:tcPr>
            <w:tcW w:w="900" w:type="dxa"/>
            <w:vAlign w:val="bottom"/>
            <w:tcBorders>
              <w:bottom w:val="single" w:sz="8" w:color="004054"/>
            </w:tcBorders>
            <w:vMerge w:val="continue"/>
            <w:shd w:val="clear" w:color="auto" w:fill="004054"/>
          </w:tcPr>
          <w:p>
            <w:pPr>
              <w:spacing w:after="0"/>
              <w:rPr>
                <w:sz w:val="19"/>
                <w:szCs w:val="19"/>
                <w:color w:val="auto"/>
              </w:rPr>
            </w:pPr>
          </w:p>
        </w:tc>
        <w:tc>
          <w:tcPr>
            <w:tcW w:w="20" w:type="dxa"/>
            <w:vAlign w:val="bottom"/>
            <w:tcBorders>
              <w:bottom w:val="single" w:sz="8" w:color="004054"/>
            </w:tcBorders>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Recorded contractual obligatons:</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280" w:type="dxa"/>
            <w:vAlign w:val="bottom"/>
          </w:tcPr>
          <w:p>
            <w:pPr>
              <w:ind w:left="140"/>
              <w:spacing w:after="0"/>
              <w:rPr>
                <w:sz w:val="20"/>
                <w:szCs w:val="20"/>
                <w:color w:val="auto"/>
              </w:rPr>
            </w:pPr>
            <w:r>
              <w:rPr>
                <w:rFonts w:ascii="Calibri" w:cs="Calibri" w:eastAsia="Calibri" w:hAnsi="Calibri"/>
                <w:sz w:val="18"/>
                <w:szCs w:val="18"/>
                <w:color w:val="51555C"/>
              </w:rPr>
              <w:t>Debt</w:t>
            </w:r>
          </w:p>
        </w:tc>
        <w:tc>
          <w:tcPr>
            <w:tcW w:w="420" w:type="dxa"/>
            <w:vAlign w:val="bottom"/>
          </w:tcPr>
          <w:p>
            <w:pPr>
              <w:jc w:val="right"/>
              <w:ind w:right="230"/>
              <w:spacing w:after="0"/>
              <w:rPr>
                <w:sz w:val="20"/>
                <w:szCs w:val="20"/>
                <w:color w:val="auto"/>
              </w:rPr>
            </w:pPr>
            <w:r>
              <w:rPr>
                <w:rFonts w:ascii="Calibri" w:cs="Calibri" w:eastAsia="Calibri" w:hAnsi="Calibri"/>
                <w:sz w:val="18"/>
                <w:szCs w:val="18"/>
                <w:color w:val="51555C"/>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51555C"/>
              </w:rPr>
              <w:t>23.8</w:t>
            </w: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51555C"/>
                <w:w w:val="87"/>
              </w:rPr>
              <w:t>$</w:t>
            </w:r>
          </w:p>
        </w:tc>
        <w:tc>
          <w:tcPr>
            <w:tcW w:w="940" w:type="dxa"/>
            <w:vAlign w:val="bottom"/>
          </w:tcPr>
          <w:p>
            <w:pPr>
              <w:jc w:val="right"/>
              <w:spacing w:after="0"/>
              <w:rPr>
                <w:sz w:val="20"/>
                <w:szCs w:val="20"/>
                <w:color w:val="auto"/>
              </w:rPr>
            </w:pPr>
            <w:r>
              <w:rPr>
                <w:rFonts w:ascii="Calibri" w:cs="Calibri" w:eastAsia="Calibri" w:hAnsi="Calibri"/>
                <w:sz w:val="18"/>
                <w:szCs w:val="18"/>
                <w:color w:val="51555C"/>
              </w:rPr>
              <w:t>980.5</w:t>
            </w:r>
          </w:p>
        </w:tc>
        <w:tc>
          <w:tcPr>
            <w:tcW w:w="420" w:type="dxa"/>
            <w:vAlign w:val="bottom"/>
          </w:tcPr>
          <w:p>
            <w:pPr>
              <w:jc w:val="right"/>
              <w:ind w:right="230"/>
              <w:spacing w:after="0"/>
              <w:rPr>
                <w:sz w:val="20"/>
                <w:szCs w:val="20"/>
                <w:color w:val="auto"/>
              </w:rPr>
            </w:pPr>
            <w:r>
              <w:rPr>
                <w:rFonts w:ascii="Calibri" w:cs="Calibri" w:eastAsia="Calibri" w:hAnsi="Calibri"/>
                <w:sz w:val="18"/>
                <w:szCs w:val="18"/>
                <w:color w:val="51555C"/>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51555C"/>
              </w:rPr>
              <w:t>1,004.3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7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Operatng leases</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6.4</w:t>
            </w: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40.7</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280" w:type="dxa"/>
            <w:vAlign w:val="bottom"/>
          </w:tcPr>
          <w:p>
            <w:pPr>
              <w:ind w:left="140"/>
              <w:spacing w:after="0"/>
              <w:rPr>
                <w:sz w:val="20"/>
                <w:szCs w:val="20"/>
                <w:color w:val="auto"/>
              </w:rPr>
            </w:pPr>
            <w:r>
              <w:rPr>
                <w:rFonts w:ascii="Calibri" w:cs="Calibri" w:eastAsia="Calibri" w:hAnsi="Calibri"/>
                <w:sz w:val="18"/>
                <w:szCs w:val="18"/>
                <w:color w:val="51555C"/>
              </w:rPr>
              <w:t>Interest payment on debt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0.6</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6.3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7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Unrecorded contractual obligatons:</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280" w:type="dxa"/>
            <w:vAlign w:val="bottom"/>
          </w:tcPr>
          <w:p>
            <w:pPr>
              <w:ind w:left="140"/>
              <w:spacing w:after="0"/>
              <w:rPr>
                <w:sz w:val="20"/>
                <w:szCs w:val="20"/>
                <w:color w:val="auto"/>
              </w:rPr>
            </w:pPr>
            <w:r>
              <w:rPr>
                <w:rFonts w:ascii="Calibri" w:cs="Calibri" w:eastAsia="Calibri" w:hAnsi="Calibri"/>
                <w:sz w:val="18"/>
                <w:szCs w:val="18"/>
                <w:color w:val="51555C"/>
              </w:rPr>
              <w:t>Purchase obligatons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85.7</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121.1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206.8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7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Interest payments on debt</w:t>
            </w:r>
          </w:p>
        </w:tc>
        <w:tc>
          <w:tcPr>
            <w:tcW w:w="42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58.2</w:t>
            </w:r>
          </w:p>
        </w:tc>
        <w:tc>
          <w:tcPr>
            <w:tcW w:w="380" w:type="dxa"/>
            <w:vAlign w:val="bottom"/>
            <w:tcBorders>
              <w:bottom w:val="single" w:sz="8" w:color="EBFBFF"/>
            </w:tcBorders>
            <w:shd w:val="clear" w:color="auto" w:fill="EBFBFF"/>
          </w:tcPr>
          <w:p>
            <w:pPr>
              <w:spacing w:after="0"/>
              <w:rPr>
                <w:sz w:val="23"/>
                <w:szCs w:val="2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220.0</w:t>
            </w:r>
          </w:p>
        </w:tc>
        <w:tc>
          <w:tcPr>
            <w:tcW w:w="42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278.2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7280" w:type="dxa"/>
            <w:vAlign w:val="bottom"/>
            <w:tcBorders>
              <w:bottom w:val="single" w:sz="8" w:color="0CD973"/>
            </w:tcBorders>
          </w:tcPr>
          <w:p>
            <w:pPr>
              <w:ind w:left="20"/>
              <w:spacing w:after="0"/>
              <w:rPr>
                <w:sz w:val="20"/>
                <w:szCs w:val="20"/>
                <w:color w:val="auto"/>
              </w:rPr>
            </w:pPr>
            <w:r>
              <w:rPr>
                <w:rFonts w:ascii="Calibri" w:cs="Calibri" w:eastAsia="Calibri" w:hAnsi="Calibri"/>
                <w:sz w:val="18"/>
                <w:szCs w:val="18"/>
                <w:b w:val="1"/>
                <w:bCs w:val="1"/>
                <w:color w:val="51555C"/>
              </w:rPr>
              <w:t>Total contractual obligatons</w:t>
            </w:r>
            <w:r>
              <w:rPr>
                <w:rFonts w:ascii="Calibri" w:cs="Calibri" w:eastAsia="Calibri" w:hAnsi="Calibri"/>
                <w:sz w:val="23"/>
                <w:szCs w:val="23"/>
                <w:b w:val="1"/>
                <w:bCs w:val="1"/>
                <w:color w:val="51555C"/>
                <w:vertAlign w:val="superscript"/>
              </w:rPr>
              <w:t>(1)</w:t>
            </w:r>
          </w:p>
        </w:tc>
        <w:tc>
          <w:tcPr>
            <w:tcW w:w="420" w:type="dxa"/>
            <w:vAlign w:val="bottom"/>
            <w:tcBorders>
              <w:top w:val="single" w:sz="8" w:color="51555C"/>
              <w:bottom w:val="single" w:sz="8" w:color="0CD973"/>
            </w:tcBorders>
          </w:tcPr>
          <w:p>
            <w:pPr>
              <w:jc w:val="right"/>
              <w:ind w:right="230"/>
              <w:spacing w:after="0"/>
              <w:rPr>
                <w:sz w:val="20"/>
                <w:szCs w:val="20"/>
                <w:color w:val="auto"/>
              </w:rPr>
            </w:pPr>
            <w:r>
              <w:rPr>
                <w:rFonts w:ascii="Calibri" w:cs="Calibri" w:eastAsia="Calibri" w:hAnsi="Calibri"/>
                <w:sz w:val="18"/>
                <w:szCs w:val="18"/>
                <w:color w:val="51555C"/>
                <w:w w:val="87"/>
              </w:rPr>
              <w:t>$</w:t>
            </w:r>
          </w:p>
        </w:tc>
        <w:tc>
          <w:tcPr>
            <w:tcW w:w="900" w:type="dxa"/>
            <w:vAlign w:val="bottom"/>
            <w:tcBorders>
              <w:top w:val="single" w:sz="8" w:color="51555C"/>
              <w:bottom w:val="single" w:sz="8" w:color="0CD973"/>
            </w:tcBorders>
          </w:tcPr>
          <w:p>
            <w:pPr>
              <w:jc w:val="right"/>
              <w:spacing w:after="0"/>
              <w:rPr>
                <w:sz w:val="20"/>
                <w:szCs w:val="20"/>
                <w:color w:val="auto"/>
              </w:rPr>
            </w:pPr>
            <w:r>
              <w:rPr>
                <w:rFonts w:ascii="Calibri" w:cs="Calibri" w:eastAsia="Calibri" w:hAnsi="Calibri"/>
                <w:sz w:val="18"/>
                <w:szCs w:val="18"/>
                <w:color w:val="51555C"/>
              </w:rPr>
              <w:t>174.7</w:t>
            </w:r>
          </w:p>
        </w:tc>
        <w:tc>
          <w:tcPr>
            <w:tcW w:w="380" w:type="dxa"/>
            <w:vAlign w:val="bottom"/>
            <w:tcBorders>
              <w:top w:val="single" w:sz="8" w:color="51555C"/>
              <w:bottom w:val="single" w:sz="8" w:color="0CD973"/>
            </w:tcBorders>
          </w:tcPr>
          <w:p>
            <w:pPr>
              <w:jc w:val="right"/>
              <w:ind w:right="190"/>
              <w:spacing w:after="0"/>
              <w:rPr>
                <w:sz w:val="20"/>
                <w:szCs w:val="20"/>
                <w:color w:val="auto"/>
              </w:rPr>
            </w:pPr>
            <w:r>
              <w:rPr>
                <w:rFonts w:ascii="Calibri" w:cs="Calibri" w:eastAsia="Calibri" w:hAnsi="Calibri"/>
                <w:sz w:val="18"/>
                <w:szCs w:val="18"/>
                <w:color w:val="51555C"/>
                <w:w w:val="87"/>
              </w:rPr>
              <w:t>$</w:t>
            </w:r>
          </w:p>
        </w:tc>
        <w:tc>
          <w:tcPr>
            <w:tcW w:w="940" w:type="dxa"/>
            <w:vAlign w:val="bottom"/>
            <w:tcBorders>
              <w:top w:val="single" w:sz="8" w:color="51555C"/>
              <w:bottom w:val="single" w:sz="8" w:color="0CD973"/>
            </w:tcBorders>
          </w:tcPr>
          <w:p>
            <w:pPr>
              <w:jc w:val="right"/>
              <w:spacing w:after="0"/>
              <w:rPr>
                <w:sz w:val="20"/>
                <w:szCs w:val="20"/>
                <w:color w:val="auto"/>
              </w:rPr>
            </w:pPr>
            <w:r>
              <w:rPr>
                <w:rFonts w:ascii="Calibri" w:cs="Calibri" w:eastAsia="Calibri" w:hAnsi="Calibri"/>
                <w:sz w:val="18"/>
                <w:szCs w:val="18"/>
                <w:color w:val="51555C"/>
              </w:rPr>
              <w:t>1,368.6</w:t>
            </w:r>
          </w:p>
        </w:tc>
        <w:tc>
          <w:tcPr>
            <w:tcW w:w="420" w:type="dxa"/>
            <w:vAlign w:val="bottom"/>
            <w:tcBorders>
              <w:top w:val="single" w:sz="8" w:color="51555C"/>
              <w:bottom w:val="single" w:sz="8" w:color="0CD973"/>
            </w:tcBorders>
          </w:tcPr>
          <w:p>
            <w:pPr>
              <w:jc w:val="right"/>
              <w:ind w:right="230"/>
              <w:spacing w:after="0"/>
              <w:rPr>
                <w:sz w:val="20"/>
                <w:szCs w:val="20"/>
                <w:color w:val="auto"/>
              </w:rPr>
            </w:pPr>
            <w:r>
              <w:rPr>
                <w:rFonts w:ascii="Calibri" w:cs="Calibri" w:eastAsia="Calibri" w:hAnsi="Calibri"/>
                <w:sz w:val="18"/>
                <w:szCs w:val="18"/>
                <w:color w:val="51555C"/>
                <w:w w:val="87"/>
              </w:rPr>
              <w:t>$</w:t>
            </w:r>
          </w:p>
        </w:tc>
        <w:tc>
          <w:tcPr>
            <w:tcW w:w="900" w:type="dxa"/>
            <w:vAlign w:val="bottom"/>
            <w:tcBorders>
              <w:top w:val="single" w:sz="8" w:color="51555C"/>
              <w:bottom w:val="single" w:sz="8" w:color="0CD973"/>
            </w:tcBorders>
          </w:tcPr>
          <w:p>
            <w:pPr>
              <w:jc w:val="right"/>
              <w:spacing w:after="0"/>
              <w:rPr>
                <w:sz w:val="20"/>
                <w:szCs w:val="20"/>
                <w:color w:val="auto"/>
              </w:rPr>
            </w:pPr>
            <w:r>
              <w:rPr>
                <w:rFonts w:ascii="Calibri" w:cs="Calibri" w:eastAsia="Calibri" w:hAnsi="Calibri"/>
                <w:sz w:val="18"/>
                <w:szCs w:val="18"/>
                <w:color w:val="51555C"/>
              </w:rPr>
              <w:t>1,543.3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-1687830</wp:posOffset>
            </wp:positionV>
            <wp:extent cx="25285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46" w:lineRule="exact"/>
        <w:rPr>
          <w:sz w:val="20"/>
          <w:szCs w:val="20"/>
          <w:color w:val="auto"/>
        </w:rPr>
      </w:pPr>
    </w:p>
    <w:p>
      <w:pPr>
        <w:ind w:left="340" w:hanging="332"/>
        <w:spacing w:after="0"/>
        <w:tabs>
          <w:tab w:leader="none" w:pos="340" w:val="left"/>
        </w:tabs>
        <w:numPr>
          <w:ilvl w:val="0"/>
          <w:numId w:val="35"/>
        </w:numPr>
        <w:rPr>
          <w:rFonts w:ascii="Calibri" w:cs="Calibri" w:eastAsia="Calibri" w:hAnsi="Calibri"/>
          <w:sz w:val="14"/>
          <w:szCs w:val="14"/>
          <w:color w:val="51555C"/>
        </w:rPr>
      </w:pPr>
      <w:r>
        <w:rPr>
          <w:rFonts w:ascii="Calibri" w:cs="Calibri" w:eastAsia="Calibri" w:hAnsi="Calibri"/>
          <w:sz w:val="14"/>
          <w:szCs w:val="14"/>
          <w:color w:val="51555C"/>
        </w:rPr>
        <w:t>The individual amounts may not sum to the total due to rounding.</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Debt</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of September 30, 2024, we had total remaining principal payments of $1.0 billion. These payments represent principal payments only, under the following assumptons: (i) that the amounts outstanding under the 2024 Credit Facilites, our real estate loans and our other debt at September 30, 2024 will remain outstanding untl maturity, with minimum payments occurring as currently scheduled, and (ii) that there are no assumed future borrowings on the revolving credit loans under the 2024 Credit Facilites for the purposes of determining minimum commitment amounts. See Note 7 to our unaudited, condensed consolidated fnancial statements in this report for more informaton.</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Interest payments on debt</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additon to principal payments, as of September 30, 2024, we expect to pay interest expense over the life of our debt obligatons of approximately $285.1 million. These payments represent our estmated future interest payments on debt using our debt balances and the related weighted average efectve interest rates as of September 30, 2024, which includes the efect of interest rate swap agreements. The actual interest expense recognized in our unaudited, condensed consolidated statements of comprehensive income will depend on the amount of debt, the length of tme the debt is outstanding and the interest rate, which could be diferent from our assumptons on our remaining principal payments described above.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Operatng leases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of September 30, 2024, we had remaining operatng lease payments of $47.0 million. These payments have not been reduced by sublease income, incentve payments, reimbursement of leasehold improvements or the amount representng imputed interest of $7.1 million. Our operatng leases are generally for corporate ofces, subleased ofces and certain equipment and furniture. Given our remote-frst workforce strategy and real estate footprint optmizaton eforts, as discussed above, we do not antcipate entering any new, material operatng leases for ofces for the foreseeable future. See Note 9 to our unaudited, condensed consolidated fnancial statements in this report for more informaton.</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Purchase obligatons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of September 30, 2024, we had remaining purchase obligatons of $206.8 million. These purchase obligatons are for third-party technology used in our solutons and for other services we purchase as part of our normal operatons. In certain cases, these arrangements require a minimum annual purchase commitment by us. Our purchase obligatons are not recorded as liabilites on our unaudited, condensed consolidated balance sheets as of September 30, 2024, as we had not received the related services. See Note 9 to our unaudited, condensed consolidated fnancial statements in this report for more informaton.</w:t>
      </w:r>
    </w:p>
    <w:p>
      <w:pPr>
        <w:spacing w:after="0" w:line="16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total liability for uncertain tax positons as of September 30, 2024 was $5.8 million. Our accrued interest and penaltes related to tax positons taken on our tax returns was insignifcant as of September 30, 2024.</w:t>
      </w:r>
    </w:p>
    <w:p>
      <w:pPr>
        <w:spacing w:after="0" w:line="351"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48</w:t>
      </w:r>
      <w:r>
        <w:rPr>
          <w:sz w:val="20"/>
          <w:szCs w:val="20"/>
          <w:color w:val="auto"/>
        </w:rPr>
        <w:tab/>
      </w:r>
      <w:r>
        <w:rPr>
          <w:sz w:val="1"/>
          <w:szCs w:val="1"/>
          <w:color w:val="auto"/>
        </w:rPr>
        <w:drawing>
          <wp:inline distT="0" distB="0" distL="0" distR="0">
            <wp:extent cx="651510" cy="1714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connecton with the setlement of the mult-state Atorneys General investgaton, the California Atorney General investgaton and the FTC investgaton relatng to the Security Incident, as discussed in Note 11 to our audited consolidated fnancial statements contained in our Annual Report on Form 10-K fled with the SEC on February 21, 2024, we have agreed to implement and improve certain of our cybersecurity programs and tools through May 2044. The currently antcipated costs in connecton with these eforts are primarily expected to be expensed as incurred.</w:t>
      </w:r>
    </w:p>
    <w:p>
      <w:pPr>
        <w:spacing w:after="0" w:line="257"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Approximately 16% of our total revenue for the nine months ended September 30, 2024 was generated from operatons outside the U.S. We do not have signifcant operatons in countries in which the economy is considered to be highly infatonary. Our consolidated fnancial statements are denominated in U.S. dollars and, accordingly, changes in the exchange rate between foreign currencies and the U.S. dollar will afect the translaton of our subsidiaries’ fnancial results into U.S. dollars for purposes of reportng our consolidated fnancial results. The accumulated currency translaton adjustment, recorded within accumulated other comprehensive loss as a component of stockholders’ equity, was a loss of $4.2 million as of September 30, 2024 and a loss of $9.8 million as of December 31, 2023. We have entered into foreign currency forward contracts to hedge a porton of the foreign currency exposure that arises on translaton of our investments denominated in Britsh Pounds into U.S. dollars.</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vast majority of our contracts are entered into by our U.S. or U.K. enttes. The contracts entered into by the U.S. entty are almost always denominated in U.S. dollars or Canadian dollars, and contracts entered into by our U.K., Australian and Irish subsidiaries are generally denominated in Britsh Pounds, Australian dollars and Euros, respectvely. Historically, as the U.S. dollar weakened, foreign currency translaton resulted in an increase in our revenues and expenses denominated in non-U.S. currencies. Conversely, as the U.S. dollar strengthened, foreign currency translaton resulted in a decrease in our revenue and expenses denominated in non-U.S. currencies. During the nine months ended September 30, 2024, foreign translaton resulted in increases in our revenues and expenses denominated in non-U.S. currencies. Though we have exposure to fuctuatons in currency exchange rates, primarily those between the U.S. dollar and both the Britsh Pound and Canadian dollar, the impact has generally not been material to our consolidated results of operatons or fnancial positon. For the nine months ended September 30, 2024, the fuctuaton in foreign currency exchange rates increased our total revenue and our income from operatons by $2.1 million and an insignifcant amount, respectvely. We have entered into foreign currency forward contracts to hedge revenues denominated in the Canadian dollar against changes in the exchange rate with the U.S. dollar. We will contnue monitoring such exposure and take acton as appropriate. To determine the impacts on revenue (or income from operatons) from fuctuatons in currency exchange rates, current period revenues (or income from operatons) from enttes reportng in foreign currencies were translated into U.S. dollars using the comparable prior year period's weighted average foreign currency exchange rates. These impacts are non-GAAP fnancial informaton and are not in accordance with, or an alternatve to, informaton prepared in accordance with GAAP.</w:t>
      </w:r>
    </w:p>
    <w:p>
      <w:pPr>
        <w:spacing w:after="0" w:line="265"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Critcal Accountng Policies and Estmates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There have been no signifcant changes in our critcal accountng policies and estmates during the nine months ended September 30, 2024 as compared to those disclosed in “Management’s Discussion and Analysis of Financial Conditon and Results of Operatons” included in our Annual Report on Form 10-K for the fscal year ended December 31, 2023.</w:t>
      </w:r>
    </w:p>
    <w:p>
      <w:pPr>
        <w:spacing w:after="0" w:line="25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Recently Issued Accountng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For a discussion of the impact that recently issued accountng pronouncements are expected to have on our fnancial positon and results of operatons when adopted in the future, see Note 2 to our unaudited, condensed consolidated fnancial statements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238125</wp:posOffset>
            </wp:positionV>
            <wp:extent cx="659765"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49</w:t>
            </w:r>
          </w:p>
        </w:tc>
      </w:tr>
      <w:tr>
        <w:trPr>
          <w:trHeight w:val="365"/>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3. QUANTITATIVE AND QUALITATIVE DISCLOSURES ABOUT MARKET RISK</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51555C"/>
        </w:rPr>
        <w:t>We have market rate sensitvity for interest rates and foreign currency exchange rates.</w:t>
      </w:r>
    </w:p>
    <w:p>
      <w:pPr>
        <w:spacing w:after="0" w:line="254"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8"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Our variable rate debt is our primary fnancial instrument with market risk exposure for changing interest rates. We manage our variable rate interest rate risk through a combinaton of short-term and long-term borrowings and the use of derivatve instruments entered into for hedging purposes. Our interest rate exposure includes SOFR rates. Due to the nature of our debt, the materiality of the fair values of the derivatve instruments and the highly liquid, short-term nature and level of our cash and cash equivalents as of September 30, 2024, we believe that the risk of exposure to changing interest rates for those positons is immaterial. There were no signifcant changes in how we manage interest rate risk between December 31, 2023 and September 30, 2024.</w:t>
      </w:r>
    </w:p>
    <w:p>
      <w:pPr>
        <w:spacing w:after="0" w:line="24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For a discussion of our exposure to foreign currency exchange rate fuctuatons, see “Management’s Discussion and Analysis of Financial Conditon and Results of Operatons — Foreign Currency Exchange Rates” in this report.</w:t>
      </w:r>
    </w:p>
    <w:p>
      <w:pPr>
        <w:spacing w:after="0" w:line="253"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4. CONTROLS AND PROCEDURES</w:t>
      </w:r>
    </w:p>
    <w:p>
      <w:pPr>
        <w:spacing w:after="0" w:line="267"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Evaluaton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Disclosure controls and procedures (as defned in Securites Exchange Act Rule 13a-15(e) and 15d-15(e)) are designed only to provide reasonable assurance that they will meet their objectves. As of the end of the period covered by this report, we carried out an evaluaton, under the supervision and with the partcipaton of our management, including our Chief Executve Ofcer (principal executve ofcer) and Chief Financial Ofcer (principal fnancial and accountng ofcer), of the efectveness of our disclosure controls and procedures (as defned in Rule 13a-15(e) and 15d-15(e)) pursuant to Securites Exchange Act Rule 13a-15(b). Based upon that evaluaton, our Chief Executve Ofcer and Chief Financial Ofcer have concluded that our disclosure controls and procedures are efectve to provide the reasonable assurance discussed above.</w:t>
      </w:r>
    </w:p>
    <w:p>
      <w:pPr>
        <w:spacing w:after="0" w:line="25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Changes in Internal Control Over Financial Reportng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No changes in internal control over fnancial reportng occurred during the most recent fscal quarter ended September 30, 2024 with respect to our operatons, which have materially afected, or are reasonably likely to materially afect, our internal control over fnancial reportng.</w:t>
      </w:r>
    </w:p>
    <w:p>
      <w:pPr>
        <w:spacing w:after="0" w:line="338"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50</w:t>
      </w:r>
      <w:r>
        <w:rPr>
          <w:sz w:val="20"/>
          <w:szCs w:val="20"/>
          <w:color w:val="auto"/>
        </w:rPr>
        <w:tab/>
      </w:r>
      <w:r>
        <w:rPr>
          <w:sz w:val="1"/>
          <w:szCs w:val="1"/>
          <w:color w:val="auto"/>
        </w:rPr>
        <w:drawing>
          <wp:inline distT="0" distB="0" distL="0" distR="0">
            <wp:extent cx="651510" cy="17145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0"/>
        <w:spacing w:after="0"/>
        <w:rPr>
          <w:sz w:val="20"/>
          <w:szCs w:val="20"/>
          <w:color w:val="auto"/>
        </w:rPr>
      </w:pPr>
      <w:r>
        <w:rPr>
          <w:sz w:val="1"/>
          <w:szCs w:val="1"/>
          <w:color w:val="auto"/>
        </w:rPr>
        <w:drawing>
          <wp:inline distT="0" distB="0" distL="0" distR="0">
            <wp:extent cx="248285" cy="24892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Calibri" w:cs="Calibri" w:eastAsia="Calibri" w:hAnsi="Calibri"/>
          <w:sz w:val="40"/>
          <w:szCs w:val="40"/>
          <w:b w:val="1"/>
          <w:bCs w:val="1"/>
          <w:color w:val="50535A"/>
        </w:rPr>
        <w:t xml:space="preserve"> PART II. OTHER INFORMATION</w:t>
      </w:r>
    </w:p>
    <w:p>
      <w:pPr>
        <w:spacing w:after="0" w:line="387"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 LEGAL PROCEEDINGS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51555C"/>
        </w:rPr>
        <w:t>For a discussion of our legal proceedings, see Note 9 to our unaudited, condensed consolidated fnancial statements in this report.</w:t>
      </w:r>
    </w:p>
    <w:p>
      <w:pPr>
        <w:spacing w:after="0" w:line="25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1A. RISK FACTORS</w:t>
      </w:r>
    </w:p>
    <w:p>
      <w:pPr>
        <w:spacing w:after="0" w:line="178"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are supplementng Item 1A. Risk Factors in our Annual Report on Form 10-K for the year ended December 31, 2023, as fled with the Securites and Exchange Commission on February 21, 2024 (the “Annual Report”). The following risk factor should be read in conjuncton with the risk factors set forth in that Annual Report.</w:t>
      </w:r>
    </w:p>
    <w:p>
      <w:pPr>
        <w:spacing w:after="0" w:line="25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Operatonal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The Security Incident has had, and may contnue to have, numerous adverse efects on our business, results of operatons, fnancial conditon and cash fows.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previously disclosed, on July 16, 2020, we contacted certain customers to inform them about the Security Incident, including that in May 2020 we discovered and stopped a ransomware atack. Prior to our successfully preventng the cybercriminal from blocking our system access and fully encryptng fles, and ultmately expelling them from our system with no signifcant disrupton to our operatons, the cybercriminal removed a copy of a subset of data from our self-hosted environment that afected over 13,000 customers. Based on the nature of the incident, our research and third party (including law enforcement) investgaton we believe that no data went beyond the cybercriminal, was or will be misused, or will be disseminated or otherwise made available publicly.</w:t>
      </w:r>
    </w:p>
    <w:p>
      <w:pPr>
        <w:spacing w:after="0" w:line="167"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51555C"/>
        </w:rPr>
        <w:t>To date, we have received approximately 260 specifc requests from customers for reimbursement of expenses incurred by them related to the Security Incident, all of which have been fully resolved and closed or are inactve and are considered by us to have been abandoned by the customers. We have also received approximately 400 reservatons of the right to seek expense recovery in the future from customers or their atorneys in the U.S., U.K. and Canada related to the Security Incident, none of which resulted in claims submited to us and are considered by us to have been abandoned by the customers. We have also received notces of proposed claims on behalf of a number of U.K. data subjects, which we are reviewing. In additon, insurance companies representng various customers’ interests through subrogaton claims have contacted us, and certain insurance companies have fled subrogaton claims in court, of which two cases remain actve and unresolved. In additon, presently, we are a defendant in putatve consumer class acton cases in U.S. federal courts (most of which have been consolidated under mult district litgaton to a single federal court) and in Canadian courts alleging harm from the Security Incident. The plaintfs in these cases, who generally purport to represent various classes of individual consttuents of our customers, generally claim to have been harmed by alleged actons and/or omissions by us in connecton with the Security Incident and assert a variety of common law and statutory claims seeking monetary damages, injunctve relief, costs and atorneys’ fees, and other related relief. On May 14, 2024, the Court issued a memorandum opinion and order (1) denying the mult district litgaton plaintfs' moton for class certfcaton because of the plaintfs' failure to meet their burden of proof as to ascertainability, (2) grantng our moton to exclude the mult district litgaton plaintfs' expert on the issue of ascertainability, and (3) denying the mult district litgaton plaintfs' moton to exclude our expert on the issue of ascertainability. Further, the Court denied as moot all other pending motons. On May 28, 2024, the plaintfs fled a petton for permission to appeal under Rule 23(f) of the Federal Rules of Civil Procedure with the Fourth Circuit Court of Appeals (the “Fourth Circuit”), and we subsequently fled an oppositon to such petton. On July 30, 2024, the Fourth Circuit denied the plaintfs' petton. This litgaton remains ongoing. We are subject to pending governmental actons or investgatons by the U.S. Department of Health and Human Services, the Ofce of the Australian Informaton Commissioner and the Ofce of the Privacy Commissioner of Canada. (See Note 9 to our unaudited, condensed consolidated fnancial statements included in this report for a more detailed descripton of the Security Incident and related maters.)</w:t>
      </w:r>
    </w:p>
    <w:p>
      <w:pPr>
        <w:spacing w:after="0" w:line="37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March 9, 2023, the Company reached a setlement with the SEC in connecton with the Security Incident that fully resolved the previously disclosed SEC investgaton of the Security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238125</wp:posOffset>
            </wp:positionV>
            <wp:extent cx="659765"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51</w:t>
            </w:r>
          </w:p>
        </w:tc>
      </w:tr>
      <w:tr>
        <w:trPr>
          <w:trHeight w:val="365"/>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October 5, 2023, the Company entered into separate, substantally similar Administratve Orders with each of 49 state Atorneys General and the District of Columbia in connecton with the Security Incident which fully resolved the previously disclosed mult-state Civil Investgatve Demand and the separate Civil Investgatve Demand from the Ofce of the Indiana Atorney General relatng to the Security Incident.</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May 20, 2024, the U.S. Federal Trade Commission (the "FTC") fnalized an Order (the “FTC Order”) evidencing its setlement with us in connecton with the Security Incident. As part of the FTC Order, we were not fned and were not otherwise required to make any payment. Furthermore, we agreed to the FTC Order without admitng or denying any of the FTC’s allegatons, except as expressly stated otherwise in the FTC Order. The setlement described in the FTC Order fully resolved the FTC investgaton. For more informaton, see the form of proposed order that was furnished as Exhibit 99.2 to our Current Report on Form 8-K fled with the SEC on February 2, 2024 and is identcal in substance to the fnal FTC Order, and in Note 11 to our audited consolidated fnancial statements contained in our Annual Report on Form 10-K fled with the SEC on February 21, 2024.</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June 13, 2024, we agreed to a Final Judgment and Permanent Injuncton with the Atorney General of the State of California (the "California Judgment") relatng to the Security Incident. This setlement fully resolved the last remaining U.S. state atorney general investgaton into the Security Incident. Under the terms of the setlement, we agreed to comply with applicable laws; not to make misleading statements related to our data protecton, privacy, security, confdentality, integrity, breach notfcaton requirements, and similar maters; and to implement and improve certain cybersecurity programs and tools. The terms of the setlement with California are generally consistent with those to which we agreed in setling with the other 49 state Atorneys General and the District of Columbia on October 5, 2023, as discussed below. As part of the setlement, we also agreed to pay a total of $6.8 million to the State of California. This amount was fully accrued as a contngent liability in the Company's fnancial statements as of March 31, 2024 and June 30, 2024, and subsequently paid in the third quarter of 2024. Nothing contained in the California Judgment is intended to be, and shall not in any event be construed or deemed to be, an admission or concession or evidence of any liability or wrongdoing whatsoever on the part of Blackbaud or any fact or violaton of law, rule, or regulaton. For more informaton, see the Final Judgment and Permanent Injuncton of the State of California, County of San Diego that was furnished as Exhibit 99.1 to our Current Report on Form 8-K fled with the SEC on June 14, 2024.</w:t>
      </w:r>
    </w:p>
    <w:p>
      <w:pPr>
        <w:spacing w:after="0" w:line="17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noted above, the terms of the California Judgment, FTC Order, the Atorneys General Administratve Orders and our setlement with the SEC require that we implement and maintain certain processes and programs and comply with certain legal requirements related to cybersecurity and data protecton. Any future regulatory investgaton or litgaton setlements may also contain such requirements. Efectvely implementng, monitoring and updatng these requirements has been, and is expected to be over an extended period of tme, expensive and tme-consuming. Our failure to do so in accordance with the terms of our agreements with FTC, the Atorneys General and with the SEC, and possibly others, could expose us to additonal material liability under the terms of the Administratve Orders, the SEC setlement, or otherwise.</w:t>
      </w:r>
    </w:p>
    <w:p>
      <w:pPr>
        <w:spacing w:after="0" w:line="16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See Note 9 to our unaudited, condensed consolidated fnancial statements in this report for a more detailed descripton of the Security Incident and related maters.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may be named as a party in additonal lawsuits, other claims may be asserted by or on behalf of our customers or their consttuents, and we may be subject to additonal governmental inquires, requests or investgatons. Responding to and resolving these current and any future lawsuits, claims and/or investgatons could result in material remedial and other expenses that will not be covered by insurance. It is reasonably possible that our estmated or actual losses may change in the near term for those maters and be materially in excess of the amounts accrued. Certain governmental authorites have imposed, and others may in the future impose, undertakings, injunctve relief, consent decrees, or other civil or criminal penaltes, which have materially increased our data security costs or otherwise required us to alter how we operate our business, and could further do so in the future. Although we intend to defend ourselves vigorously against the claims asserted against us, we cannot predict the potental outcomes, cost and expenses associated with current and any future claims, lawsuits, inquiries and investgatons.</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any legislatve or regulatory changes adopted in reacton to the Security Incident or other companies’ data breaches could require us to make modifcatons to the operaton of our business that could have an adverse efect and/or increase or accelerate our compliance costs.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Signifcant management tme and Company resources have been, and are expected to contnue to be, devoted to the Security Incident. For example, for the nine months ended September 30, 2024, we incurred net pre-tax expenses of $12.8 million related to the Security Incident, which included $6.0 million for ongoing legal fees and additonal accruals for loss</w:t>
      </w:r>
    </w:p>
    <w:p>
      <w:pPr>
        <w:spacing w:after="0" w:line="338"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52</w:t>
      </w:r>
      <w:r>
        <w:rPr>
          <w:sz w:val="20"/>
          <w:szCs w:val="20"/>
          <w:color w:val="auto"/>
        </w:rPr>
        <w:tab/>
      </w:r>
      <w:r>
        <w:rPr>
          <w:sz w:val="1"/>
          <w:szCs w:val="1"/>
          <w:color w:val="auto"/>
        </w:rPr>
        <w:drawing>
          <wp:inline distT="0" distB="0" distL="0" distR="0">
            <wp:extent cx="651510" cy="17145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contngencies of $6.8 million. During the nine months ended September 30, 2024, we had cash outlays of $15.1 million related to the Security Incident for ongoing legal fees and the $6.8 million paid during the third quarter of 2024 related to our setlement with the Atorney General of the State of California. For full year 2023, we currently expect pre-tax expenses of approximately $5.0 million to $10.0 million and cash outlays of approximately $8.0 million to $13.0 million for ongoing legal fees related to the Security Incident. Although we carry insurance against certain losses related to the Security Incident, we exceeded the limit of that insurance coverage in the frst quarter of 2022. As a result, we will be responsible for all expenses or other losses (including penaltes, fnes or other judgments) or all types of claims that may arise in connecton with the Security Incident, which could materially and adversely afect our liquidity and results of operatons. (See Note 9 to our unaudited, condensed consolidated fnancial statements in this report.) If any such fnes, penaltes or judgments were great enough that we could not pay them through funds generated from operatng actvites and/or cause a default under the 2024 Credit Facilites, we may be forced to renegotate or obtain a waiver under the 2024 Credit Facilites and/or seek additonal debt or equity fnancing. Such renegotaton or fnancing may not be available on acceptable terms, or at all. In these circumstances, if we were unable to obtain sufcient fnancing, we may not be able to meet our obligatons as they come due.</w:t>
      </w:r>
    </w:p>
    <w:p>
      <w:pPr>
        <w:spacing w:after="0" w:line="17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additon, publicity or developments related to the Security Incident could in the future have a range of other adverse efects on our business or prospects, including causing or contributng to loss of customer confdence, reduced customer demand, reduced customer retenton, strategic growth opportunites, and associated retenton and recruitng difcultes, some or all of which could be material.</w:t>
      </w:r>
    </w:p>
    <w:p>
      <w:pPr>
        <w:spacing w:after="0" w:line="254"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2. UNREGISTERED SALES OF EQUITY SECURITIES AND USE OF PROCEEDS</w:t>
      </w:r>
    </w:p>
    <w:p>
      <w:pPr>
        <w:spacing w:after="0" w:line="267"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Issuer Purchases of Equity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following table provides informaton about shares of common stock acquired or repurchased during the three months ended September 30, 2024 under the stock repurchase program then in efect, as well as common stock withheld by us to satsfy the minimum tax obligatons of employees due upon vestng of restricted stock awards and units.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60" w:type="dxa"/>
            <w:vAlign w:val="bottom"/>
            <w:shd w:val="clear" w:color="auto" w:fill="004054"/>
          </w:tcPr>
          <w:p>
            <w:pPr>
              <w:spacing w:after="0"/>
              <w:rPr>
                <w:sz w:val="16"/>
                <w:szCs w:val="16"/>
                <w:color w:val="auto"/>
              </w:rPr>
            </w:pPr>
          </w:p>
        </w:tc>
        <w:tc>
          <w:tcPr>
            <w:tcW w:w="1360" w:type="dxa"/>
            <w:vAlign w:val="bottom"/>
            <w:shd w:val="clear" w:color="auto" w:fill="004054"/>
          </w:tcPr>
          <w:p>
            <w:pPr>
              <w:spacing w:after="0"/>
              <w:rPr>
                <w:sz w:val="16"/>
                <w:szCs w:val="16"/>
                <w:color w:val="auto"/>
              </w:rPr>
            </w:pPr>
          </w:p>
        </w:tc>
        <w:tc>
          <w:tcPr>
            <w:tcW w:w="120" w:type="dxa"/>
            <w:vAlign w:val="bottom"/>
            <w:shd w:val="clear" w:color="auto" w:fill="004054"/>
          </w:tcPr>
          <w:p>
            <w:pPr>
              <w:spacing w:after="0"/>
              <w:rPr>
                <w:sz w:val="16"/>
                <w:szCs w:val="16"/>
                <w:color w:val="auto"/>
              </w:rPr>
            </w:pPr>
          </w:p>
        </w:tc>
        <w:tc>
          <w:tcPr>
            <w:tcW w:w="480" w:type="dxa"/>
            <w:vAlign w:val="bottom"/>
            <w:shd w:val="clear" w:color="auto" w:fill="004054"/>
          </w:tcPr>
          <w:p>
            <w:pPr>
              <w:spacing w:after="0"/>
              <w:rPr>
                <w:sz w:val="16"/>
                <w:szCs w:val="16"/>
                <w:color w:val="auto"/>
              </w:rPr>
            </w:pPr>
          </w:p>
        </w:tc>
        <w:tc>
          <w:tcPr>
            <w:tcW w:w="88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1360" w:type="dxa"/>
            <w:vAlign w:val="bottom"/>
            <w:shd w:val="clear" w:color="auto" w:fill="004054"/>
          </w:tcPr>
          <w:p>
            <w:pPr>
              <w:spacing w:after="0"/>
              <w:rPr>
                <w:sz w:val="16"/>
                <w:szCs w:val="16"/>
                <w:color w:val="auto"/>
              </w:rPr>
            </w:pPr>
          </w:p>
        </w:tc>
        <w:tc>
          <w:tcPr>
            <w:tcW w:w="12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Approximate</w:t>
            </w:r>
          </w:p>
        </w:tc>
        <w:tc>
          <w:tcPr>
            <w:tcW w:w="20" w:type="dxa"/>
            <w:vAlign w:val="bottom"/>
            <w:shd w:val="clear" w:color="auto" w:fill="004054"/>
          </w:tcPr>
          <w:p>
            <w:pPr>
              <w:spacing w:after="0"/>
              <w:rPr>
                <w:sz w:val="16"/>
                <w:szCs w:val="16"/>
                <w:color w:val="auto"/>
              </w:rPr>
            </w:pPr>
          </w:p>
        </w:tc>
      </w:tr>
      <w:tr>
        <w:trPr>
          <w:trHeight w:val="170"/>
        </w:trPr>
        <w:tc>
          <w:tcPr>
            <w:tcW w:w="5460" w:type="dxa"/>
            <w:vAlign w:val="bottom"/>
            <w:shd w:val="clear" w:color="auto" w:fill="004054"/>
          </w:tcPr>
          <w:p>
            <w:pPr>
              <w:spacing w:after="0"/>
              <w:rPr>
                <w:sz w:val="14"/>
                <w:szCs w:val="14"/>
                <w:color w:val="auto"/>
              </w:rPr>
            </w:pPr>
          </w:p>
        </w:tc>
        <w:tc>
          <w:tcPr>
            <w:tcW w:w="1360" w:type="dxa"/>
            <w:vAlign w:val="bottom"/>
            <w:shd w:val="clear" w:color="auto" w:fill="004054"/>
          </w:tcPr>
          <w:p>
            <w:pPr>
              <w:spacing w:after="0"/>
              <w:rPr>
                <w:sz w:val="14"/>
                <w:szCs w:val="14"/>
                <w:color w:val="auto"/>
              </w:rPr>
            </w:pPr>
          </w:p>
        </w:tc>
        <w:tc>
          <w:tcPr>
            <w:tcW w:w="120" w:type="dxa"/>
            <w:vAlign w:val="bottom"/>
            <w:shd w:val="clear" w:color="auto" w:fill="004054"/>
          </w:tcPr>
          <w:p>
            <w:pPr>
              <w:spacing w:after="0"/>
              <w:rPr>
                <w:sz w:val="14"/>
                <w:szCs w:val="14"/>
                <w:color w:val="auto"/>
              </w:rPr>
            </w:pPr>
          </w:p>
        </w:tc>
        <w:tc>
          <w:tcPr>
            <w:tcW w:w="480" w:type="dxa"/>
            <w:vAlign w:val="bottom"/>
            <w:shd w:val="clear" w:color="auto" w:fill="004054"/>
          </w:tcPr>
          <w:p>
            <w:pPr>
              <w:spacing w:after="0"/>
              <w:rPr>
                <w:sz w:val="14"/>
                <w:szCs w:val="14"/>
                <w:color w:val="auto"/>
              </w:rPr>
            </w:pPr>
          </w:p>
        </w:tc>
        <w:tc>
          <w:tcPr>
            <w:tcW w:w="880" w:type="dxa"/>
            <w:vAlign w:val="bottom"/>
            <w:shd w:val="clear" w:color="auto" w:fill="004054"/>
          </w:tcPr>
          <w:p>
            <w:pPr>
              <w:spacing w:after="0"/>
              <w:rPr>
                <w:sz w:val="14"/>
                <w:szCs w:val="14"/>
                <w:color w:val="auto"/>
              </w:rPr>
            </w:pPr>
          </w:p>
        </w:tc>
        <w:tc>
          <w:tcPr>
            <w:tcW w:w="10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 number</w:t>
            </w:r>
          </w:p>
        </w:tc>
        <w:tc>
          <w:tcPr>
            <w:tcW w:w="12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dollar value</w:t>
            </w:r>
          </w:p>
        </w:tc>
        <w:tc>
          <w:tcPr>
            <w:tcW w:w="20" w:type="dxa"/>
            <w:vAlign w:val="bottom"/>
            <w:shd w:val="clear" w:color="auto" w:fill="004054"/>
          </w:tcPr>
          <w:p>
            <w:pPr>
              <w:spacing w:after="0"/>
              <w:rPr>
                <w:sz w:val="14"/>
                <w:szCs w:val="14"/>
                <w:color w:val="auto"/>
              </w:rPr>
            </w:pPr>
          </w:p>
        </w:tc>
      </w:tr>
      <w:tr>
        <w:trPr>
          <w:trHeight w:val="175"/>
        </w:trPr>
        <w:tc>
          <w:tcPr>
            <w:tcW w:w="546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8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of shares</w:t>
            </w:r>
          </w:p>
        </w:tc>
        <w:tc>
          <w:tcPr>
            <w:tcW w:w="12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of shares</w:t>
            </w:r>
          </w:p>
        </w:tc>
        <w:tc>
          <w:tcPr>
            <w:tcW w:w="20" w:type="dxa"/>
            <w:vAlign w:val="bottom"/>
            <w:shd w:val="clear" w:color="auto" w:fill="004054"/>
          </w:tcPr>
          <w:p>
            <w:pPr>
              <w:spacing w:after="0"/>
              <w:rPr>
                <w:sz w:val="15"/>
                <w:szCs w:val="15"/>
                <w:color w:val="auto"/>
              </w:rPr>
            </w:pPr>
          </w:p>
        </w:tc>
      </w:tr>
      <w:tr>
        <w:trPr>
          <w:trHeight w:val="168"/>
        </w:trPr>
        <w:tc>
          <w:tcPr>
            <w:tcW w:w="5460" w:type="dxa"/>
            <w:vAlign w:val="bottom"/>
            <w:shd w:val="clear" w:color="auto" w:fill="004054"/>
          </w:tcPr>
          <w:p>
            <w:pPr>
              <w:spacing w:after="0"/>
              <w:rPr>
                <w:sz w:val="14"/>
                <w:szCs w:val="14"/>
                <w:color w:val="auto"/>
              </w:rPr>
            </w:pPr>
          </w:p>
        </w:tc>
        <w:tc>
          <w:tcPr>
            <w:tcW w:w="1360" w:type="dxa"/>
            <w:vAlign w:val="bottom"/>
            <w:shd w:val="clear" w:color="auto" w:fill="004054"/>
          </w:tcPr>
          <w:p>
            <w:pPr>
              <w:spacing w:after="0"/>
              <w:rPr>
                <w:sz w:val="14"/>
                <w:szCs w:val="14"/>
                <w:color w:val="auto"/>
              </w:rPr>
            </w:pPr>
          </w:p>
        </w:tc>
        <w:tc>
          <w:tcPr>
            <w:tcW w:w="120" w:type="dxa"/>
            <w:vAlign w:val="bottom"/>
            <w:shd w:val="clear" w:color="auto" w:fill="004054"/>
          </w:tcPr>
          <w:p>
            <w:pPr>
              <w:spacing w:after="0"/>
              <w:rPr>
                <w:sz w:val="14"/>
                <w:szCs w:val="14"/>
                <w:color w:val="auto"/>
              </w:rPr>
            </w:pPr>
          </w:p>
        </w:tc>
        <w:tc>
          <w:tcPr>
            <w:tcW w:w="480" w:type="dxa"/>
            <w:vAlign w:val="bottom"/>
            <w:shd w:val="clear" w:color="auto" w:fill="004054"/>
          </w:tcPr>
          <w:p>
            <w:pPr>
              <w:spacing w:after="0"/>
              <w:rPr>
                <w:sz w:val="14"/>
                <w:szCs w:val="14"/>
                <w:color w:val="auto"/>
              </w:rPr>
            </w:pPr>
          </w:p>
        </w:tc>
        <w:tc>
          <w:tcPr>
            <w:tcW w:w="880" w:type="dxa"/>
            <w:vAlign w:val="bottom"/>
            <w:shd w:val="clear" w:color="auto" w:fill="004054"/>
          </w:tcPr>
          <w:p>
            <w:pPr>
              <w:spacing w:after="0"/>
              <w:rPr>
                <w:sz w:val="14"/>
                <w:szCs w:val="14"/>
                <w:color w:val="auto"/>
              </w:rPr>
            </w:pPr>
          </w:p>
        </w:tc>
        <w:tc>
          <w:tcPr>
            <w:tcW w:w="10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purchased as</w:t>
            </w:r>
          </w:p>
        </w:tc>
        <w:tc>
          <w:tcPr>
            <w:tcW w:w="12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that may yet</w:t>
            </w:r>
          </w:p>
        </w:tc>
        <w:tc>
          <w:tcPr>
            <w:tcW w:w="20" w:type="dxa"/>
            <w:vAlign w:val="bottom"/>
            <w:shd w:val="clear" w:color="auto" w:fill="004054"/>
          </w:tcPr>
          <w:p>
            <w:pPr>
              <w:spacing w:after="0"/>
              <w:rPr>
                <w:sz w:val="14"/>
                <w:szCs w:val="14"/>
                <w:color w:val="auto"/>
              </w:rPr>
            </w:pPr>
          </w:p>
        </w:tc>
      </w:tr>
      <w:tr>
        <w:trPr>
          <w:trHeight w:val="175"/>
        </w:trPr>
        <w:tc>
          <w:tcPr>
            <w:tcW w:w="546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Average</w:t>
            </w:r>
          </w:p>
        </w:tc>
        <w:tc>
          <w:tcPr>
            <w:tcW w:w="10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part of</w:t>
            </w:r>
          </w:p>
        </w:tc>
        <w:tc>
          <w:tcPr>
            <w:tcW w:w="12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be purchased</w:t>
            </w:r>
          </w:p>
        </w:tc>
        <w:tc>
          <w:tcPr>
            <w:tcW w:w="20" w:type="dxa"/>
            <w:vAlign w:val="bottom"/>
            <w:shd w:val="clear" w:color="auto" w:fill="004054"/>
          </w:tcPr>
          <w:p>
            <w:pPr>
              <w:spacing w:after="0"/>
              <w:rPr>
                <w:sz w:val="15"/>
                <w:szCs w:val="15"/>
                <w:color w:val="auto"/>
              </w:rPr>
            </w:pPr>
          </w:p>
        </w:tc>
      </w:tr>
      <w:tr>
        <w:trPr>
          <w:trHeight w:val="170"/>
        </w:trPr>
        <w:tc>
          <w:tcPr>
            <w:tcW w:w="546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p>
        </w:tc>
        <w:tc>
          <w:tcPr>
            <w:tcW w:w="120" w:type="dxa"/>
            <w:vAlign w:val="bottom"/>
            <w:shd w:val="clear" w:color="auto" w:fill="004054"/>
          </w:tcPr>
          <w:p>
            <w:pPr>
              <w:spacing w:after="0"/>
              <w:rPr>
                <w:sz w:val="14"/>
                <w:szCs w:val="14"/>
                <w:color w:val="auto"/>
              </w:rPr>
            </w:pPr>
          </w:p>
        </w:tc>
        <w:tc>
          <w:tcPr>
            <w:tcW w:w="480" w:type="dxa"/>
            <w:vAlign w:val="bottom"/>
            <w:shd w:val="clear" w:color="auto" w:fill="004054"/>
          </w:tcPr>
          <w:p>
            <w:pPr>
              <w:spacing w:after="0"/>
              <w:rPr>
                <w:sz w:val="14"/>
                <w:szCs w:val="14"/>
                <w:color w:val="auto"/>
              </w:rPr>
            </w:pPr>
          </w:p>
        </w:tc>
        <w:tc>
          <w:tcPr>
            <w:tcW w:w="8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price</w:t>
            </w:r>
          </w:p>
        </w:tc>
        <w:tc>
          <w:tcPr>
            <w:tcW w:w="10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publicly</w:t>
            </w:r>
          </w:p>
        </w:tc>
        <w:tc>
          <w:tcPr>
            <w:tcW w:w="12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under the</w:t>
            </w:r>
          </w:p>
        </w:tc>
        <w:tc>
          <w:tcPr>
            <w:tcW w:w="20" w:type="dxa"/>
            <w:vAlign w:val="bottom"/>
            <w:shd w:val="clear" w:color="auto" w:fill="004054"/>
          </w:tcPr>
          <w:p>
            <w:pPr>
              <w:spacing w:after="0"/>
              <w:rPr>
                <w:sz w:val="14"/>
                <w:szCs w:val="14"/>
                <w:color w:val="auto"/>
              </w:rPr>
            </w:pPr>
          </w:p>
        </w:tc>
      </w:tr>
      <w:tr>
        <w:trPr>
          <w:trHeight w:val="176"/>
        </w:trPr>
        <w:tc>
          <w:tcPr>
            <w:tcW w:w="546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number</w:t>
            </w:r>
          </w:p>
        </w:tc>
        <w:tc>
          <w:tcPr>
            <w:tcW w:w="1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paid</w:t>
            </w:r>
          </w:p>
        </w:tc>
        <w:tc>
          <w:tcPr>
            <w:tcW w:w="10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announced</w:t>
            </w:r>
          </w:p>
        </w:tc>
        <w:tc>
          <w:tcPr>
            <w:tcW w:w="12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plans or</w:t>
            </w:r>
          </w:p>
        </w:tc>
        <w:tc>
          <w:tcPr>
            <w:tcW w:w="20" w:type="dxa"/>
            <w:vAlign w:val="bottom"/>
            <w:shd w:val="clear" w:color="auto" w:fill="004054"/>
          </w:tcPr>
          <w:p>
            <w:pPr>
              <w:spacing w:after="0"/>
              <w:rPr>
                <w:sz w:val="15"/>
                <w:szCs w:val="15"/>
                <w:color w:val="auto"/>
              </w:rPr>
            </w:pPr>
          </w:p>
        </w:tc>
      </w:tr>
      <w:tr>
        <w:trPr>
          <w:trHeight w:val="168"/>
        </w:trPr>
        <w:tc>
          <w:tcPr>
            <w:tcW w:w="546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of shares</w:t>
            </w:r>
          </w:p>
        </w:tc>
        <w:tc>
          <w:tcPr>
            <w:tcW w:w="120" w:type="dxa"/>
            <w:vAlign w:val="bottom"/>
            <w:shd w:val="clear" w:color="auto" w:fill="004054"/>
          </w:tcPr>
          <w:p>
            <w:pPr>
              <w:spacing w:after="0"/>
              <w:rPr>
                <w:sz w:val="14"/>
                <w:szCs w:val="14"/>
                <w:color w:val="auto"/>
              </w:rPr>
            </w:pPr>
          </w:p>
        </w:tc>
        <w:tc>
          <w:tcPr>
            <w:tcW w:w="480" w:type="dxa"/>
            <w:vAlign w:val="bottom"/>
            <w:shd w:val="clear" w:color="auto" w:fill="004054"/>
          </w:tcPr>
          <w:p>
            <w:pPr>
              <w:spacing w:after="0"/>
              <w:rPr>
                <w:sz w:val="14"/>
                <w:szCs w:val="14"/>
                <w:color w:val="auto"/>
              </w:rPr>
            </w:pPr>
          </w:p>
        </w:tc>
        <w:tc>
          <w:tcPr>
            <w:tcW w:w="88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per</w:t>
            </w:r>
          </w:p>
        </w:tc>
        <w:tc>
          <w:tcPr>
            <w:tcW w:w="10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plans or</w:t>
            </w:r>
          </w:p>
        </w:tc>
        <w:tc>
          <w:tcPr>
            <w:tcW w:w="12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programs</w:t>
            </w:r>
          </w:p>
        </w:tc>
        <w:tc>
          <w:tcPr>
            <w:tcW w:w="20" w:type="dxa"/>
            <w:vAlign w:val="bottom"/>
            <w:shd w:val="clear" w:color="auto" w:fill="004054"/>
          </w:tcPr>
          <w:p>
            <w:pPr>
              <w:spacing w:after="0"/>
              <w:rPr>
                <w:sz w:val="14"/>
                <w:szCs w:val="14"/>
                <w:color w:val="auto"/>
              </w:rPr>
            </w:pPr>
          </w:p>
        </w:tc>
      </w:tr>
      <w:tr>
        <w:trPr>
          <w:trHeight w:val="224"/>
        </w:trPr>
        <w:tc>
          <w:tcPr>
            <w:tcW w:w="5460" w:type="dxa"/>
            <w:vAlign w:val="bottom"/>
            <w:tcBorders>
              <w:bottom w:val="single" w:sz="8" w:color="004054"/>
            </w:tcBorders>
            <w:shd w:val="clear" w:color="auto" w:fill="004054"/>
          </w:tcPr>
          <w:p>
            <w:pPr>
              <w:ind w:left="40"/>
              <w:spacing w:after="0"/>
              <w:rPr>
                <w:sz w:val="20"/>
                <w:szCs w:val="20"/>
                <w:color w:val="auto"/>
              </w:rPr>
            </w:pPr>
            <w:r>
              <w:rPr>
                <w:rFonts w:ascii="Calibri" w:cs="Calibri" w:eastAsia="Calibri" w:hAnsi="Calibri"/>
                <w:sz w:val="14"/>
                <w:szCs w:val="14"/>
                <w:b w:val="1"/>
                <w:bCs w:val="1"/>
                <w:color w:val="FFFFFF"/>
              </w:rPr>
              <w:t>Period</w:t>
            </w:r>
          </w:p>
        </w:tc>
        <w:tc>
          <w:tcPr>
            <w:tcW w:w="13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purchased</w:t>
            </w:r>
            <w:r>
              <w:rPr>
                <w:rFonts w:ascii="Calibri" w:cs="Calibri" w:eastAsia="Calibri" w:hAnsi="Calibri"/>
                <w:sz w:val="18"/>
                <w:szCs w:val="18"/>
                <w:b w:val="1"/>
                <w:bCs w:val="1"/>
                <w:color w:val="FFFFFF"/>
                <w:vertAlign w:val="superscript"/>
              </w:rPr>
              <w:t>(1)</w:t>
            </w:r>
          </w:p>
        </w:tc>
        <w:tc>
          <w:tcPr>
            <w:tcW w:w="120" w:type="dxa"/>
            <w:vAlign w:val="bottom"/>
            <w:tcBorders>
              <w:bottom w:val="single" w:sz="8" w:color="004054"/>
            </w:tcBorders>
            <w:shd w:val="clear" w:color="auto" w:fill="004054"/>
          </w:tcPr>
          <w:p>
            <w:pPr>
              <w:spacing w:after="0"/>
              <w:rPr>
                <w:sz w:val="19"/>
                <w:szCs w:val="19"/>
                <w:color w:val="auto"/>
              </w:rPr>
            </w:pPr>
          </w:p>
        </w:tc>
        <w:tc>
          <w:tcPr>
            <w:tcW w:w="480" w:type="dxa"/>
            <w:vAlign w:val="bottom"/>
            <w:tcBorders>
              <w:bottom w:val="single" w:sz="8" w:color="004054"/>
            </w:tcBorders>
            <w:shd w:val="clear" w:color="auto" w:fill="004054"/>
          </w:tcPr>
          <w:p>
            <w:pPr>
              <w:spacing w:after="0"/>
              <w:rPr>
                <w:sz w:val="19"/>
                <w:szCs w:val="19"/>
                <w:color w:val="auto"/>
              </w:rPr>
            </w:pPr>
          </w:p>
        </w:tc>
        <w:tc>
          <w:tcPr>
            <w:tcW w:w="8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share</w:t>
            </w:r>
          </w:p>
        </w:tc>
        <w:tc>
          <w:tcPr>
            <w:tcW w:w="100" w:type="dxa"/>
            <w:vAlign w:val="bottom"/>
            <w:tcBorders>
              <w:bottom w:val="single" w:sz="8" w:color="004054"/>
            </w:tcBorders>
            <w:shd w:val="clear" w:color="auto" w:fill="004054"/>
          </w:tcPr>
          <w:p>
            <w:pPr>
              <w:spacing w:after="0"/>
              <w:rPr>
                <w:sz w:val="19"/>
                <w:szCs w:val="19"/>
                <w:color w:val="auto"/>
              </w:rPr>
            </w:pPr>
          </w:p>
        </w:tc>
        <w:tc>
          <w:tcPr>
            <w:tcW w:w="13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programs</w:t>
            </w:r>
          </w:p>
        </w:tc>
        <w:tc>
          <w:tcPr>
            <w:tcW w:w="120" w:type="dxa"/>
            <w:vAlign w:val="bottom"/>
            <w:tcBorders>
              <w:bottom w:val="single" w:sz="8" w:color="004054"/>
            </w:tcBorders>
            <w:shd w:val="clear" w:color="auto" w:fill="004054"/>
          </w:tcPr>
          <w:p>
            <w:pPr>
              <w:spacing w:after="0"/>
              <w:rPr>
                <w:sz w:val="19"/>
                <w:szCs w:val="19"/>
                <w:color w:val="auto"/>
              </w:rPr>
            </w:pPr>
          </w:p>
        </w:tc>
        <w:tc>
          <w:tcPr>
            <w:tcW w:w="240" w:type="dxa"/>
            <w:vAlign w:val="bottom"/>
            <w:tcBorders>
              <w:bottom w:val="single" w:sz="8" w:color="004054"/>
            </w:tcBorders>
            <w:shd w:val="clear" w:color="auto" w:fill="004054"/>
          </w:tcPr>
          <w:p>
            <w:pPr>
              <w:spacing w:after="0"/>
              <w:rPr>
                <w:sz w:val="19"/>
                <w:szCs w:val="19"/>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 thousands)</w:t>
            </w:r>
            <w:r>
              <w:rPr>
                <w:rFonts w:ascii="Calibri" w:cs="Calibri" w:eastAsia="Calibri" w:hAnsi="Calibri"/>
                <w:sz w:val="18"/>
                <w:szCs w:val="18"/>
                <w:b w:val="1"/>
                <w:bCs w:val="1"/>
                <w:color w:val="FFFFFF"/>
                <w:vertAlign w:val="superscript"/>
              </w:rPr>
              <w:t>(2)</w:t>
            </w:r>
          </w:p>
        </w:tc>
        <w:tc>
          <w:tcPr>
            <w:tcW w:w="20" w:type="dxa"/>
            <w:vAlign w:val="bottom"/>
            <w:tcBorders>
              <w:bottom w:val="single" w:sz="8" w:color="004054"/>
            </w:tcBorders>
            <w:shd w:val="clear" w:color="auto" w:fill="004054"/>
          </w:tcPr>
          <w:p>
            <w:pPr>
              <w:spacing w:after="0"/>
              <w:rPr>
                <w:sz w:val="19"/>
                <w:szCs w:val="19"/>
                <w:color w:val="auto"/>
              </w:rPr>
            </w:pPr>
          </w:p>
        </w:tc>
      </w:tr>
      <w:tr>
        <w:trPr>
          <w:trHeight w:val="250"/>
        </w:trPr>
        <w:tc>
          <w:tcPr>
            <w:tcW w:w="54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Beginning balance, July 1, 2024</w:t>
            </w:r>
          </w:p>
        </w:tc>
        <w:tc>
          <w:tcPr>
            <w:tcW w:w="13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480" w:type="dxa"/>
            <w:vAlign w:val="bottom"/>
            <w:tcBorders>
              <w:bottom w:val="single" w:sz="8" w:color="EBFBFF"/>
            </w:tcBorders>
            <w:shd w:val="clear" w:color="auto" w:fill="EBFBFF"/>
          </w:tcPr>
          <w:p>
            <w:pPr>
              <w:spacing w:after="0"/>
              <w:rPr>
                <w:sz w:val="21"/>
                <w:szCs w:val="21"/>
                <w:color w:val="auto"/>
              </w:rPr>
            </w:pPr>
          </w:p>
        </w:tc>
        <w:tc>
          <w:tcPr>
            <w:tcW w:w="88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jc w:val="right"/>
              <w:ind w:right="50"/>
              <w:spacing w:after="0"/>
              <w:rPr>
                <w:sz w:val="20"/>
                <w:szCs w:val="20"/>
                <w:color w:val="auto"/>
              </w:rPr>
            </w:pPr>
            <w:r>
              <w:rPr>
                <w:rFonts w:ascii="Calibri" w:cs="Calibri" w:eastAsia="Calibri" w:hAnsi="Calibri"/>
                <w:sz w:val="18"/>
                <w:szCs w:val="18"/>
                <w:color w:val="51555C"/>
                <w:w w:val="87"/>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259,716</w:t>
            </w:r>
          </w:p>
        </w:tc>
        <w:tc>
          <w:tcPr>
            <w:tcW w:w="20" w:type="dxa"/>
            <w:vAlign w:val="bottom"/>
          </w:tcPr>
          <w:p>
            <w:pPr>
              <w:spacing w:after="0"/>
              <w:rPr>
                <w:sz w:val="21"/>
                <w:szCs w:val="21"/>
                <w:color w:val="auto"/>
              </w:rPr>
            </w:pPr>
          </w:p>
        </w:tc>
      </w:tr>
      <w:tr>
        <w:trPr>
          <w:trHeight w:val="220"/>
        </w:trPr>
        <w:tc>
          <w:tcPr>
            <w:tcW w:w="5460" w:type="dxa"/>
            <w:vAlign w:val="bottom"/>
          </w:tcPr>
          <w:p>
            <w:pPr>
              <w:ind w:left="20"/>
              <w:spacing w:after="0"/>
              <w:rPr>
                <w:sz w:val="20"/>
                <w:szCs w:val="20"/>
                <w:color w:val="auto"/>
              </w:rPr>
            </w:pPr>
            <w:r>
              <w:rPr>
                <w:rFonts w:ascii="Calibri" w:cs="Calibri" w:eastAsia="Calibri" w:hAnsi="Calibri"/>
                <w:sz w:val="18"/>
                <w:szCs w:val="18"/>
                <w:color w:val="51555C"/>
              </w:rPr>
              <w:t>July 1, 2024 through July 31, 2024</w:t>
            </w:r>
          </w:p>
        </w:tc>
        <w:tc>
          <w:tcPr>
            <w:tcW w:w="1480" w:type="dxa"/>
            <w:vAlign w:val="bottom"/>
            <w:gridSpan w:val="2"/>
          </w:tcPr>
          <w:p>
            <w:pPr>
              <w:jc w:val="right"/>
              <w:ind w:right="180"/>
              <w:spacing w:after="0"/>
              <w:rPr>
                <w:sz w:val="20"/>
                <w:szCs w:val="20"/>
                <w:color w:val="auto"/>
              </w:rPr>
            </w:pPr>
            <w:r>
              <w:rPr>
                <w:rFonts w:ascii="Calibri" w:cs="Calibri" w:eastAsia="Calibri" w:hAnsi="Calibri"/>
                <w:sz w:val="18"/>
                <w:szCs w:val="18"/>
                <w:color w:val="51555C"/>
              </w:rPr>
              <w:t>—</w:t>
            </w:r>
          </w:p>
        </w:tc>
        <w:tc>
          <w:tcPr>
            <w:tcW w:w="480" w:type="dxa"/>
            <w:vAlign w:val="bottom"/>
          </w:tcPr>
          <w:p>
            <w:pPr>
              <w:jc w:val="right"/>
              <w:ind w:right="290"/>
              <w:spacing w:after="0"/>
              <w:rPr>
                <w:sz w:val="20"/>
                <w:szCs w:val="20"/>
                <w:color w:val="auto"/>
              </w:rPr>
            </w:pPr>
            <w:r>
              <w:rPr>
                <w:rFonts w:ascii="Calibri" w:cs="Calibri" w:eastAsia="Calibri" w:hAnsi="Calibri"/>
                <w:sz w:val="18"/>
                <w:szCs w:val="18"/>
                <w:color w:val="51555C"/>
                <w:w w:val="87"/>
              </w:rPr>
              <w:t>$</w:t>
            </w:r>
          </w:p>
        </w:tc>
        <w:tc>
          <w:tcPr>
            <w:tcW w:w="980" w:type="dxa"/>
            <w:vAlign w:val="bottom"/>
            <w:gridSpan w:val="2"/>
          </w:tcPr>
          <w:p>
            <w:pPr>
              <w:jc w:val="right"/>
              <w:ind w:right="160"/>
              <w:spacing w:after="0"/>
              <w:rPr>
                <w:sz w:val="20"/>
                <w:szCs w:val="20"/>
                <w:color w:val="auto"/>
              </w:rPr>
            </w:pPr>
            <w:r>
              <w:rPr>
                <w:rFonts w:ascii="Calibri" w:cs="Calibri" w:eastAsia="Calibri" w:hAnsi="Calibri"/>
                <w:sz w:val="18"/>
                <w:szCs w:val="18"/>
                <w:color w:val="51555C"/>
              </w:rPr>
              <w:t>—</w:t>
            </w:r>
          </w:p>
        </w:tc>
        <w:tc>
          <w:tcPr>
            <w:tcW w:w="1480" w:type="dxa"/>
            <w:vAlign w:val="bottom"/>
            <w:gridSpan w:val="2"/>
          </w:tcPr>
          <w:p>
            <w:pPr>
              <w:jc w:val="right"/>
              <w:ind w:right="180"/>
              <w:spacing w:after="0"/>
              <w:rPr>
                <w:sz w:val="20"/>
                <w:szCs w:val="20"/>
                <w:color w:val="auto"/>
              </w:rPr>
            </w:pPr>
            <w:r>
              <w:rPr>
                <w:rFonts w:ascii="Calibri" w:cs="Calibri" w:eastAsia="Calibri" w:hAnsi="Calibri"/>
                <w:sz w:val="18"/>
                <w:szCs w:val="18"/>
                <w:color w:val="51555C"/>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800,000</w:t>
            </w:r>
          </w:p>
        </w:tc>
        <w:tc>
          <w:tcPr>
            <w:tcW w:w="20" w:type="dxa"/>
            <w:vAlign w:val="bottom"/>
          </w:tcPr>
          <w:p>
            <w:pPr>
              <w:spacing w:after="0"/>
              <w:rPr>
                <w:sz w:val="19"/>
                <w:szCs w:val="19"/>
                <w:color w:val="auto"/>
              </w:rPr>
            </w:pPr>
          </w:p>
        </w:tc>
      </w:tr>
      <w:tr>
        <w:trPr>
          <w:trHeight w:val="50"/>
        </w:trPr>
        <w:tc>
          <w:tcPr>
            <w:tcW w:w="54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August 1, 2024 through August 31, 2024</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648,013</w:t>
            </w:r>
          </w:p>
        </w:tc>
        <w:tc>
          <w:tcPr>
            <w:tcW w:w="120" w:type="dxa"/>
            <w:vAlign w:val="bottom"/>
            <w:tcBorders>
              <w:bottom w:val="single" w:sz="8" w:color="EBFBFF"/>
            </w:tcBorders>
            <w:shd w:val="clear" w:color="auto" w:fill="EBFBFF"/>
          </w:tcPr>
          <w:p>
            <w:pPr>
              <w:spacing w:after="0"/>
              <w:rPr>
                <w:sz w:val="21"/>
                <w:szCs w:val="21"/>
                <w:color w:val="auto"/>
              </w:rPr>
            </w:pPr>
          </w:p>
        </w:tc>
        <w:tc>
          <w:tcPr>
            <w:tcW w:w="480" w:type="dxa"/>
            <w:vAlign w:val="bottom"/>
            <w:tcBorders>
              <w:bottom w:val="single" w:sz="8" w:color="EBFBFF"/>
            </w:tcBorders>
            <w:shd w:val="clear" w:color="auto" w:fill="EBFBFF"/>
          </w:tcPr>
          <w:p>
            <w:pPr>
              <w:spacing w:after="0"/>
              <w:rPr>
                <w:sz w:val="21"/>
                <w:szCs w:val="21"/>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76.16</w:t>
            </w:r>
          </w:p>
        </w:tc>
        <w:tc>
          <w:tcPr>
            <w:tcW w:w="10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628,602</w:t>
            </w:r>
          </w:p>
        </w:tc>
        <w:tc>
          <w:tcPr>
            <w:tcW w:w="12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752,116</w:t>
            </w:r>
          </w:p>
        </w:tc>
        <w:tc>
          <w:tcPr>
            <w:tcW w:w="20" w:type="dxa"/>
            <w:vAlign w:val="bottom"/>
          </w:tcPr>
          <w:p>
            <w:pPr>
              <w:spacing w:after="0"/>
              <w:rPr>
                <w:sz w:val="21"/>
                <w:szCs w:val="21"/>
                <w:color w:val="auto"/>
              </w:rPr>
            </w:pPr>
          </w:p>
        </w:tc>
      </w:tr>
      <w:tr>
        <w:trPr>
          <w:trHeight w:val="220"/>
        </w:trPr>
        <w:tc>
          <w:tcPr>
            <w:tcW w:w="5460" w:type="dxa"/>
            <w:vAlign w:val="bottom"/>
          </w:tcPr>
          <w:p>
            <w:pPr>
              <w:ind w:left="20"/>
              <w:spacing w:after="0"/>
              <w:rPr>
                <w:sz w:val="20"/>
                <w:szCs w:val="20"/>
                <w:color w:val="auto"/>
              </w:rPr>
            </w:pPr>
            <w:r>
              <w:rPr>
                <w:rFonts w:ascii="Calibri" w:cs="Calibri" w:eastAsia="Calibri" w:hAnsi="Calibri"/>
                <w:sz w:val="18"/>
                <w:szCs w:val="18"/>
                <w:color w:val="51555C"/>
              </w:rPr>
              <w:t>September 1, 2024 through September 30, 2024</w:t>
            </w:r>
          </w:p>
        </w:tc>
        <w:tc>
          <w:tcPr>
            <w:tcW w:w="1360" w:type="dxa"/>
            <w:vAlign w:val="bottom"/>
          </w:tcPr>
          <w:p>
            <w:pPr>
              <w:jc w:val="right"/>
              <w:spacing w:after="0"/>
              <w:rPr>
                <w:sz w:val="20"/>
                <w:szCs w:val="20"/>
                <w:color w:val="auto"/>
              </w:rPr>
            </w:pPr>
            <w:r>
              <w:rPr>
                <w:rFonts w:ascii="Calibri" w:cs="Calibri" w:eastAsia="Calibri" w:hAnsi="Calibri"/>
                <w:sz w:val="18"/>
                <w:szCs w:val="18"/>
                <w:color w:val="51555C"/>
              </w:rPr>
              <w:t>179,172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51555C"/>
              </w:rPr>
              <w:t>83.31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color w:val="51555C"/>
              </w:rPr>
              <w:t>179,172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737,188</w:t>
            </w:r>
          </w:p>
        </w:tc>
        <w:tc>
          <w:tcPr>
            <w:tcW w:w="20" w:type="dxa"/>
            <w:vAlign w:val="bottom"/>
          </w:tcPr>
          <w:p>
            <w:pPr>
              <w:spacing w:after="0"/>
              <w:rPr>
                <w:sz w:val="19"/>
                <w:szCs w:val="19"/>
                <w:color w:val="auto"/>
              </w:rPr>
            </w:pPr>
          </w:p>
        </w:tc>
      </w:tr>
      <w:tr>
        <w:trPr>
          <w:trHeight w:val="50"/>
        </w:trPr>
        <w:tc>
          <w:tcPr>
            <w:tcW w:w="5460" w:type="dxa"/>
            <w:vAlign w:val="bottom"/>
            <w:tcBorders>
              <w:bottom w:val="single" w:sz="8" w:color="EBFBFF"/>
            </w:tcBorders>
          </w:tcPr>
          <w:p>
            <w:pPr>
              <w:spacing w:after="0"/>
              <w:rPr>
                <w:sz w:val="4"/>
                <w:szCs w:val="4"/>
                <w:color w:val="auto"/>
              </w:rPr>
            </w:pPr>
          </w:p>
        </w:tc>
        <w:tc>
          <w:tcPr>
            <w:tcW w:w="136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480" w:type="dxa"/>
            <w:vAlign w:val="bottom"/>
            <w:tcBorders>
              <w:bottom w:val="single" w:sz="8" w:color="51555C"/>
            </w:tcBorders>
          </w:tcPr>
          <w:p>
            <w:pPr>
              <w:spacing w:after="0"/>
              <w:rPr>
                <w:sz w:val="4"/>
                <w:szCs w:val="4"/>
                <w:color w:val="auto"/>
              </w:rPr>
            </w:pPr>
          </w:p>
        </w:tc>
        <w:tc>
          <w:tcPr>
            <w:tcW w:w="88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136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12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4"/>
        </w:trPr>
        <w:tc>
          <w:tcPr>
            <w:tcW w:w="546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b w:val="1"/>
                <w:bCs w:val="1"/>
                <w:color w:val="51555C"/>
              </w:rPr>
              <w:t>Total</w:t>
            </w:r>
          </w:p>
        </w:tc>
        <w:tc>
          <w:tcPr>
            <w:tcW w:w="13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827,185</w:t>
            </w:r>
          </w:p>
        </w:tc>
        <w:tc>
          <w:tcPr>
            <w:tcW w:w="120" w:type="dxa"/>
            <w:vAlign w:val="bottom"/>
            <w:tcBorders>
              <w:bottom w:val="single" w:sz="8" w:color="EBFBFF"/>
            </w:tcBorders>
            <w:shd w:val="clear" w:color="auto" w:fill="EBFBFF"/>
          </w:tcPr>
          <w:p>
            <w:pPr>
              <w:spacing w:after="0"/>
              <w:rPr>
                <w:sz w:val="21"/>
                <w:szCs w:val="21"/>
                <w:color w:val="auto"/>
              </w:rPr>
            </w:pPr>
          </w:p>
        </w:tc>
        <w:tc>
          <w:tcPr>
            <w:tcW w:w="480" w:type="dxa"/>
            <w:vAlign w:val="bottom"/>
            <w:tcBorders>
              <w:bottom w:val="single" w:sz="8" w:color="EBFBFF"/>
            </w:tcBorders>
            <w:shd w:val="clear" w:color="auto" w:fill="EBFBFF"/>
          </w:tcPr>
          <w:p>
            <w:pPr>
              <w:jc w:val="right"/>
              <w:ind w:right="290"/>
              <w:spacing w:after="0" w:line="213" w:lineRule="exact"/>
              <w:rPr>
                <w:sz w:val="20"/>
                <w:szCs w:val="20"/>
                <w:color w:val="auto"/>
              </w:rPr>
            </w:pPr>
            <w:r>
              <w:rPr>
                <w:rFonts w:ascii="Calibri" w:cs="Calibri" w:eastAsia="Calibri" w:hAnsi="Calibri"/>
                <w:sz w:val="18"/>
                <w:szCs w:val="18"/>
                <w:color w:val="51555C"/>
                <w:w w:val="87"/>
              </w:rPr>
              <w:t>$</w:t>
            </w:r>
          </w:p>
        </w:tc>
        <w:tc>
          <w:tcPr>
            <w:tcW w:w="8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77.71</w:t>
            </w:r>
          </w:p>
        </w:tc>
        <w:tc>
          <w:tcPr>
            <w:tcW w:w="10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807,774</w:t>
            </w:r>
          </w:p>
        </w:tc>
        <w:tc>
          <w:tcPr>
            <w:tcW w:w="12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jc w:val="right"/>
              <w:ind w:right="50"/>
              <w:spacing w:after="0" w:line="213" w:lineRule="exact"/>
              <w:rPr>
                <w:sz w:val="20"/>
                <w:szCs w:val="20"/>
                <w:color w:val="auto"/>
              </w:rPr>
            </w:pPr>
            <w:r>
              <w:rPr>
                <w:rFonts w:ascii="Calibri" w:cs="Calibri" w:eastAsia="Calibri" w:hAnsi="Calibri"/>
                <w:sz w:val="18"/>
                <w:szCs w:val="18"/>
                <w:color w:val="51555C"/>
                <w:w w:val="87"/>
              </w:rPr>
              <w:t>$</w:t>
            </w:r>
          </w:p>
        </w:tc>
        <w:tc>
          <w:tcPr>
            <w:tcW w:w="11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737,188</w:t>
            </w:r>
          </w:p>
        </w:tc>
        <w:tc>
          <w:tcPr>
            <w:tcW w:w="20" w:type="dxa"/>
            <w:vAlign w:val="bottom"/>
          </w:tcPr>
          <w:p>
            <w:pPr>
              <w:spacing w:after="0"/>
              <w:rPr>
                <w:sz w:val="21"/>
                <w:szCs w:val="21"/>
                <w:color w:val="auto"/>
              </w:rPr>
            </w:pPr>
          </w:p>
        </w:tc>
      </w:tr>
      <w:tr>
        <w:trPr>
          <w:trHeight w:val="20"/>
        </w:trPr>
        <w:tc>
          <w:tcPr>
            <w:tcW w:w="546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88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20" w:hanging="332"/>
        <w:spacing w:after="0" w:line="245" w:lineRule="auto"/>
        <w:tabs>
          <w:tab w:leader="none" w:pos="338" w:val="left"/>
        </w:tabs>
        <w:numPr>
          <w:ilvl w:val="0"/>
          <w:numId w:val="36"/>
        </w:numPr>
        <w:rPr>
          <w:rFonts w:ascii="Calibri" w:cs="Calibri" w:eastAsia="Calibri" w:hAnsi="Calibri"/>
          <w:sz w:val="14"/>
          <w:szCs w:val="14"/>
          <w:color w:val="51555C"/>
        </w:rPr>
      </w:pPr>
      <w:r>
        <w:rPr>
          <w:rFonts w:ascii="Calibri" w:cs="Calibri" w:eastAsia="Calibri" w:hAnsi="Calibri"/>
          <w:sz w:val="14"/>
          <w:szCs w:val="14"/>
          <w:color w:val="51555C"/>
        </w:rPr>
        <w:t>Includes 19,411 shares in August withheld by us to satsfy the minimum tax obligatons of employees due upon vestng of restricted stock awards and units. The level of this acquisiton actvity varies from period to period based upon the tming of award grants and vestng.</w:t>
      </w:r>
    </w:p>
    <w:p>
      <w:pPr>
        <w:spacing w:after="0" w:line="2" w:lineRule="exact"/>
        <w:rPr>
          <w:rFonts w:ascii="Calibri" w:cs="Calibri" w:eastAsia="Calibri" w:hAnsi="Calibri"/>
          <w:sz w:val="14"/>
          <w:szCs w:val="14"/>
          <w:color w:val="51555C"/>
        </w:rPr>
      </w:pPr>
    </w:p>
    <w:p>
      <w:pPr>
        <w:ind w:left="340" w:right="20" w:hanging="332"/>
        <w:spacing w:after="0" w:line="233" w:lineRule="auto"/>
        <w:tabs>
          <w:tab w:leader="none" w:pos="338" w:val="left"/>
        </w:tabs>
        <w:numPr>
          <w:ilvl w:val="0"/>
          <w:numId w:val="36"/>
        </w:numPr>
        <w:rPr>
          <w:rFonts w:ascii="Calibri" w:cs="Calibri" w:eastAsia="Calibri" w:hAnsi="Calibri"/>
          <w:sz w:val="14"/>
          <w:szCs w:val="14"/>
          <w:color w:val="51555C"/>
        </w:rPr>
      </w:pPr>
      <w:r>
        <w:rPr>
          <w:rFonts w:ascii="Calibri" w:cs="Calibri" w:eastAsia="Calibri" w:hAnsi="Calibri"/>
          <w:sz w:val="14"/>
          <w:szCs w:val="14"/>
          <w:color w:val="51555C"/>
        </w:rPr>
        <w:t>In July 2024, our Board of Directors reauthorized, expanded and replenished our stock repurchase program by raising the total capacity under the program from $500.0 million to $800.0 million available for repurchases. The program does not have an expiraton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244475</wp:posOffset>
            </wp:positionV>
            <wp:extent cx="659765"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53</w:t>
            </w:r>
          </w:p>
        </w:tc>
      </w:tr>
      <w:tr>
        <w:trPr>
          <w:trHeight w:val="364"/>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5. OTHER INFORMATION</w:t>
      </w:r>
    </w:p>
    <w:p>
      <w:pPr>
        <w:spacing w:after="0" w:line="269"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Trading Arrangements Adopted or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The following table provides informaton about trading arrangements adopted or terminated by certain of our ofcers and directors during the three months ended September 30,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30" w:type="dxa"/>
            <w:vAlign w:val="bottom"/>
            <w:shd w:val="clear" w:color="auto" w:fill="004054"/>
          </w:tcPr>
          <w:p>
            <w:pPr>
              <w:spacing w:after="0"/>
              <w:rPr>
                <w:sz w:val="15"/>
                <w:szCs w:val="15"/>
                <w:color w:val="auto"/>
              </w:rPr>
            </w:pPr>
          </w:p>
        </w:tc>
        <w:tc>
          <w:tcPr>
            <w:tcW w:w="1550" w:type="dxa"/>
            <w:vAlign w:val="bottom"/>
            <w:shd w:val="clear" w:color="auto" w:fill="004054"/>
          </w:tcPr>
          <w:p>
            <w:pPr>
              <w:spacing w:after="0"/>
              <w:rPr>
                <w:sz w:val="15"/>
                <w:szCs w:val="15"/>
                <w:color w:val="auto"/>
              </w:rPr>
            </w:pPr>
          </w:p>
        </w:tc>
        <w:tc>
          <w:tcPr>
            <w:tcW w:w="990" w:type="dxa"/>
            <w:vAlign w:val="bottom"/>
            <w:shd w:val="clear" w:color="auto" w:fill="004054"/>
          </w:tcPr>
          <w:p>
            <w:pPr>
              <w:spacing w:after="0"/>
              <w:rPr>
                <w:sz w:val="15"/>
                <w:szCs w:val="15"/>
                <w:color w:val="auto"/>
              </w:rPr>
            </w:pPr>
          </w:p>
        </w:tc>
        <w:tc>
          <w:tcPr>
            <w:tcW w:w="980" w:type="dxa"/>
            <w:vAlign w:val="bottom"/>
            <w:shd w:val="clear" w:color="auto" w:fill="004054"/>
          </w:tcPr>
          <w:p>
            <w:pPr>
              <w:spacing w:after="0"/>
              <w:rPr>
                <w:sz w:val="15"/>
                <w:szCs w:val="15"/>
                <w:color w:val="auto"/>
              </w:rPr>
            </w:pPr>
          </w:p>
        </w:tc>
        <w:tc>
          <w:tcPr>
            <w:tcW w:w="990" w:type="dxa"/>
            <w:vAlign w:val="bottom"/>
            <w:shd w:val="clear" w:color="auto" w:fill="004054"/>
          </w:tcPr>
          <w:p>
            <w:pPr>
              <w:spacing w:after="0"/>
              <w:rPr>
                <w:sz w:val="15"/>
                <w:szCs w:val="15"/>
                <w:color w:val="auto"/>
              </w:rPr>
            </w:pPr>
          </w:p>
        </w:tc>
        <w:tc>
          <w:tcPr>
            <w:tcW w:w="870" w:type="dxa"/>
            <w:vAlign w:val="bottom"/>
            <w:shd w:val="clear" w:color="auto" w:fill="004054"/>
          </w:tcPr>
          <w:p>
            <w:pPr>
              <w:spacing w:after="0"/>
              <w:rPr>
                <w:sz w:val="15"/>
                <w:szCs w:val="15"/>
                <w:color w:val="auto"/>
              </w:rPr>
            </w:pPr>
          </w:p>
        </w:tc>
        <w:tc>
          <w:tcPr>
            <w:tcW w:w="1330" w:type="dxa"/>
            <w:vAlign w:val="bottom"/>
            <w:gridSpan w:val="2"/>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Trading</w:t>
            </w:r>
          </w:p>
        </w:tc>
        <w:tc>
          <w:tcPr>
            <w:tcW w:w="11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Aggregate</w:t>
            </w:r>
          </w:p>
        </w:tc>
        <w:tc>
          <w:tcPr>
            <w:tcW w:w="0" w:type="dxa"/>
            <w:vAlign w:val="bottom"/>
          </w:tcPr>
          <w:p>
            <w:pPr>
              <w:spacing w:after="0"/>
              <w:rPr>
                <w:sz w:val="1"/>
                <w:szCs w:val="1"/>
                <w:color w:val="auto"/>
              </w:rPr>
            </w:pPr>
          </w:p>
        </w:tc>
      </w:tr>
      <w:tr>
        <w:trPr>
          <w:trHeight w:val="68"/>
        </w:trPr>
        <w:tc>
          <w:tcPr>
            <w:tcW w:w="3430" w:type="dxa"/>
            <w:vAlign w:val="bottom"/>
            <w:shd w:val="clear" w:color="auto" w:fill="004054"/>
          </w:tcPr>
          <w:p>
            <w:pPr>
              <w:spacing w:after="0"/>
              <w:rPr>
                <w:sz w:val="5"/>
                <w:szCs w:val="5"/>
                <w:color w:val="auto"/>
              </w:rPr>
            </w:pPr>
          </w:p>
        </w:tc>
        <w:tc>
          <w:tcPr>
            <w:tcW w:w="1550" w:type="dxa"/>
            <w:vAlign w:val="bottom"/>
            <w:shd w:val="clear" w:color="auto" w:fill="004054"/>
          </w:tcPr>
          <w:p>
            <w:pPr>
              <w:spacing w:after="0"/>
              <w:rPr>
                <w:sz w:val="5"/>
                <w:szCs w:val="5"/>
                <w:color w:val="auto"/>
              </w:rPr>
            </w:pPr>
          </w:p>
        </w:tc>
        <w:tc>
          <w:tcPr>
            <w:tcW w:w="990" w:type="dxa"/>
            <w:vAlign w:val="bottom"/>
            <w:shd w:val="clear" w:color="auto" w:fill="004054"/>
          </w:tcPr>
          <w:p>
            <w:pPr>
              <w:spacing w:after="0"/>
              <w:rPr>
                <w:sz w:val="5"/>
                <w:szCs w:val="5"/>
                <w:color w:val="auto"/>
              </w:rPr>
            </w:pPr>
          </w:p>
        </w:tc>
        <w:tc>
          <w:tcPr>
            <w:tcW w:w="980" w:type="dxa"/>
            <w:vAlign w:val="bottom"/>
            <w:shd w:val="clear" w:color="auto" w:fill="004054"/>
          </w:tcPr>
          <w:p>
            <w:pPr>
              <w:spacing w:after="0"/>
              <w:rPr>
                <w:sz w:val="5"/>
                <w:szCs w:val="5"/>
                <w:color w:val="auto"/>
              </w:rPr>
            </w:pPr>
          </w:p>
        </w:tc>
        <w:tc>
          <w:tcPr>
            <w:tcW w:w="990" w:type="dxa"/>
            <w:vAlign w:val="bottom"/>
            <w:shd w:val="clear" w:color="auto" w:fill="004054"/>
          </w:tcPr>
          <w:p>
            <w:pPr>
              <w:spacing w:after="0"/>
              <w:rPr>
                <w:sz w:val="5"/>
                <w:szCs w:val="5"/>
                <w:color w:val="auto"/>
              </w:rPr>
            </w:pPr>
          </w:p>
        </w:tc>
        <w:tc>
          <w:tcPr>
            <w:tcW w:w="870" w:type="dxa"/>
            <w:vAlign w:val="bottom"/>
            <w:shd w:val="clear" w:color="auto" w:fill="004054"/>
          </w:tcPr>
          <w:p>
            <w:pPr>
              <w:spacing w:after="0"/>
              <w:rPr>
                <w:sz w:val="5"/>
                <w:szCs w:val="5"/>
                <w:color w:val="auto"/>
              </w:rPr>
            </w:pPr>
          </w:p>
        </w:tc>
        <w:tc>
          <w:tcPr>
            <w:tcW w:w="1330" w:type="dxa"/>
            <w:vAlign w:val="bottom"/>
            <w:gridSpan w:val="2"/>
            <w:vMerge w:val="restart"/>
            <w:shd w:val="clear" w:color="auto" w:fill="004054"/>
          </w:tcPr>
          <w:p>
            <w:pPr>
              <w:jc w:val="center"/>
              <w:spacing w:after="0" w:line="210" w:lineRule="exact"/>
              <w:rPr>
                <w:sz w:val="20"/>
                <w:szCs w:val="20"/>
                <w:color w:val="auto"/>
              </w:rPr>
            </w:pPr>
            <w:r>
              <w:rPr>
                <w:rFonts w:ascii="Calibri" w:cs="Calibri" w:eastAsia="Calibri" w:hAnsi="Calibri"/>
                <w:sz w:val="14"/>
                <w:szCs w:val="14"/>
                <w:b w:val="1"/>
                <w:bCs w:val="1"/>
                <w:color w:val="FFFFFF"/>
                <w:w w:val="98"/>
              </w:rPr>
              <w:t>arrangement</w:t>
            </w:r>
            <w:r>
              <w:rPr>
                <w:rFonts w:ascii="Calibri" w:cs="Calibri" w:eastAsia="Calibri" w:hAnsi="Calibri"/>
                <w:sz w:val="18"/>
                <w:szCs w:val="18"/>
                <w:b w:val="1"/>
                <w:bCs w:val="1"/>
                <w:color w:val="FFFFFF"/>
                <w:w w:val="98"/>
                <w:vertAlign w:val="superscript"/>
              </w:rPr>
              <w:t>(1)</w:t>
            </w:r>
          </w:p>
        </w:tc>
        <w:tc>
          <w:tcPr>
            <w:tcW w:w="1120" w:type="dxa"/>
            <w:vAlign w:val="bottom"/>
            <w:vMerge w:val="continue"/>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430" w:type="dxa"/>
            <w:vAlign w:val="bottom"/>
            <w:shd w:val="clear" w:color="auto" w:fill="004054"/>
          </w:tcPr>
          <w:p>
            <w:pPr>
              <w:spacing w:after="0"/>
              <w:rPr>
                <w:sz w:val="12"/>
                <w:szCs w:val="12"/>
                <w:color w:val="auto"/>
              </w:rPr>
            </w:pPr>
          </w:p>
        </w:tc>
        <w:tc>
          <w:tcPr>
            <w:tcW w:w="1550" w:type="dxa"/>
            <w:vAlign w:val="bottom"/>
            <w:shd w:val="clear" w:color="auto" w:fill="004054"/>
          </w:tcPr>
          <w:p>
            <w:pPr>
              <w:spacing w:after="0"/>
              <w:rPr>
                <w:sz w:val="12"/>
                <w:szCs w:val="12"/>
                <w:color w:val="auto"/>
              </w:rPr>
            </w:pPr>
          </w:p>
        </w:tc>
        <w:tc>
          <w:tcPr>
            <w:tcW w:w="990" w:type="dxa"/>
            <w:vAlign w:val="bottom"/>
            <w:shd w:val="clear" w:color="auto" w:fill="004054"/>
          </w:tcPr>
          <w:p>
            <w:pPr>
              <w:spacing w:after="0"/>
              <w:rPr>
                <w:sz w:val="12"/>
                <w:szCs w:val="12"/>
                <w:color w:val="auto"/>
              </w:rPr>
            </w:pPr>
          </w:p>
        </w:tc>
        <w:tc>
          <w:tcPr>
            <w:tcW w:w="980" w:type="dxa"/>
            <w:vAlign w:val="bottom"/>
            <w:shd w:val="clear" w:color="auto" w:fill="004054"/>
          </w:tcPr>
          <w:p>
            <w:pPr>
              <w:spacing w:after="0"/>
              <w:rPr>
                <w:sz w:val="12"/>
                <w:szCs w:val="12"/>
                <w:color w:val="auto"/>
              </w:rPr>
            </w:pPr>
          </w:p>
        </w:tc>
        <w:tc>
          <w:tcPr>
            <w:tcW w:w="990" w:type="dxa"/>
            <w:vAlign w:val="bottom"/>
            <w:shd w:val="clear" w:color="auto" w:fill="004054"/>
          </w:tcPr>
          <w:p>
            <w:pPr>
              <w:spacing w:after="0"/>
              <w:rPr>
                <w:sz w:val="12"/>
                <w:szCs w:val="12"/>
                <w:color w:val="auto"/>
              </w:rPr>
            </w:pPr>
          </w:p>
        </w:tc>
        <w:tc>
          <w:tcPr>
            <w:tcW w:w="870" w:type="dxa"/>
            <w:vAlign w:val="bottom"/>
            <w:shd w:val="clear" w:color="auto" w:fill="004054"/>
          </w:tcPr>
          <w:p>
            <w:pPr>
              <w:spacing w:after="0"/>
              <w:rPr>
                <w:sz w:val="12"/>
                <w:szCs w:val="12"/>
                <w:color w:val="auto"/>
              </w:rPr>
            </w:pPr>
          </w:p>
        </w:tc>
        <w:tc>
          <w:tcPr>
            <w:tcW w:w="1330" w:type="dxa"/>
            <w:vAlign w:val="bottom"/>
            <w:gridSpan w:val="2"/>
            <w:vMerge w:val="continue"/>
            <w:shd w:val="clear" w:color="auto" w:fill="004054"/>
          </w:tcPr>
          <w:p>
            <w:pPr>
              <w:spacing w:after="0"/>
              <w:rPr>
                <w:sz w:val="12"/>
                <w:szCs w:val="12"/>
                <w:color w:val="auto"/>
              </w:rPr>
            </w:pPr>
          </w:p>
        </w:tc>
        <w:tc>
          <w:tcPr>
            <w:tcW w:w="1120" w:type="dxa"/>
            <w:vAlign w:val="bottom"/>
            <w:vMerge w:val="restart"/>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number of</w:t>
            </w:r>
          </w:p>
        </w:tc>
        <w:tc>
          <w:tcPr>
            <w:tcW w:w="0" w:type="dxa"/>
            <w:vAlign w:val="bottom"/>
          </w:tcPr>
          <w:p>
            <w:pPr>
              <w:spacing w:after="0"/>
              <w:rPr>
                <w:sz w:val="1"/>
                <w:szCs w:val="1"/>
                <w:color w:val="auto"/>
              </w:rPr>
            </w:pPr>
          </w:p>
        </w:tc>
      </w:tr>
      <w:tr>
        <w:trPr>
          <w:trHeight w:val="27"/>
        </w:trPr>
        <w:tc>
          <w:tcPr>
            <w:tcW w:w="3430" w:type="dxa"/>
            <w:vAlign w:val="bottom"/>
            <w:shd w:val="clear" w:color="auto" w:fill="004054"/>
          </w:tcPr>
          <w:p>
            <w:pPr>
              <w:spacing w:after="0"/>
              <w:rPr>
                <w:sz w:val="2"/>
                <w:szCs w:val="2"/>
                <w:color w:val="auto"/>
              </w:rPr>
            </w:pPr>
          </w:p>
        </w:tc>
        <w:tc>
          <w:tcPr>
            <w:tcW w:w="1550" w:type="dxa"/>
            <w:vAlign w:val="bottom"/>
            <w:shd w:val="clear" w:color="auto" w:fill="004054"/>
          </w:tcPr>
          <w:p>
            <w:pPr>
              <w:spacing w:after="0"/>
              <w:rPr>
                <w:sz w:val="2"/>
                <w:szCs w:val="2"/>
                <w:color w:val="auto"/>
              </w:rPr>
            </w:pPr>
          </w:p>
        </w:tc>
        <w:tc>
          <w:tcPr>
            <w:tcW w:w="990" w:type="dxa"/>
            <w:vAlign w:val="bottom"/>
            <w:shd w:val="clear" w:color="auto" w:fill="004054"/>
          </w:tcPr>
          <w:p>
            <w:pPr>
              <w:spacing w:after="0"/>
              <w:rPr>
                <w:sz w:val="2"/>
                <w:szCs w:val="2"/>
                <w:color w:val="auto"/>
              </w:rPr>
            </w:pPr>
          </w:p>
        </w:tc>
        <w:tc>
          <w:tcPr>
            <w:tcW w:w="980" w:type="dxa"/>
            <w:vAlign w:val="bottom"/>
            <w:shd w:val="clear" w:color="auto" w:fill="004054"/>
          </w:tcPr>
          <w:p>
            <w:pPr>
              <w:spacing w:after="0"/>
              <w:rPr>
                <w:sz w:val="2"/>
                <w:szCs w:val="2"/>
                <w:color w:val="auto"/>
              </w:rPr>
            </w:pPr>
          </w:p>
        </w:tc>
        <w:tc>
          <w:tcPr>
            <w:tcW w:w="990" w:type="dxa"/>
            <w:vAlign w:val="bottom"/>
            <w:shd w:val="clear" w:color="auto" w:fill="004054"/>
          </w:tcPr>
          <w:p>
            <w:pPr>
              <w:spacing w:after="0"/>
              <w:rPr>
                <w:sz w:val="2"/>
                <w:szCs w:val="2"/>
                <w:color w:val="auto"/>
              </w:rPr>
            </w:pPr>
          </w:p>
        </w:tc>
        <w:tc>
          <w:tcPr>
            <w:tcW w:w="870" w:type="dxa"/>
            <w:vAlign w:val="bottom"/>
            <w:shd w:val="clear" w:color="auto" w:fill="004054"/>
          </w:tcPr>
          <w:p>
            <w:pPr>
              <w:spacing w:after="0"/>
              <w:rPr>
                <w:sz w:val="2"/>
                <w:szCs w:val="2"/>
                <w:color w:val="auto"/>
              </w:rPr>
            </w:pPr>
          </w:p>
        </w:tc>
        <w:tc>
          <w:tcPr>
            <w:tcW w:w="670" w:type="dxa"/>
            <w:vAlign w:val="bottom"/>
            <w:shd w:val="clear" w:color="auto" w:fill="004054"/>
          </w:tcPr>
          <w:p>
            <w:pPr>
              <w:spacing w:after="0"/>
              <w:rPr>
                <w:sz w:val="2"/>
                <w:szCs w:val="2"/>
                <w:color w:val="auto"/>
              </w:rPr>
            </w:pPr>
          </w:p>
        </w:tc>
        <w:tc>
          <w:tcPr>
            <w:tcW w:w="660" w:type="dxa"/>
            <w:vAlign w:val="bottom"/>
            <w:shd w:val="clear" w:color="auto" w:fill="004054"/>
          </w:tcPr>
          <w:p>
            <w:pPr>
              <w:spacing w:after="0"/>
              <w:rPr>
                <w:sz w:val="2"/>
                <w:szCs w:val="2"/>
                <w:color w:val="auto"/>
              </w:rPr>
            </w:pPr>
          </w:p>
        </w:tc>
        <w:tc>
          <w:tcPr>
            <w:tcW w:w="1120" w:type="dxa"/>
            <w:vAlign w:val="bottom"/>
            <w:vMerge w:val="continue"/>
            <w:shd w:val="clear" w:color="auto" w:fill="0040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30" w:type="dxa"/>
            <w:vAlign w:val="bottom"/>
            <w:shd w:val="clear" w:color="auto" w:fill="004054"/>
          </w:tcPr>
          <w:p>
            <w:pPr>
              <w:spacing w:after="0"/>
              <w:rPr>
                <w:sz w:val="15"/>
                <w:szCs w:val="15"/>
                <w:color w:val="auto"/>
              </w:rPr>
            </w:pPr>
          </w:p>
        </w:tc>
        <w:tc>
          <w:tcPr>
            <w:tcW w:w="1550" w:type="dxa"/>
            <w:vAlign w:val="bottom"/>
            <w:shd w:val="clear" w:color="auto" w:fill="004054"/>
          </w:tcPr>
          <w:p>
            <w:pPr>
              <w:spacing w:after="0"/>
              <w:rPr>
                <w:sz w:val="15"/>
                <w:szCs w:val="15"/>
                <w:color w:val="auto"/>
              </w:rPr>
            </w:pPr>
          </w:p>
        </w:tc>
        <w:tc>
          <w:tcPr>
            <w:tcW w:w="990" w:type="dxa"/>
            <w:vAlign w:val="bottom"/>
            <w:shd w:val="clear" w:color="auto" w:fill="004054"/>
          </w:tcPr>
          <w:p>
            <w:pPr>
              <w:spacing w:after="0"/>
              <w:rPr>
                <w:sz w:val="15"/>
                <w:szCs w:val="15"/>
                <w:color w:val="auto"/>
              </w:rPr>
            </w:pPr>
          </w:p>
        </w:tc>
        <w:tc>
          <w:tcPr>
            <w:tcW w:w="98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Plan</w:t>
            </w:r>
          </w:p>
        </w:tc>
        <w:tc>
          <w:tcPr>
            <w:tcW w:w="990" w:type="dxa"/>
            <w:vAlign w:val="bottom"/>
            <w:shd w:val="clear" w:color="auto" w:fill="004054"/>
          </w:tcPr>
          <w:p>
            <w:pPr>
              <w:ind w:left="370"/>
              <w:spacing w:after="0"/>
              <w:rPr>
                <w:sz w:val="20"/>
                <w:szCs w:val="20"/>
                <w:color w:val="auto"/>
              </w:rPr>
            </w:pPr>
            <w:r>
              <w:rPr>
                <w:rFonts w:ascii="Calibri" w:cs="Calibri" w:eastAsia="Calibri" w:hAnsi="Calibri"/>
                <w:sz w:val="14"/>
                <w:szCs w:val="14"/>
                <w:b w:val="1"/>
                <w:bCs w:val="1"/>
                <w:color w:val="FFFFFF"/>
              </w:rPr>
              <w:t>Plan</w:t>
            </w:r>
          </w:p>
        </w:tc>
        <w:tc>
          <w:tcPr>
            <w:tcW w:w="87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Plan</w:t>
            </w:r>
          </w:p>
        </w:tc>
        <w:tc>
          <w:tcPr>
            <w:tcW w:w="670" w:type="dxa"/>
            <w:vAlign w:val="bottom"/>
            <w:vMerge w:val="restart"/>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Rule</w:t>
            </w:r>
          </w:p>
        </w:tc>
        <w:tc>
          <w:tcPr>
            <w:tcW w:w="660" w:type="dxa"/>
            <w:vAlign w:val="bottom"/>
            <w:vMerge w:val="restart"/>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Non-Rule</w:t>
            </w: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securites to</w:t>
            </w:r>
          </w:p>
        </w:tc>
        <w:tc>
          <w:tcPr>
            <w:tcW w:w="0" w:type="dxa"/>
            <w:vAlign w:val="bottom"/>
          </w:tcPr>
          <w:p>
            <w:pPr>
              <w:spacing w:after="0"/>
              <w:rPr>
                <w:sz w:val="1"/>
                <w:szCs w:val="1"/>
                <w:color w:val="auto"/>
              </w:rPr>
            </w:pPr>
          </w:p>
        </w:tc>
      </w:tr>
      <w:tr>
        <w:trPr>
          <w:trHeight w:val="168"/>
        </w:trPr>
        <w:tc>
          <w:tcPr>
            <w:tcW w:w="3430" w:type="dxa"/>
            <w:vAlign w:val="bottom"/>
            <w:shd w:val="clear" w:color="auto" w:fill="004054"/>
          </w:tcPr>
          <w:p>
            <w:pPr>
              <w:spacing w:after="0"/>
              <w:rPr>
                <w:sz w:val="14"/>
                <w:szCs w:val="14"/>
                <w:color w:val="auto"/>
              </w:rPr>
            </w:pPr>
          </w:p>
        </w:tc>
        <w:tc>
          <w:tcPr>
            <w:tcW w:w="1550" w:type="dxa"/>
            <w:vAlign w:val="bottom"/>
            <w:shd w:val="clear" w:color="auto" w:fill="004054"/>
          </w:tcPr>
          <w:p>
            <w:pPr>
              <w:spacing w:after="0"/>
              <w:rPr>
                <w:sz w:val="14"/>
                <w:szCs w:val="14"/>
                <w:color w:val="auto"/>
              </w:rPr>
            </w:pPr>
          </w:p>
        </w:tc>
        <w:tc>
          <w:tcPr>
            <w:tcW w:w="990" w:type="dxa"/>
            <w:vAlign w:val="bottom"/>
            <w:shd w:val="clear" w:color="auto" w:fill="004054"/>
          </w:tcPr>
          <w:p>
            <w:pPr>
              <w:spacing w:after="0"/>
              <w:rPr>
                <w:sz w:val="14"/>
                <w:szCs w:val="14"/>
                <w:color w:val="auto"/>
              </w:rPr>
            </w:pPr>
          </w:p>
        </w:tc>
        <w:tc>
          <w:tcPr>
            <w:tcW w:w="980" w:type="dxa"/>
            <w:vAlign w:val="bottom"/>
            <w:shd w:val="clear" w:color="auto" w:fill="004054"/>
          </w:tcPr>
          <w:p>
            <w:pPr>
              <w:jc w:val="center"/>
              <w:spacing w:after="0" w:line="168" w:lineRule="exact"/>
              <w:rPr>
                <w:sz w:val="20"/>
                <w:szCs w:val="20"/>
                <w:color w:val="auto"/>
              </w:rPr>
            </w:pPr>
            <w:r>
              <w:rPr>
                <w:rFonts w:ascii="Calibri" w:cs="Calibri" w:eastAsia="Calibri" w:hAnsi="Calibri"/>
                <w:sz w:val="14"/>
                <w:szCs w:val="14"/>
                <w:b w:val="1"/>
                <w:bCs w:val="1"/>
                <w:color w:val="FFFFFF"/>
              </w:rPr>
              <w:t>efectve</w:t>
            </w:r>
          </w:p>
        </w:tc>
        <w:tc>
          <w:tcPr>
            <w:tcW w:w="990" w:type="dxa"/>
            <w:vAlign w:val="bottom"/>
            <w:shd w:val="clear" w:color="auto" w:fill="004054"/>
          </w:tcPr>
          <w:p>
            <w:pPr>
              <w:ind w:left="390"/>
              <w:spacing w:after="0" w:line="168" w:lineRule="exact"/>
              <w:rPr>
                <w:sz w:val="20"/>
                <w:szCs w:val="20"/>
                <w:color w:val="auto"/>
              </w:rPr>
            </w:pPr>
            <w:r>
              <w:rPr>
                <w:rFonts w:ascii="Calibri" w:cs="Calibri" w:eastAsia="Calibri" w:hAnsi="Calibri"/>
                <w:sz w:val="14"/>
                <w:szCs w:val="14"/>
                <w:b w:val="1"/>
                <w:bCs w:val="1"/>
                <w:color w:val="FFFFFF"/>
              </w:rPr>
              <w:t>end</w:t>
            </w:r>
          </w:p>
        </w:tc>
        <w:tc>
          <w:tcPr>
            <w:tcW w:w="870" w:type="dxa"/>
            <w:vAlign w:val="bottom"/>
            <w:shd w:val="clear" w:color="auto" w:fill="004054"/>
          </w:tcPr>
          <w:p>
            <w:pPr>
              <w:jc w:val="center"/>
              <w:spacing w:after="0" w:line="168" w:lineRule="exact"/>
              <w:rPr>
                <w:sz w:val="20"/>
                <w:szCs w:val="20"/>
                <w:color w:val="auto"/>
              </w:rPr>
            </w:pPr>
            <w:r>
              <w:rPr>
                <w:rFonts w:ascii="Calibri" w:cs="Calibri" w:eastAsia="Calibri" w:hAnsi="Calibri"/>
                <w:sz w:val="14"/>
                <w:szCs w:val="14"/>
                <w:b w:val="1"/>
                <w:bCs w:val="1"/>
                <w:color w:val="FFFFFF"/>
              </w:rPr>
              <w:t>duraton</w:t>
            </w:r>
          </w:p>
        </w:tc>
        <w:tc>
          <w:tcPr>
            <w:tcW w:w="670" w:type="dxa"/>
            <w:vAlign w:val="bottom"/>
            <w:vMerge w:val="continue"/>
            <w:shd w:val="clear" w:color="auto" w:fill="004054"/>
          </w:tcPr>
          <w:p>
            <w:pPr>
              <w:spacing w:after="0"/>
              <w:rPr>
                <w:sz w:val="14"/>
                <w:szCs w:val="14"/>
                <w:color w:val="auto"/>
              </w:rPr>
            </w:pPr>
          </w:p>
        </w:tc>
        <w:tc>
          <w:tcPr>
            <w:tcW w:w="660" w:type="dxa"/>
            <w:vAlign w:val="bottom"/>
            <w:vMerge w:val="continue"/>
            <w:shd w:val="clear" w:color="auto" w:fill="004054"/>
          </w:tcPr>
          <w:p>
            <w:pPr>
              <w:spacing w:after="0"/>
              <w:rPr>
                <w:sz w:val="14"/>
                <w:szCs w:val="14"/>
                <w:color w:val="auto"/>
              </w:rPr>
            </w:pPr>
          </w:p>
        </w:tc>
        <w:tc>
          <w:tcPr>
            <w:tcW w:w="112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be sold</w:t>
            </w:r>
          </w:p>
        </w:tc>
        <w:tc>
          <w:tcPr>
            <w:tcW w:w="0" w:type="dxa"/>
            <w:vAlign w:val="bottom"/>
          </w:tcPr>
          <w:p>
            <w:pPr>
              <w:spacing w:after="0"/>
              <w:rPr>
                <w:sz w:val="1"/>
                <w:szCs w:val="1"/>
                <w:color w:val="auto"/>
              </w:rPr>
            </w:pPr>
          </w:p>
        </w:tc>
      </w:tr>
      <w:tr>
        <w:trPr>
          <w:trHeight w:val="183"/>
        </w:trPr>
        <w:tc>
          <w:tcPr>
            <w:tcW w:w="343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Name and Title</w:t>
            </w:r>
          </w:p>
        </w:tc>
        <w:tc>
          <w:tcPr>
            <w:tcW w:w="1550" w:type="dxa"/>
            <w:vAlign w:val="bottom"/>
            <w:shd w:val="clear" w:color="auto" w:fill="004054"/>
          </w:tcPr>
          <w:p>
            <w:pPr>
              <w:ind w:left="590"/>
              <w:spacing w:after="0"/>
              <w:rPr>
                <w:sz w:val="20"/>
                <w:szCs w:val="20"/>
                <w:color w:val="auto"/>
              </w:rPr>
            </w:pPr>
            <w:r>
              <w:rPr>
                <w:rFonts w:ascii="Calibri" w:cs="Calibri" w:eastAsia="Calibri" w:hAnsi="Calibri"/>
                <w:sz w:val="14"/>
                <w:szCs w:val="14"/>
                <w:b w:val="1"/>
                <w:bCs w:val="1"/>
                <w:color w:val="FFFFFF"/>
              </w:rPr>
              <w:t>Acton</w:t>
            </w:r>
          </w:p>
        </w:tc>
        <w:tc>
          <w:tcPr>
            <w:tcW w:w="990" w:type="dxa"/>
            <w:vAlign w:val="bottom"/>
            <w:shd w:val="clear" w:color="auto" w:fill="004054"/>
          </w:tcPr>
          <w:p>
            <w:pPr>
              <w:ind w:left="60"/>
              <w:spacing w:after="0"/>
              <w:rPr>
                <w:sz w:val="20"/>
                <w:szCs w:val="20"/>
                <w:color w:val="auto"/>
              </w:rPr>
            </w:pPr>
            <w:r>
              <w:rPr>
                <w:rFonts w:ascii="Calibri" w:cs="Calibri" w:eastAsia="Calibri" w:hAnsi="Calibri"/>
                <w:sz w:val="14"/>
                <w:szCs w:val="14"/>
                <w:b w:val="1"/>
                <w:bCs w:val="1"/>
                <w:color w:val="FFFFFF"/>
              </w:rPr>
              <w:t>Date of Acton</w:t>
            </w:r>
          </w:p>
        </w:tc>
        <w:tc>
          <w:tcPr>
            <w:tcW w:w="98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date</w:t>
            </w:r>
          </w:p>
        </w:tc>
        <w:tc>
          <w:tcPr>
            <w:tcW w:w="990" w:type="dxa"/>
            <w:vAlign w:val="bottom"/>
            <w:shd w:val="clear" w:color="auto" w:fill="004054"/>
          </w:tcPr>
          <w:p>
            <w:pPr>
              <w:ind w:left="370"/>
              <w:spacing w:after="0"/>
              <w:rPr>
                <w:sz w:val="20"/>
                <w:szCs w:val="20"/>
                <w:color w:val="auto"/>
              </w:rPr>
            </w:pPr>
            <w:r>
              <w:rPr>
                <w:rFonts w:ascii="Calibri" w:cs="Calibri" w:eastAsia="Calibri" w:hAnsi="Calibri"/>
                <w:sz w:val="14"/>
                <w:szCs w:val="14"/>
                <w:b w:val="1"/>
                <w:bCs w:val="1"/>
                <w:color w:val="FFFFFF"/>
              </w:rPr>
              <w:t>date</w:t>
            </w:r>
          </w:p>
        </w:tc>
        <w:tc>
          <w:tcPr>
            <w:tcW w:w="87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(months)</w:t>
            </w:r>
          </w:p>
        </w:tc>
        <w:tc>
          <w:tcPr>
            <w:tcW w:w="67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10b5-1</w:t>
            </w:r>
          </w:p>
        </w:tc>
        <w:tc>
          <w:tcPr>
            <w:tcW w:w="66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10b5-1</w:t>
            </w: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under plan</w:t>
            </w:r>
          </w:p>
        </w:tc>
        <w:tc>
          <w:tcPr>
            <w:tcW w:w="0" w:type="dxa"/>
            <w:vAlign w:val="bottom"/>
          </w:tcPr>
          <w:p>
            <w:pPr>
              <w:spacing w:after="0"/>
              <w:rPr>
                <w:sz w:val="1"/>
                <w:szCs w:val="1"/>
                <w:color w:val="auto"/>
              </w:rPr>
            </w:pPr>
          </w:p>
        </w:tc>
      </w:tr>
      <w:tr>
        <w:trPr>
          <w:trHeight w:val="60"/>
        </w:trPr>
        <w:tc>
          <w:tcPr>
            <w:tcW w:w="3430" w:type="dxa"/>
            <w:vAlign w:val="bottom"/>
            <w:shd w:val="clear" w:color="auto" w:fill="004054"/>
          </w:tcPr>
          <w:p>
            <w:pPr>
              <w:spacing w:after="0"/>
              <w:rPr>
                <w:sz w:val="5"/>
                <w:szCs w:val="5"/>
                <w:color w:val="auto"/>
              </w:rPr>
            </w:pPr>
          </w:p>
        </w:tc>
        <w:tc>
          <w:tcPr>
            <w:tcW w:w="1550" w:type="dxa"/>
            <w:vAlign w:val="bottom"/>
            <w:shd w:val="clear" w:color="auto" w:fill="004054"/>
          </w:tcPr>
          <w:p>
            <w:pPr>
              <w:spacing w:after="0"/>
              <w:rPr>
                <w:sz w:val="5"/>
                <w:szCs w:val="5"/>
                <w:color w:val="auto"/>
              </w:rPr>
            </w:pPr>
          </w:p>
        </w:tc>
        <w:tc>
          <w:tcPr>
            <w:tcW w:w="990" w:type="dxa"/>
            <w:vAlign w:val="bottom"/>
            <w:shd w:val="clear" w:color="auto" w:fill="004054"/>
          </w:tcPr>
          <w:p>
            <w:pPr>
              <w:spacing w:after="0"/>
              <w:rPr>
                <w:sz w:val="5"/>
                <w:szCs w:val="5"/>
                <w:color w:val="auto"/>
              </w:rPr>
            </w:pPr>
          </w:p>
        </w:tc>
        <w:tc>
          <w:tcPr>
            <w:tcW w:w="980" w:type="dxa"/>
            <w:vAlign w:val="bottom"/>
            <w:shd w:val="clear" w:color="auto" w:fill="004054"/>
          </w:tcPr>
          <w:p>
            <w:pPr>
              <w:spacing w:after="0"/>
              <w:rPr>
                <w:sz w:val="5"/>
                <w:szCs w:val="5"/>
                <w:color w:val="auto"/>
              </w:rPr>
            </w:pPr>
          </w:p>
        </w:tc>
        <w:tc>
          <w:tcPr>
            <w:tcW w:w="990" w:type="dxa"/>
            <w:vAlign w:val="bottom"/>
            <w:shd w:val="clear" w:color="auto" w:fill="004054"/>
          </w:tcPr>
          <w:p>
            <w:pPr>
              <w:spacing w:after="0"/>
              <w:rPr>
                <w:sz w:val="5"/>
                <w:szCs w:val="5"/>
                <w:color w:val="auto"/>
              </w:rPr>
            </w:pPr>
          </w:p>
        </w:tc>
        <w:tc>
          <w:tcPr>
            <w:tcW w:w="870" w:type="dxa"/>
            <w:vAlign w:val="bottom"/>
            <w:shd w:val="clear" w:color="auto" w:fill="004054"/>
          </w:tcPr>
          <w:p>
            <w:pPr>
              <w:spacing w:after="0"/>
              <w:rPr>
                <w:sz w:val="5"/>
                <w:szCs w:val="5"/>
                <w:color w:val="auto"/>
              </w:rPr>
            </w:pPr>
          </w:p>
        </w:tc>
        <w:tc>
          <w:tcPr>
            <w:tcW w:w="670" w:type="dxa"/>
            <w:vAlign w:val="bottom"/>
            <w:shd w:val="clear" w:color="auto" w:fill="004054"/>
          </w:tcPr>
          <w:p>
            <w:pPr>
              <w:spacing w:after="0"/>
              <w:rPr>
                <w:sz w:val="5"/>
                <w:szCs w:val="5"/>
                <w:color w:val="auto"/>
              </w:rPr>
            </w:pPr>
          </w:p>
        </w:tc>
        <w:tc>
          <w:tcPr>
            <w:tcW w:w="660" w:type="dxa"/>
            <w:vAlign w:val="bottom"/>
            <w:shd w:val="clear" w:color="auto" w:fill="004054"/>
          </w:tcPr>
          <w:p>
            <w:pPr>
              <w:spacing w:after="0"/>
              <w:rPr>
                <w:sz w:val="5"/>
                <w:szCs w:val="5"/>
                <w:color w:val="auto"/>
              </w:rPr>
            </w:pPr>
          </w:p>
        </w:tc>
        <w:tc>
          <w:tcPr>
            <w:tcW w:w="11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4718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47180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-376555</wp:posOffset>
            </wp:positionV>
            <wp:extent cx="8489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520" w:type="dxa"/>
            <w:vAlign w:val="bottom"/>
          </w:tcPr>
          <w:p>
            <w:pPr>
              <w:spacing w:after="0"/>
              <w:rPr>
                <w:sz w:val="20"/>
                <w:szCs w:val="20"/>
                <w:color w:val="auto"/>
              </w:rPr>
            </w:pPr>
            <w:r>
              <w:rPr>
                <w:rFonts w:ascii="Calibri" w:cs="Calibri" w:eastAsia="Calibri" w:hAnsi="Calibri"/>
                <w:sz w:val="18"/>
                <w:szCs w:val="18"/>
                <w:b w:val="1"/>
                <w:bCs w:val="1"/>
                <w:color w:val="51555C"/>
              </w:rPr>
              <w:t>Michael P. Gianoni</w:t>
            </w:r>
          </w:p>
        </w:tc>
        <w:tc>
          <w:tcPr>
            <w:tcW w:w="1320" w:type="dxa"/>
            <w:vAlign w:val="bottom"/>
            <w:vMerge w:val="restart"/>
          </w:tcPr>
          <w:p>
            <w:pPr>
              <w:ind w:left="320"/>
              <w:spacing w:after="0"/>
              <w:rPr>
                <w:sz w:val="20"/>
                <w:szCs w:val="20"/>
                <w:color w:val="auto"/>
              </w:rPr>
            </w:pPr>
            <w:r>
              <w:rPr>
                <w:rFonts w:ascii="Calibri" w:cs="Calibri" w:eastAsia="Calibri" w:hAnsi="Calibri"/>
                <w:sz w:val="18"/>
                <w:szCs w:val="18"/>
                <w:color w:val="51555C"/>
              </w:rPr>
              <w:t>Adopton</w:t>
            </w:r>
          </w:p>
        </w:tc>
        <w:tc>
          <w:tcPr>
            <w:tcW w:w="1080" w:type="dxa"/>
            <w:vAlign w:val="bottom"/>
            <w:vMerge w:val="restart"/>
          </w:tcPr>
          <w:p>
            <w:pPr>
              <w:jc w:val="right"/>
              <w:ind w:right="90"/>
              <w:spacing w:after="0"/>
              <w:rPr>
                <w:sz w:val="20"/>
                <w:szCs w:val="20"/>
                <w:color w:val="auto"/>
              </w:rPr>
            </w:pPr>
            <w:r>
              <w:rPr>
                <w:rFonts w:ascii="Calibri" w:cs="Calibri" w:eastAsia="Calibri" w:hAnsi="Calibri"/>
                <w:sz w:val="18"/>
                <w:szCs w:val="18"/>
                <w:color w:val="51555C"/>
              </w:rPr>
              <w:t>8/14/24</w:t>
            </w:r>
          </w:p>
        </w:tc>
        <w:tc>
          <w:tcPr>
            <w:tcW w:w="1000" w:type="dxa"/>
            <w:vAlign w:val="bottom"/>
            <w:vMerge w:val="restart"/>
          </w:tcPr>
          <w:p>
            <w:pPr>
              <w:jc w:val="right"/>
              <w:ind w:right="50"/>
              <w:spacing w:after="0"/>
              <w:rPr>
                <w:sz w:val="20"/>
                <w:szCs w:val="20"/>
                <w:color w:val="auto"/>
              </w:rPr>
            </w:pPr>
            <w:r>
              <w:rPr>
                <w:rFonts w:ascii="Calibri" w:cs="Calibri" w:eastAsia="Calibri" w:hAnsi="Calibri"/>
                <w:sz w:val="18"/>
                <w:szCs w:val="18"/>
                <w:color w:val="51555C"/>
              </w:rPr>
              <w:t>11/18/24</w:t>
            </w:r>
          </w:p>
        </w:tc>
        <w:tc>
          <w:tcPr>
            <w:tcW w:w="1020" w:type="dxa"/>
            <w:vAlign w:val="bottom"/>
            <w:vMerge w:val="restart"/>
          </w:tcPr>
          <w:p>
            <w:pPr>
              <w:jc w:val="right"/>
              <w:ind w:right="90"/>
              <w:spacing w:after="0"/>
              <w:rPr>
                <w:sz w:val="20"/>
                <w:szCs w:val="20"/>
                <w:color w:val="auto"/>
              </w:rPr>
            </w:pPr>
            <w:r>
              <w:rPr>
                <w:rFonts w:ascii="Calibri" w:cs="Calibri" w:eastAsia="Calibri" w:hAnsi="Calibri"/>
                <w:sz w:val="18"/>
                <w:szCs w:val="18"/>
                <w:color w:val="51555C"/>
              </w:rPr>
              <w:t>11/18/25</w:t>
            </w:r>
          </w:p>
        </w:tc>
        <w:tc>
          <w:tcPr>
            <w:tcW w:w="900" w:type="dxa"/>
            <w:vAlign w:val="bottom"/>
            <w:vMerge w:val="restart"/>
          </w:tcPr>
          <w:p>
            <w:pPr>
              <w:jc w:val="center"/>
              <w:spacing w:after="0"/>
              <w:rPr>
                <w:sz w:val="20"/>
                <w:szCs w:val="20"/>
                <w:color w:val="auto"/>
              </w:rPr>
            </w:pPr>
            <w:r>
              <w:rPr>
                <w:rFonts w:ascii="Calibri" w:cs="Calibri" w:eastAsia="Calibri" w:hAnsi="Calibri"/>
                <w:sz w:val="18"/>
                <w:szCs w:val="18"/>
                <w:color w:val="51555C"/>
                <w:w w:val="96"/>
              </w:rPr>
              <w:t>Twelve</w:t>
            </w:r>
          </w:p>
        </w:tc>
        <w:tc>
          <w:tcPr>
            <w:tcW w:w="1100" w:type="dxa"/>
            <w:vAlign w:val="bottom"/>
            <w:vMerge w:val="restart"/>
          </w:tcPr>
          <w:p>
            <w:pPr>
              <w:ind w:left="240"/>
              <w:spacing w:after="0"/>
              <w:rPr>
                <w:sz w:val="20"/>
                <w:szCs w:val="20"/>
                <w:color w:val="auto"/>
              </w:rPr>
            </w:pPr>
            <w:r>
              <w:rPr>
                <w:rFonts w:ascii="Calibri" w:cs="Calibri" w:eastAsia="Calibri" w:hAnsi="Calibri"/>
                <w:sz w:val="18"/>
                <w:szCs w:val="18"/>
                <w:color w:val="51555C"/>
              </w:rPr>
              <w:t>X</w:t>
            </w:r>
          </w:p>
        </w:tc>
        <w:tc>
          <w:tcPr>
            <w:tcW w:w="1260" w:type="dxa"/>
            <w:vAlign w:val="bottom"/>
            <w:vMerge w:val="restart"/>
          </w:tcPr>
          <w:p>
            <w:pPr>
              <w:jc w:val="right"/>
              <w:spacing w:after="0"/>
              <w:rPr>
                <w:sz w:val="20"/>
                <w:szCs w:val="20"/>
                <w:color w:val="auto"/>
              </w:rPr>
            </w:pPr>
            <w:r>
              <w:rPr>
                <w:rFonts w:ascii="Calibri" w:cs="Calibri" w:eastAsia="Calibri" w:hAnsi="Calibri"/>
                <w:sz w:val="18"/>
                <w:szCs w:val="18"/>
                <w:color w:val="51555C"/>
              </w:rPr>
              <w:t>59,206</w:t>
            </w:r>
          </w:p>
        </w:tc>
        <w:tc>
          <w:tcPr>
            <w:tcW w:w="0" w:type="dxa"/>
            <w:vAlign w:val="bottom"/>
          </w:tcPr>
          <w:p>
            <w:pPr>
              <w:spacing w:after="0"/>
              <w:rPr>
                <w:sz w:val="1"/>
                <w:szCs w:val="1"/>
                <w:color w:val="auto"/>
              </w:rPr>
            </w:pPr>
          </w:p>
        </w:tc>
      </w:tr>
      <w:tr>
        <w:trPr>
          <w:trHeight w:val="175"/>
        </w:trPr>
        <w:tc>
          <w:tcPr>
            <w:tcW w:w="3520" w:type="dxa"/>
            <w:vAlign w:val="bottom"/>
            <w:vMerge w:val="restart"/>
          </w:tcPr>
          <w:p>
            <w:pPr>
              <w:spacing w:after="0"/>
              <w:rPr>
                <w:sz w:val="20"/>
                <w:szCs w:val="20"/>
                <w:color w:val="auto"/>
              </w:rPr>
            </w:pPr>
            <w:r>
              <w:rPr>
                <w:rFonts w:ascii="Calibri" w:cs="Calibri" w:eastAsia="Calibri" w:hAnsi="Calibri"/>
                <w:sz w:val="14"/>
                <w:szCs w:val="14"/>
                <w:color w:val="51555C"/>
              </w:rPr>
              <w:t>Chief Executve Ofcer, President and Vice Chairman of</w:t>
            </w:r>
          </w:p>
        </w:tc>
        <w:tc>
          <w:tcPr>
            <w:tcW w:w="13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3520" w:type="dxa"/>
            <w:vAlign w:val="bottom"/>
            <w:vMerge w:val="continue"/>
          </w:tcPr>
          <w:p>
            <w:pPr>
              <w:spacing w:after="0"/>
              <w:rPr>
                <w:sz w:val="3"/>
                <w:szCs w:val="3"/>
                <w:color w:val="auto"/>
              </w:rPr>
            </w:pPr>
          </w:p>
        </w:tc>
        <w:tc>
          <w:tcPr>
            <w:tcW w:w="1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20"/>
                <w:szCs w:val="20"/>
                <w:color w:val="auto"/>
              </w:rPr>
            </w:pPr>
            <w:r>
              <w:rPr>
                <w:rFonts w:ascii="Calibri" w:cs="Calibri" w:eastAsia="Calibri" w:hAnsi="Calibri"/>
                <w:sz w:val="14"/>
                <w:szCs w:val="14"/>
                <w:color w:val="51555C"/>
              </w:rPr>
              <w:t>the Board</w:t>
            </w: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3520" w:type="dxa"/>
            <w:vAlign w:val="bottom"/>
          </w:tcPr>
          <w:p>
            <w:pPr>
              <w:spacing w:after="0"/>
              <w:rPr>
                <w:sz w:val="20"/>
                <w:szCs w:val="20"/>
                <w:color w:val="auto"/>
              </w:rPr>
            </w:pPr>
            <w:r>
              <w:rPr>
                <w:rFonts w:ascii="Calibri" w:cs="Calibri" w:eastAsia="Calibri" w:hAnsi="Calibri"/>
                <w:sz w:val="18"/>
                <w:szCs w:val="18"/>
                <w:b w:val="1"/>
                <w:bCs w:val="1"/>
                <w:color w:val="51555C"/>
              </w:rPr>
              <w:t>Anthony W. Boor</w:t>
            </w:r>
          </w:p>
        </w:tc>
        <w:tc>
          <w:tcPr>
            <w:tcW w:w="1320" w:type="dxa"/>
            <w:vAlign w:val="bottom"/>
            <w:vMerge w:val="restart"/>
          </w:tcPr>
          <w:p>
            <w:pPr>
              <w:ind w:left="320"/>
              <w:spacing w:after="0"/>
              <w:rPr>
                <w:sz w:val="20"/>
                <w:szCs w:val="20"/>
                <w:color w:val="auto"/>
              </w:rPr>
            </w:pPr>
            <w:r>
              <w:rPr>
                <w:rFonts w:ascii="Calibri" w:cs="Calibri" w:eastAsia="Calibri" w:hAnsi="Calibri"/>
                <w:sz w:val="18"/>
                <w:szCs w:val="18"/>
                <w:color w:val="51555C"/>
              </w:rPr>
              <w:t>Adopton</w:t>
            </w:r>
          </w:p>
        </w:tc>
        <w:tc>
          <w:tcPr>
            <w:tcW w:w="1080" w:type="dxa"/>
            <w:vAlign w:val="bottom"/>
            <w:vMerge w:val="restart"/>
          </w:tcPr>
          <w:p>
            <w:pPr>
              <w:jc w:val="right"/>
              <w:ind w:right="90"/>
              <w:spacing w:after="0"/>
              <w:rPr>
                <w:sz w:val="20"/>
                <w:szCs w:val="20"/>
                <w:color w:val="auto"/>
              </w:rPr>
            </w:pPr>
            <w:r>
              <w:rPr>
                <w:rFonts w:ascii="Calibri" w:cs="Calibri" w:eastAsia="Calibri" w:hAnsi="Calibri"/>
                <w:sz w:val="18"/>
                <w:szCs w:val="18"/>
                <w:color w:val="51555C"/>
              </w:rPr>
              <w:t>8/21/24</w:t>
            </w:r>
          </w:p>
        </w:tc>
        <w:tc>
          <w:tcPr>
            <w:tcW w:w="1000" w:type="dxa"/>
            <w:vAlign w:val="bottom"/>
            <w:vMerge w:val="restart"/>
          </w:tcPr>
          <w:p>
            <w:pPr>
              <w:jc w:val="right"/>
              <w:ind w:right="50"/>
              <w:spacing w:after="0"/>
              <w:rPr>
                <w:sz w:val="20"/>
                <w:szCs w:val="20"/>
                <w:color w:val="auto"/>
              </w:rPr>
            </w:pPr>
            <w:r>
              <w:rPr>
                <w:rFonts w:ascii="Calibri" w:cs="Calibri" w:eastAsia="Calibri" w:hAnsi="Calibri"/>
                <w:sz w:val="18"/>
                <w:szCs w:val="18"/>
                <w:color w:val="51555C"/>
              </w:rPr>
              <w:t>11/20/24</w:t>
            </w:r>
          </w:p>
        </w:tc>
        <w:tc>
          <w:tcPr>
            <w:tcW w:w="1020" w:type="dxa"/>
            <w:vAlign w:val="bottom"/>
            <w:vMerge w:val="restart"/>
          </w:tcPr>
          <w:p>
            <w:pPr>
              <w:jc w:val="right"/>
              <w:ind w:right="130"/>
              <w:spacing w:after="0"/>
              <w:rPr>
                <w:sz w:val="20"/>
                <w:szCs w:val="20"/>
                <w:color w:val="auto"/>
              </w:rPr>
            </w:pPr>
            <w:r>
              <w:rPr>
                <w:rFonts w:ascii="Calibri" w:cs="Calibri" w:eastAsia="Calibri" w:hAnsi="Calibri"/>
                <w:sz w:val="18"/>
                <w:szCs w:val="18"/>
                <w:color w:val="51555C"/>
              </w:rPr>
              <w:t>5/23/25</w:t>
            </w:r>
          </w:p>
        </w:tc>
        <w:tc>
          <w:tcPr>
            <w:tcW w:w="900" w:type="dxa"/>
            <w:vAlign w:val="bottom"/>
            <w:vMerge w:val="restart"/>
          </w:tcPr>
          <w:p>
            <w:pPr>
              <w:jc w:val="center"/>
              <w:spacing w:after="0"/>
              <w:rPr>
                <w:sz w:val="20"/>
                <w:szCs w:val="20"/>
                <w:color w:val="auto"/>
              </w:rPr>
            </w:pPr>
            <w:r>
              <w:rPr>
                <w:rFonts w:ascii="Calibri" w:cs="Calibri" w:eastAsia="Calibri" w:hAnsi="Calibri"/>
                <w:sz w:val="18"/>
                <w:szCs w:val="18"/>
                <w:color w:val="51555C"/>
                <w:w w:val="98"/>
              </w:rPr>
              <w:t>Six</w:t>
            </w:r>
          </w:p>
        </w:tc>
        <w:tc>
          <w:tcPr>
            <w:tcW w:w="1100" w:type="dxa"/>
            <w:vAlign w:val="bottom"/>
            <w:vMerge w:val="restart"/>
          </w:tcPr>
          <w:p>
            <w:pPr>
              <w:ind w:left="240"/>
              <w:spacing w:after="0"/>
              <w:rPr>
                <w:sz w:val="20"/>
                <w:szCs w:val="20"/>
                <w:color w:val="auto"/>
              </w:rPr>
            </w:pPr>
            <w:r>
              <w:rPr>
                <w:rFonts w:ascii="Calibri" w:cs="Calibri" w:eastAsia="Calibri" w:hAnsi="Calibri"/>
                <w:sz w:val="18"/>
                <w:szCs w:val="18"/>
                <w:color w:val="51555C"/>
              </w:rPr>
              <w:t>X</w:t>
            </w:r>
          </w:p>
        </w:tc>
        <w:tc>
          <w:tcPr>
            <w:tcW w:w="1260" w:type="dxa"/>
            <w:vAlign w:val="bottom"/>
            <w:vMerge w:val="restart"/>
          </w:tcPr>
          <w:p>
            <w:pPr>
              <w:jc w:val="right"/>
              <w:spacing w:after="0"/>
              <w:rPr>
                <w:sz w:val="20"/>
                <w:szCs w:val="20"/>
                <w:color w:val="auto"/>
              </w:rPr>
            </w:pPr>
            <w:r>
              <w:rPr>
                <w:rFonts w:ascii="Calibri" w:cs="Calibri" w:eastAsia="Calibri" w:hAnsi="Calibri"/>
                <w:sz w:val="18"/>
                <w:szCs w:val="18"/>
                <w:color w:val="51555C"/>
              </w:rPr>
              <w:t>10,000</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20"/>
        <w:spacing w:after="0" w:line="199" w:lineRule="auto"/>
        <w:rPr>
          <w:sz w:val="20"/>
          <w:szCs w:val="20"/>
          <w:color w:val="auto"/>
        </w:rPr>
      </w:pPr>
      <w:r>
        <w:rPr>
          <w:rFonts w:ascii="Calibri" w:cs="Calibri" w:eastAsia="Calibri" w:hAnsi="Calibri"/>
          <w:sz w:val="14"/>
          <w:szCs w:val="14"/>
          <w:color w:val="51555C"/>
        </w:rPr>
        <w:t>Executve Vice President and 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jc w:val="both"/>
        <w:ind w:left="340" w:right="20" w:hanging="332"/>
        <w:spacing w:after="0" w:line="242" w:lineRule="auto"/>
        <w:tabs>
          <w:tab w:leader="none" w:pos="338" w:val="left"/>
        </w:tabs>
        <w:numPr>
          <w:ilvl w:val="0"/>
          <w:numId w:val="37"/>
        </w:numPr>
        <w:rPr>
          <w:rFonts w:ascii="Calibri" w:cs="Calibri" w:eastAsia="Calibri" w:hAnsi="Calibri"/>
          <w:sz w:val="14"/>
          <w:szCs w:val="14"/>
          <w:color w:val="51555C"/>
        </w:rPr>
      </w:pPr>
      <w:r>
        <w:rPr>
          <w:rFonts w:ascii="Calibri" w:cs="Calibri" w:eastAsia="Calibri" w:hAnsi="Calibri"/>
          <w:sz w:val="14"/>
          <w:szCs w:val="14"/>
          <w:color w:val="51555C"/>
        </w:rPr>
        <w:t>An SEC "Rule 10b5-1(c) trading arrangement" is a trading arrangement made by a person through entering into a binding contract, verbal instructon or adopton of a writen plan prior to becoming aware of material non-public informaton. The contract, instructon or writen plan must specify the amount, price and date of securites to be sold; include the means for determining the amount, price and date of the sale or sales; and not permit the person to have subsequent infuence over the sale or sales. The compliant plan must be entered into and operated in good faith, include a specifed cooling of period, be certfed by an authorized ofcer and is restricted from having multple or overlapping plans. A non-compliant trading arrangement, or a "non-Rule 10b5-1 trading arrangement," is a trading arrangement that has similar requirements to a Rule 10b5-1(c) trading arrangement except that it must be in writen form and does not require a cooling of period or certfcaton of an authorized ofcer and there is no restricton from having multple or overlapping plans.</w:t>
      </w:r>
    </w:p>
    <w:p>
      <w:pPr>
        <w:spacing w:after="0" w:line="168" w:lineRule="exact"/>
        <w:rPr>
          <w:sz w:val="20"/>
          <w:szCs w:val="20"/>
          <w:color w:val="auto"/>
        </w:rPr>
      </w:pPr>
    </w:p>
    <w:p>
      <w:pPr>
        <w:spacing w:after="0"/>
        <w:rPr>
          <w:sz w:val="20"/>
          <w:szCs w:val="20"/>
          <w:color w:val="auto"/>
        </w:rPr>
      </w:pPr>
      <w:r>
        <w:rPr>
          <w:rFonts w:ascii="Calibri" w:cs="Calibri" w:eastAsia="Calibri" w:hAnsi="Calibri"/>
          <w:sz w:val="18"/>
          <w:szCs w:val="18"/>
          <w:color w:val="51555C"/>
        </w:rPr>
        <w:t>None of our ofcers or directors adopted or terminated a non-Rule 10b5-1 trading arrangement during the three months ended September 30, 2024.</w:t>
      </w:r>
    </w:p>
    <w:p>
      <w:pPr>
        <w:spacing w:after="0" w:line="337" w:lineRule="exact"/>
        <w:rPr>
          <w:sz w:val="20"/>
          <w:szCs w:val="20"/>
          <w:color w:val="auto"/>
        </w:rPr>
      </w:pPr>
    </w:p>
    <w:p>
      <w:pPr>
        <w:ind w:left="20"/>
        <w:spacing w:after="0"/>
        <w:tabs>
          <w:tab w:leader="none" w:pos="473" w:val="left"/>
        </w:tabs>
        <w:rPr>
          <w:sz w:val="20"/>
          <w:szCs w:val="20"/>
          <w:color w:val="auto"/>
        </w:rPr>
      </w:pPr>
      <w:r>
        <w:rPr>
          <w:rFonts w:ascii="Calibri" w:cs="Calibri" w:eastAsia="Calibri" w:hAnsi="Calibri"/>
          <w:sz w:val="14"/>
          <w:szCs w:val="14"/>
          <w:color w:val="51555C"/>
        </w:rPr>
        <w:t>54</w:t>
      </w:r>
      <w:r>
        <w:rPr>
          <w:sz w:val="20"/>
          <w:szCs w:val="20"/>
          <w:color w:val="auto"/>
        </w:rPr>
        <w:tab/>
      </w:r>
      <w:r>
        <w:rPr>
          <w:sz w:val="1"/>
          <w:szCs w:val="1"/>
          <w:color w:val="auto"/>
        </w:rPr>
        <w:drawing>
          <wp:inline distT="0" distB="0" distL="0" distR="0">
            <wp:extent cx="651510" cy="1714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Calibri" w:cs="Calibri" w:eastAsia="Calibri" w:hAnsi="Calibri"/>
          <w:sz w:val="14"/>
          <w:szCs w:val="14"/>
          <w:color w:val="51555C"/>
        </w:rPr>
        <w:t xml:space="preserve">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6. EXHIBITS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51555C"/>
        </w:rPr>
        <w:t>The exhibits listed below are fled or incorporated by reference as part of this Quarterly Report on Form 10-Q:</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73" w:type="dxa"/>
            <w:vAlign w:val="bottom"/>
            <w:shd w:val="clear" w:color="auto" w:fill="004054"/>
          </w:tcPr>
          <w:p>
            <w:pPr>
              <w:spacing w:after="0"/>
              <w:rPr>
                <w:sz w:val="16"/>
                <w:szCs w:val="16"/>
                <w:color w:val="auto"/>
              </w:rPr>
            </w:pPr>
          </w:p>
        </w:tc>
        <w:tc>
          <w:tcPr>
            <w:tcW w:w="5448" w:type="dxa"/>
            <w:vAlign w:val="bottom"/>
            <w:shd w:val="clear" w:color="auto" w:fill="004054"/>
          </w:tcPr>
          <w:p>
            <w:pPr>
              <w:spacing w:after="0"/>
              <w:rPr>
                <w:sz w:val="16"/>
                <w:szCs w:val="16"/>
                <w:color w:val="auto"/>
              </w:rPr>
            </w:pPr>
          </w:p>
        </w:tc>
        <w:tc>
          <w:tcPr>
            <w:tcW w:w="953" w:type="dxa"/>
            <w:vAlign w:val="bottom"/>
            <w:shd w:val="clear" w:color="auto" w:fill="004054"/>
          </w:tcPr>
          <w:p>
            <w:pPr>
              <w:spacing w:after="0"/>
              <w:rPr>
                <w:sz w:val="16"/>
                <w:szCs w:val="16"/>
                <w:color w:val="auto"/>
              </w:rPr>
            </w:pPr>
          </w:p>
        </w:tc>
        <w:tc>
          <w:tcPr>
            <w:tcW w:w="1078" w:type="dxa"/>
            <w:vAlign w:val="bottom"/>
            <w:shd w:val="clear" w:color="auto" w:fill="004054"/>
          </w:tcPr>
          <w:p>
            <w:pPr>
              <w:spacing w:after="0"/>
              <w:rPr>
                <w:sz w:val="16"/>
                <w:szCs w:val="16"/>
                <w:color w:val="auto"/>
              </w:rPr>
            </w:pPr>
          </w:p>
        </w:tc>
        <w:tc>
          <w:tcPr>
            <w:tcW w:w="1360" w:type="dxa"/>
            <w:vAlign w:val="bottom"/>
            <w:shd w:val="clear" w:color="auto" w:fill="004054"/>
          </w:tcPr>
          <w:p>
            <w:pPr>
              <w:ind w:left="70"/>
              <w:spacing w:after="0"/>
              <w:rPr>
                <w:sz w:val="20"/>
                <w:szCs w:val="20"/>
                <w:color w:val="auto"/>
              </w:rPr>
            </w:pPr>
            <w:r>
              <w:rPr>
                <w:rFonts w:ascii="Calibri" w:cs="Calibri" w:eastAsia="Calibri" w:hAnsi="Calibri"/>
                <w:sz w:val="14"/>
                <w:szCs w:val="14"/>
                <w:b w:val="1"/>
                <w:bCs w:val="1"/>
                <w:color w:val="FFFFFF"/>
              </w:rPr>
              <w:t>Filed In</w:t>
            </w:r>
          </w:p>
        </w:tc>
        <w:tc>
          <w:tcPr>
            <w:tcW w:w="1250" w:type="dxa"/>
            <w:vAlign w:val="bottom"/>
            <w:shd w:val="clear" w:color="auto" w:fill="004054"/>
          </w:tcPr>
          <w:p>
            <w:pPr>
              <w:spacing w:after="0"/>
              <w:rPr>
                <w:sz w:val="16"/>
                <w:szCs w:val="16"/>
                <w:color w:val="auto"/>
              </w:rPr>
            </w:pPr>
          </w:p>
        </w:tc>
      </w:tr>
      <w:tr>
        <w:trPr>
          <w:trHeight w:val="228"/>
        </w:trPr>
        <w:tc>
          <w:tcPr>
            <w:tcW w:w="1173" w:type="dxa"/>
            <w:vAlign w:val="bottom"/>
            <w:shd w:val="clear" w:color="auto" w:fill="004054"/>
          </w:tcPr>
          <w:p>
            <w:pPr>
              <w:jc w:val="right"/>
              <w:ind w:right="21"/>
              <w:spacing w:after="0"/>
              <w:rPr>
                <w:sz w:val="20"/>
                <w:szCs w:val="20"/>
                <w:color w:val="auto"/>
              </w:rPr>
            </w:pPr>
            <w:r>
              <w:rPr>
                <w:rFonts w:ascii="Calibri" w:cs="Calibri" w:eastAsia="Calibri" w:hAnsi="Calibri"/>
                <w:sz w:val="14"/>
                <w:szCs w:val="14"/>
                <w:b w:val="1"/>
                <w:bCs w:val="1"/>
                <w:color w:val="FFFFFF"/>
              </w:rPr>
              <w:t>Exhibit</w:t>
            </w:r>
          </w:p>
        </w:tc>
        <w:tc>
          <w:tcPr>
            <w:tcW w:w="5448" w:type="dxa"/>
            <w:vAlign w:val="bottom"/>
            <w:shd w:val="clear" w:color="auto" w:fill="004054"/>
          </w:tcPr>
          <w:p>
            <w:pPr>
              <w:spacing w:after="0"/>
              <w:rPr>
                <w:sz w:val="19"/>
                <w:szCs w:val="19"/>
                <w:color w:val="auto"/>
              </w:rPr>
            </w:pPr>
          </w:p>
        </w:tc>
        <w:tc>
          <w:tcPr>
            <w:tcW w:w="953" w:type="dxa"/>
            <w:vAlign w:val="bottom"/>
            <w:shd w:val="clear" w:color="auto" w:fill="004054"/>
          </w:tcPr>
          <w:p>
            <w:pPr>
              <w:jc w:val="center"/>
              <w:ind w:right="1"/>
              <w:spacing w:after="0"/>
              <w:rPr>
                <w:sz w:val="20"/>
                <w:szCs w:val="20"/>
                <w:color w:val="auto"/>
              </w:rPr>
            </w:pPr>
            <w:r>
              <w:rPr>
                <w:rFonts w:ascii="Calibri" w:cs="Calibri" w:eastAsia="Calibri" w:hAnsi="Calibri"/>
                <w:sz w:val="14"/>
                <w:szCs w:val="14"/>
                <w:b w:val="1"/>
                <w:bCs w:val="1"/>
                <w:color w:val="FFFFFF"/>
              </w:rPr>
              <w:t>Filed</w:t>
            </w:r>
          </w:p>
        </w:tc>
        <w:tc>
          <w:tcPr>
            <w:tcW w:w="1078" w:type="dxa"/>
            <w:vAlign w:val="bottom"/>
            <w:shd w:val="clear" w:color="auto" w:fill="004054"/>
          </w:tcPr>
          <w:p>
            <w:pPr>
              <w:spacing w:after="0"/>
              <w:rPr>
                <w:sz w:val="19"/>
                <w:szCs w:val="19"/>
                <w:color w:val="auto"/>
              </w:rPr>
            </w:pPr>
          </w:p>
        </w:tc>
        <w:tc>
          <w:tcPr>
            <w:tcW w:w="1360" w:type="dxa"/>
            <w:vAlign w:val="bottom"/>
            <w:shd w:val="clear" w:color="auto" w:fill="004054"/>
          </w:tcPr>
          <w:p>
            <w:pPr>
              <w:spacing w:after="0"/>
              <w:rPr>
                <w:sz w:val="19"/>
                <w:szCs w:val="19"/>
                <w:color w:val="auto"/>
              </w:rPr>
            </w:pPr>
          </w:p>
        </w:tc>
        <w:tc>
          <w:tcPr>
            <w:tcW w:w="1250" w:type="dxa"/>
            <w:vAlign w:val="bottom"/>
            <w:shd w:val="clear" w:color="auto" w:fill="004054"/>
          </w:tcPr>
          <w:p>
            <w:pPr>
              <w:spacing w:after="0"/>
              <w:rPr>
                <w:sz w:val="19"/>
                <w:szCs w:val="19"/>
                <w:color w:val="auto"/>
              </w:rPr>
            </w:pPr>
          </w:p>
        </w:tc>
      </w:tr>
      <w:tr>
        <w:trPr>
          <w:trHeight w:val="183"/>
        </w:trPr>
        <w:tc>
          <w:tcPr>
            <w:tcW w:w="1173" w:type="dxa"/>
            <w:vAlign w:val="bottom"/>
            <w:shd w:val="clear" w:color="auto" w:fill="004054"/>
          </w:tcPr>
          <w:p>
            <w:pPr>
              <w:jc w:val="right"/>
              <w:ind w:right="21"/>
              <w:spacing w:after="0"/>
              <w:rPr>
                <w:sz w:val="20"/>
                <w:szCs w:val="20"/>
                <w:color w:val="auto"/>
              </w:rPr>
            </w:pPr>
            <w:r>
              <w:rPr>
                <w:rFonts w:ascii="Calibri" w:cs="Calibri" w:eastAsia="Calibri" w:hAnsi="Calibri"/>
                <w:sz w:val="14"/>
                <w:szCs w:val="14"/>
                <w:b w:val="1"/>
                <w:bCs w:val="1"/>
                <w:color w:val="FFFFFF"/>
              </w:rPr>
              <w:t>Number</w:t>
            </w:r>
          </w:p>
        </w:tc>
        <w:tc>
          <w:tcPr>
            <w:tcW w:w="5448" w:type="dxa"/>
            <w:vAlign w:val="bottom"/>
            <w:shd w:val="clear" w:color="auto" w:fill="004054"/>
          </w:tcPr>
          <w:p>
            <w:pPr>
              <w:ind w:left="1948"/>
              <w:spacing w:after="0"/>
              <w:rPr>
                <w:sz w:val="20"/>
                <w:szCs w:val="20"/>
                <w:color w:val="auto"/>
              </w:rPr>
            </w:pPr>
            <w:r>
              <w:rPr>
                <w:rFonts w:ascii="Calibri" w:cs="Calibri" w:eastAsia="Calibri" w:hAnsi="Calibri"/>
                <w:sz w:val="14"/>
                <w:szCs w:val="14"/>
                <w:b w:val="1"/>
                <w:bCs w:val="1"/>
                <w:color w:val="FFFFFF"/>
              </w:rPr>
              <w:t>Descripton of Document</w:t>
            </w:r>
          </w:p>
        </w:tc>
        <w:tc>
          <w:tcPr>
            <w:tcW w:w="953" w:type="dxa"/>
            <w:vAlign w:val="bottom"/>
            <w:shd w:val="clear" w:color="auto" w:fill="004054"/>
          </w:tcPr>
          <w:p>
            <w:pPr>
              <w:jc w:val="center"/>
              <w:ind w:right="1"/>
              <w:spacing w:after="0"/>
              <w:rPr>
                <w:sz w:val="20"/>
                <w:szCs w:val="20"/>
                <w:color w:val="auto"/>
              </w:rPr>
            </w:pPr>
            <w:r>
              <w:rPr>
                <w:rFonts w:ascii="Calibri" w:cs="Calibri" w:eastAsia="Calibri" w:hAnsi="Calibri"/>
                <w:sz w:val="14"/>
                <w:szCs w:val="14"/>
                <w:b w:val="1"/>
                <w:bCs w:val="1"/>
                <w:color w:val="FFFFFF"/>
              </w:rPr>
              <w:t>Herewith</w:t>
            </w:r>
          </w:p>
        </w:tc>
        <w:tc>
          <w:tcPr>
            <w:tcW w:w="1078" w:type="dxa"/>
            <w:vAlign w:val="bottom"/>
            <w:shd w:val="clear" w:color="auto" w:fill="004054"/>
          </w:tcPr>
          <w:p>
            <w:pPr>
              <w:ind w:left="368"/>
              <w:spacing w:after="0"/>
              <w:rPr>
                <w:sz w:val="20"/>
                <w:szCs w:val="20"/>
                <w:color w:val="auto"/>
              </w:rPr>
            </w:pPr>
            <w:r>
              <w:rPr>
                <w:rFonts w:ascii="Calibri" w:cs="Calibri" w:eastAsia="Calibri" w:hAnsi="Calibri"/>
                <w:sz w:val="14"/>
                <w:szCs w:val="14"/>
                <w:b w:val="1"/>
                <w:bCs w:val="1"/>
                <w:color w:val="FFFFFF"/>
              </w:rPr>
              <w:t>Form</w:t>
            </w:r>
          </w:p>
        </w:tc>
        <w:tc>
          <w:tcPr>
            <w:tcW w:w="1360" w:type="dxa"/>
            <w:vAlign w:val="bottom"/>
            <w:shd w:val="clear" w:color="auto" w:fill="004054"/>
          </w:tcPr>
          <w:p>
            <w:pPr>
              <w:ind w:left="190"/>
              <w:spacing w:after="0"/>
              <w:rPr>
                <w:sz w:val="20"/>
                <w:szCs w:val="20"/>
                <w:color w:val="auto"/>
              </w:rPr>
            </w:pPr>
            <w:r>
              <w:rPr>
                <w:rFonts w:ascii="Calibri" w:cs="Calibri" w:eastAsia="Calibri" w:hAnsi="Calibri"/>
                <w:sz w:val="14"/>
                <w:szCs w:val="14"/>
                <w:b w:val="1"/>
                <w:bCs w:val="1"/>
                <w:color w:val="FFFFFF"/>
              </w:rPr>
              <w:t>Exhibit Number</w:t>
            </w:r>
          </w:p>
        </w:tc>
        <w:tc>
          <w:tcPr>
            <w:tcW w:w="1250" w:type="dxa"/>
            <w:vAlign w:val="bottom"/>
            <w:shd w:val="clear" w:color="auto" w:fill="004054"/>
          </w:tcPr>
          <w:p>
            <w:pPr>
              <w:ind w:left="310"/>
              <w:spacing w:after="0"/>
              <w:rPr>
                <w:sz w:val="20"/>
                <w:szCs w:val="20"/>
                <w:color w:val="auto"/>
              </w:rPr>
            </w:pPr>
            <w:r>
              <w:rPr>
                <w:rFonts w:ascii="Calibri" w:cs="Calibri" w:eastAsia="Calibri" w:hAnsi="Calibri"/>
                <w:sz w:val="14"/>
                <w:szCs w:val="14"/>
                <w:b w:val="1"/>
                <w:bCs w:val="1"/>
                <w:color w:val="FFFFFF"/>
              </w:rPr>
              <w:t>Filing Date</w:t>
            </w:r>
          </w:p>
        </w:tc>
      </w:tr>
      <w:tr>
        <w:trPr>
          <w:trHeight w:val="74"/>
        </w:trPr>
        <w:tc>
          <w:tcPr>
            <w:tcW w:w="1173" w:type="dxa"/>
            <w:vAlign w:val="bottom"/>
            <w:shd w:val="clear" w:color="auto" w:fill="004054"/>
          </w:tcPr>
          <w:p>
            <w:pPr>
              <w:spacing w:after="0"/>
              <w:rPr>
                <w:sz w:val="6"/>
                <w:szCs w:val="6"/>
                <w:color w:val="auto"/>
              </w:rPr>
            </w:pPr>
          </w:p>
        </w:tc>
        <w:tc>
          <w:tcPr>
            <w:tcW w:w="5448" w:type="dxa"/>
            <w:vAlign w:val="bottom"/>
            <w:shd w:val="clear" w:color="auto" w:fill="004054"/>
          </w:tcPr>
          <w:p>
            <w:pPr>
              <w:spacing w:after="0"/>
              <w:rPr>
                <w:sz w:val="6"/>
                <w:szCs w:val="6"/>
                <w:color w:val="auto"/>
              </w:rPr>
            </w:pPr>
          </w:p>
        </w:tc>
        <w:tc>
          <w:tcPr>
            <w:tcW w:w="953" w:type="dxa"/>
            <w:vAlign w:val="bottom"/>
            <w:shd w:val="clear" w:color="auto" w:fill="004054"/>
          </w:tcPr>
          <w:p>
            <w:pPr>
              <w:spacing w:after="0"/>
              <w:rPr>
                <w:sz w:val="6"/>
                <w:szCs w:val="6"/>
                <w:color w:val="auto"/>
              </w:rPr>
            </w:pPr>
          </w:p>
        </w:tc>
        <w:tc>
          <w:tcPr>
            <w:tcW w:w="1078" w:type="dxa"/>
            <w:vAlign w:val="bottom"/>
            <w:shd w:val="clear" w:color="auto" w:fill="004054"/>
          </w:tcPr>
          <w:p>
            <w:pPr>
              <w:spacing w:after="0"/>
              <w:rPr>
                <w:sz w:val="6"/>
                <w:szCs w:val="6"/>
                <w:color w:val="auto"/>
              </w:rPr>
            </w:pPr>
          </w:p>
        </w:tc>
        <w:tc>
          <w:tcPr>
            <w:tcW w:w="1360" w:type="dxa"/>
            <w:vAlign w:val="bottom"/>
            <w:shd w:val="clear" w:color="auto" w:fill="004054"/>
          </w:tcPr>
          <w:p>
            <w:pPr>
              <w:spacing w:after="0"/>
              <w:rPr>
                <w:sz w:val="6"/>
                <w:szCs w:val="6"/>
                <w:color w:val="auto"/>
              </w:rPr>
            </w:pPr>
          </w:p>
        </w:tc>
        <w:tc>
          <w:tcPr>
            <w:tcW w:w="125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3517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3517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-273685</wp:posOffset>
            </wp:positionV>
            <wp:extent cx="294894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p>
      <w:pPr>
        <w:spacing w:after="0" w:line="23" w:lineRule="exact"/>
        <w:rPr>
          <w:sz w:val="20"/>
          <w:szCs w:val="20"/>
          <w:color w:val="auto"/>
        </w:rPr>
      </w:pPr>
    </w:p>
    <w:tbl>
      <w:tblPr>
        <w:tblLayout w:type="fixed"/>
        <w:tblInd w:w="480" w:type="dxa"/>
        <w:tblCellMar>
          <w:top w:w="0" w:type="dxa"/>
          <w:left w:w="0" w:type="dxa"/>
          <w:bottom w:w="0" w:type="dxa"/>
          <w:right w:w="0" w:type="dxa"/>
        </w:tblCellMar>
      </w:tblPr>
      <w:tr>
        <w:trPr>
          <w:trHeight w:val="220"/>
        </w:trPr>
        <w:tc>
          <w:tcPr>
            <w:tcW w:w="740" w:type="dxa"/>
            <w:vAlign w:val="bottom"/>
            <w:gridSpan w:val="3"/>
          </w:tcPr>
          <w:p>
            <w:pPr>
              <w:jc w:val="right"/>
              <w:ind w:right="140"/>
              <w:spacing w:after="0"/>
              <w:rPr>
                <w:sz w:val="20"/>
                <w:szCs w:val="20"/>
                <w:color w:val="auto"/>
              </w:rPr>
            </w:pPr>
            <w:r>
              <w:rPr>
                <w:rFonts w:ascii="Calibri" w:cs="Calibri" w:eastAsia="Calibri" w:hAnsi="Calibri"/>
                <w:sz w:val="18"/>
                <w:szCs w:val="18"/>
                <w:color w:val="7A04DD"/>
              </w:rPr>
              <w:t>31.</w:t>
            </w:r>
            <w:r>
              <w:rPr>
                <w:rFonts w:ascii="Calibri" w:cs="Calibri" w:eastAsia="Calibri" w:hAnsi="Calibri"/>
                <w:sz w:val="18"/>
                <w:szCs w:val="18"/>
                <w:u w:val="single" w:color="auto"/>
                <w:color w:val="7A04DD"/>
              </w:rPr>
              <w:t>1</w:t>
            </w:r>
          </w:p>
        </w:tc>
        <w:tc>
          <w:tcPr>
            <w:tcW w:w="5220" w:type="dxa"/>
            <w:vAlign w:val="bottom"/>
            <w:gridSpan w:val="7"/>
          </w:tcPr>
          <w:p>
            <w:pPr>
              <w:spacing w:after="0"/>
              <w:rPr>
                <w:sz w:val="20"/>
                <w:szCs w:val="20"/>
                <w:color w:val="auto"/>
              </w:rPr>
            </w:pPr>
            <w:r>
              <w:rPr>
                <w:rFonts w:ascii="Calibri" w:cs="Calibri" w:eastAsia="Calibri" w:hAnsi="Calibri"/>
                <w:sz w:val="18"/>
                <w:szCs w:val="18"/>
                <w:color w:val="7A04DD"/>
              </w:rPr>
              <w:t>Certfcaton by the Chief Executve Ofcer pursuant to Secton 302 of the</w:t>
            </w:r>
          </w:p>
        </w:tc>
      </w:tr>
      <w:tr>
        <w:trPr>
          <w:trHeight w:val="196"/>
        </w:trPr>
        <w:tc>
          <w:tcPr>
            <w:tcW w:w="280" w:type="dxa"/>
            <w:vAlign w:val="bottom"/>
          </w:tcPr>
          <w:p>
            <w:pPr>
              <w:spacing w:after="0"/>
              <w:rPr>
                <w:sz w:val="17"/>
                <w:szCs w:val="17"/>
                <w:color w:val="auto"/>
              </w:rPr>
            </w:pPr>
          </w:p>
        </w:tc>
        <w:tc>
          <w:tcPr>
            <w:tcW w:w="320" w:type="dxa"/>
            <w:vAlign w:val="bottom"/>
            <w:tcBorders>
              <w:top w:val="single" w:sz="8" w:color="7A04DD"/>
            </w:tcBorders>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Borders>
              <w:top w:val="single" w:sz="8" w:color="7A04DD"/>
              <w:bottom w:val="single" w:sz="8" w:color="7A04DD"/>
            </w:tcBorders>
          </w:tcPr>
          <w:p>
            <w:pPr>
              <w:spacing w:after="0" w:line="196" w:lineRule="exact"/>
              <w:rPr>
                <w:sz w:val="20"/>
                <w:szCs w:val="20"/>
                <w:color w:val="auto"/>
              </w:rPr>
            </w:pPr>
            <w:r>
              <w:rPr>
                <w:rFonts w:ascii="Calibri" w:cs="Calibri" w:eastAsia="Calibri" w:hAnsi="Calibri"/>
                <w:sz w:val="18"/>
                <w:szCs w:val="18"/>
                <w:color w:val="7A04DD"/>
                <w:w w:val="96"/>
              </w:rPr>
              <w:t>Sarbanes-Oxley Act of 2002.</w:t>
            </w:r>
          </w:p>
        </w:tc>
        <w:tc>
          <w:tcPr>
            <w:tcW w:w="3200" w:type="dxa"/>
            <w:vAlign w:val="bottom"/>
            <w:tcBorders>
              <w:top w:val="single" w:sz="8" w:color="7A04DD"/>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40" w:type="dxa"/>
            <w:vAlign w:val="bottom"/>
            <w:gridSpan w:val="3"/>
          </w:tcPr>
          <w:p>
            <w:pPr>
              <w:jc w:val="right"/>
              <w:ind w:right="140"/>
              <w:spacing w:after="0"/>
              <w:rPr>
                <w:sz w:val="20"/>
                <w:szCs w:val="20"/>
                <w:color w:val="auto"/>
              </w:rPr>
            </w:pPr>
            <w:r>
              <w:rPr>
                <w:rFonts w:ascii="Calibri" w:cs="Calibri" w:eastAsia="Calibri" w:hAnsi="Calibri"/>
                <w:sz w:val="18"/>
                <w:szCs w:val="18"/>
                <w:color w:val="7A04DD"/>
              </w:rPr>
              <w:t>31.</w:t>
            </w:r>
            <w:r>
              <w:rPr>
                <w:rFonts w:ascii="Calibri" w:cs="Calibri" w:eastAsia="Calibri" w:hAnsi="Calibri"/>
                <w:sz w:val="18"/>
                <w:szCs w:val="18"/>
                <w:u w:val="single" w:color="auto"/>
                <w:color w:val="7A04DD"/>
              </w:rPr>
              <w:t>2</w:t>
            </w:r>
          </w:p>
        </w:tc>
        <w:tc>
          <w:tcPr>
            <w:tcW w:w="5220" w:type="dxa"/>
            <w:vAlign w:val="bottom"/>
            <w:gridSpan w:val="7"/>
          </w:tcPr>
          <w:p>
            <w:pPr>
              <w:spacing w:after="0"/>
              <w:rPr>
                <w:sz w:val="20"/>
                <w:szCs w:val="20"/>
                <w:color w:val="auto"/>
              </w:rPr>
            </w:pPr>
            <w:r>
              <w:rPr>
                <w:rFonts w:ascii="Calibri" w:cs="Calibri" w:eastAsia="Calibri" w:hAnsi="Calibri"/>
                <w:sz w:val="18"/>
                <w:szCs w:val="18"/>
                <w:color w:val="7A04DD"/>
              </w:rPr>
              <w:t>Certfcaton by the Chief Financial Ofcer pursuant to Secton 302 of the</w:t>
            </w:r>
          </w:p>
        </w:tc>
      </w:tr>
      <w:tr>
        <w:trPr>
          <w:trHeight w:val="196"/>
        </w:trPr>
        <w:tc>
          <w:tcPr>
            <w:tcW w:w="280" w:type="dxa"/>
            <w:vAlign w:val="bottom"/>
          </w:tcPr>
          <w:p>
            <w:pPr>
              <w:spacing w:after="0"/>
              <w:rPr>
                <w:sz w:val="17"/>
                <w:szCs w:val="17"/>
                <w:color w:val="auto"/>
              </w:rPr>
            </w:pPr>
          </w:p>
        </w:tc>
        <w:tc>
          <w:tcPr>
            <w:tcW w:w="320" w:type="dxa"/>
            <w:vAlign w:val="bottom"/>
            <w:tcBorders>
              <w:top w:val="single" w:sz="8" w:color="7A04DD"/>
            </w:tcBorders>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Borders>
              <w:top w:val="single" w:sz="8" w:color="7A04DD"/>
              <w:bottom w:val="single" w:sz="8" w:color="7A04DD"/>
            </w:tcBorders>
          </w:tcPr>
          <w:p>
            <w:pPr>
              <w:spacing w:after="0" w:line="196" w:lineRule="exact"/>
              <w:rPr>
                <w:sz w:val="20"/>
                <w:szCs w:val="20"/>
                <w:color w:val="auto"/>
              </w:rPr>
            </w:pPr>
            <w:r>
              <w:rPr>
                <w:rFonts w:ascii="Calibri" w:cs="Calibri" w:eastAsia="Calibri" w:hAnsi="Calibri"/>
                <w:sz w:val="18"/>
                <w:szCs w:val="18"/>
                <w:color w:val="7A04DD"/>
                <w:w w:val="96"/>
              </w:rPr>
              <w:t>Sarbanes-Oxley Act of 2002.</w:t>
            </w:r>
          </w:p>
        </w:tc>
        <w:tc>
          <w:tcPr>
            <w:tcW w:w="3140" w:type="dxa"/>
            <w:vAlign w:val="bottom"/>
            <w:tcBorders>
              <w:top w:val="single" w:sz="8" w:color="7A04DD"/>
            </w:tcBorders>
            <w:gridSpan w:val="4"/>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04"/>
        </w:trPr>
        <w:tc>
          <w:tcPr>
            <w:tcW w:w="740" w:type="dxa"/>
            <w:vAlign w:val="bottom"/>
            <w:gridSpan w:val="3"/>
          </w:tcPr>
          <w:p>
            <w:pPr>
              <w:jc w:val="right"/>
              <w:ind w:right="140"/>
              <w:spacing w:after="0"/>
              <w:rPr>
                <w:sz w:val="20"/>
                <w:szCs w:val="20"/>
                <w:color w:val="auto"/>
              </w:rPr>
            </w:pPr>
            <w:r>
              <w:rPr>
                <w:rFonts w:ascii="Calibri" w:cs="Calibri" w:eastAsia="Calibri" w:hAnsi="Calibri"/>
                <w:sz w:val="18"/>
                <w:szCs w:val="18"/>
                <w:color w:val="7A04DD"/>
              </w:rPr>
              <w:t>32.</w:t>
            </w:r>
            <w:r>
              <w:rPr>
                <w:rFonts w:ascii="Calibri" w:cs="Calibri" w:eastAsia="Calibri" w:hAnsi="Calibri"/>
                <w:sz w:val="18"/>
                <w:szCs w:val="18"/>
                <w:u w:val="single" w:color="auto"/>
                <w:color w:val="7A04DD"/>
              </w:rPr>
              <w:t>1</w:t>
            </w:r>
          </w:p>
        </w:tc>
        <w:tc>
          <w:tcPr>
            <w:tcW w:w="5220" w:type="dxa"/>
            <w:vAlign w:val="bottom"/>
            <w:gridSpan w:val="7"/>
          </w:tcPr>
          <w:p>
            <w:pPr>
              <w:spacing w:after="0"/>
              <w:rPr>
                <w:sz w:val="20"/>
                <w:szCs w:val="20"/>
                <w:color w:val="auto"/>
              </w:rPr>
            </w:pPr>
            <w:r>
              <w:rPr>
                <w:rFonts w:ascii="Calibri" w:cs="Calibri" w:eastAsia="Calibri" w:hAnsi="Calibri"/>
                <w:sz w:val="18"/>
                <w:szCs w:val="18"/>
                <w:color w:val="7A04DD"/>
              </w:rPr>
              <w:t>Certfcaton by the Chief Executve Ofcer pursuant to 18 U.S.C. 1350 as</w:t>
            </w:r>
          </w:p>
        </w:tc>
      </w:tr>
      <w:tr>
        <w:trPr>
          <w:trHeight w:val="196"/>
        </w:trPr>
        <w:tc>
          <w:tcPr>
            <w:tcW w:w="280" w:type="dxa"/>
            <w:vAlign w:val="bottom"/>
          </w:tcPr>
          <w:p>
            <w:pPr>
              <w:spacing w:after="0"/>
              <w:rPr>
                <w:sz w:val="17"/>
                <w:szCs w:val="17"/>
                <w:color w:val="auto"/>
              </w:rPr>
            </w:pPr>
          </w:p>
        </w:tc>
        <w:tc>
          <w:tcPr>
            <w:tcW w:w="320" w:type="dxa"/>
            <w:vAlign w:val="bottom"/>
            <w:tcBorders>
              <w:top w:val="single" w:sz="8" w:color="7A04DD"/>
            </w:tcBorders>
          </w:tcPr>
          <w:p>
            <w:pPr>
              <w:spacing w:after="0"/>
              <w:rPr>
                <w:sz w:val="17"/>
                <w:szCs w:val="17"/>
                <w:color w:val="auto"/>
              </w:rPr>
            </w:pPr>
          </w:p>
        </w:tc>
        <w:tc>
          <w:tcPr>
            <w:tcW w:w="140" w:type="dxa"/>
            <w:vAlign w:val="bottom"/>
          </w:tcPr>
          <w:p>
            <w:pPr>
              <w:spacing w:after="0"/>
              <w:rPr>
                <w:sz w:val="17"/>
                <w:szCs w:val="17"/>
                <w:color w:val="auto"/>
              </w:rPr>
            </w:pPr>
          </w:p>
        </w:tc>
        <w:tc>
          <w:tcPr>
            <w:tcW w:w="4840" w:type="dxa"/>
            <w:vAlign w:val="bottom"/>
            <w:tcBorders>
              <w:top w:val="single" w:sz="8" w:color="7A04DD"/>
              <w:bottom w:val="single" w:sz="8" w:color="7A04DD"/>
            </w:tcBorders>
            <w:gridSpan w:val="2"/>
          </w:tcPr>
          <w:p>
            <w:pPr>
              <w:spacing w:after="0" w:line="196" w:lineRule="exact"/>
              <w:rPr>
                <w:sz w:val="20"/>
                <w:szCs w:val="20"/>
                <w:color w:val="auto"/>
              </w:rPr>
            </w:pPr>
            <w:r>
              <w:rPr>
                <w:rFonts w:ascii="Calibri" w:cs="Calibri" w:eastAsia="Calibri" w:hAnsi="Calibri"/>
                <w:sz w:val="18"/>
                <w:szCs w:val="18"/>
                <w:color w:val="7A04DD"/>
                <w:w w:val="97"/>
              </w:rPr>
              <w:t>adopted pursuant to Secton 906 of the Sarbanes-Oxley Act of 2002.</w:t>
            </w:r>
          </w:p>
        </w:tc>
        <w:tc>
          <w:tcPr>
            <w:tcW w:w="280" w:type="dxa"/>
            <w:vAlign w:val="bottom"/>
            <w:tcBorders>
              <w:top w:val="single" w:sz="8" w:color="7A04DD"/>
            </w:tcBorders>
            <w:gridSpan w:val="2"/>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04"/>
        </w:trPr>
        <w:tc>
          <w:tcPr>
            <w:tcW w:w="740" w:type="dxa"/>
            <w:vAlign w:val="bottom"/>
            <w:gridSpan w:val="3"/>
          </w:tcPr>
          <w:p>
            <w:pPr>
              <w:jc w:val="right"/>
              <w:ind w:right="140"/>
              <w:spacing w:after="0"/>
              <w:rPr>
                <w:sz w:val="20"/>
                <w:szCs w:val="20"/>
                <w:color w:val="auto"/>
              </w:rPr>
            </w:pPr>
            <w:r>
              <w:rPr>
                <w:rFonts w:ascii="Calibri" w:cs="Calibri" w:eastAsia="Calibri" w:hAnsi="Calibri"/>
                <w:sz w:val="18"/>
                <w:szCs w:val="18"/>
                <w:color w:val="7A04DD"/>
              </w:rPr>
              <w:t>32.</w:t>
            </w:r>
            <w:r>
              <w:rPr>
                <w:rFonts w:ascii="Calibri" w:cs="Calibri" w:eastAsia="Calibri" w:hAnsi="Calibri"/>
                <w:sz w:val="18"/>
                <w:szCs w:val="18"/>
                <w:u w:val="single" w:color="auto"/>
                <w:color w:val="7A04DD"/>
              </w:rPr>
              <w:t>2</w:t>
            </w:r>
          </w:p>
        </w:tc>
        <w:tc>
          <w:tcPr>
            <w:tcW w:w="5220" w:type="dxa"/>
            <w:vAlign w:val="bottom"/>
            <w:gridSpan w:val="7"/>
          </w:tcPr>
          <w:p>
            <w:pPr>
              <w:spacing w:after="0"/>
              <w:rPr>
                <w:sz w:val="20"/>
                <w:szCs w:val="20"/>
                <w:color w:val="auto"/>
              </w:rPr>
            </w:pPr>
            <w:r>
              <w:rPr>
                <w:rFonts w:ascii="Calibri" w:cs="Calibri" w:eastAsia="Calibri" w:hAnsi="Calibri"/>
                <w:sz w:val="18"/>
                <w:szCs w:val="18"/>
                <w:color w:val="7A04DD"/>
              </w:rPr>
              <w:t>Certfcaton by the Chief Financial Ofcer pursuant to 18 U.S.C. 1350 as</w:t>
            </w:r>
          </w:p>
        </w:tc>
      </w:tr>
      <w:tr>
        <w:trPr>
          <w:trHeight w:val="196"/>
        </w:trPr>
        <w:tc>
          <w:tcPr>
            <w:tcW w:w="280" w:type="dxa"/>
            <w:vAlign w:val="bottom"/>
          </w:tcPr>
          <w:p>
            <w:pPr>
              <w:spacing w:after="0"/>
              <w:rPr>
                <w:sz w:val="17"/>
                <w:szCs w:val="17"/>
                <w:color w:val="auto"/>
              </w:rPr>
            </w:pPr>
          </w:p>
        </w:tc>
        <w:tc>
          <w:tcPr>
            <w:tcW w:w="320" w:type="dxa"/>
            <w:vAlign w:val="bottom"/>
            <w:tcBorders>
              <w:top w:val="single" w:sz="8" w:color="7A04DD"/>
            </w:tcBorders>
          </w:tcPr>
          <w:p>
            <w:pPr>
              <w:spacing w:after="0"/>
              <w:rPr>
                <w:sz w:val="17"/>
                <w:szCs w:val="17"/>
                <w:color w:val="auto"/>
              </w:rPr>
            </w:pPr>
          </w:p>
        </w:tc>
        <w:tc>
          <w:tcPr>
            <w:tcW w:w="140" w:type="dxa"/>
            <w:vAlign w:val="bottom"/>
          </w:tcPr>
          <w:p>
            <w:pPr>
              <w:spacing w:after="0"/>
              <w:rPr>
                <w:sz w:val="17"/>
                <w:szCs w:val="17"/>
                <w:color w:val="auto"/>
              </w:rPr>
            </w:pPr>
          </w:p>
        </w:tc>
        <w:tc>
          <w:tcPr>
            <w:tcW w:w="4840" w:type="dxa"/>
            <w:vAlign w:val="bottom"/>
            <w:tcBorders>
              <w:top w:val="single" w:sz="8" w:color="7A04DD"/>
              <w:bottom w:val="single" w:sz="8" w:color="7A04DD"/>
            </w:tcBorders>
            <w:gridSpan w:val="2"/>
          </w:tcPr>
          <w:p>
            <w:pPr>
              <w:spacing w:after="0" w:line="196" w:lineRule="exact"/>
              <w:rPr>
                <w:sz w:val="20"/>
                <w:szCs w:val="20"/>
                <w:color w:val="auto"/>
              </w:rPr>
            </w:pPr>
            <w:r>
              <w:rPr>
                <w:rFonts w:ascii="Calibri" w:cs="Calibri" w:eastAsia="Calibri" w:hAnsi="Calibri"/>
                <w:sz w:val="18"/>
                <w:szCs w:val="18"/>
                <w:color w:val="7A04DD"/>
                <w:w w:val="97"/>
              </w:rPr>
              <w:t>adopted pursuant to Secton 906 of the Sarbanes-Oxley Act of 2002.</w:t>
            </w:r>
          </w:p>
        </w:tc>
        <w:tc>
          <w:tcPr>
            <w:tcW w:w="220" w:type="dxa"/>
            <w:vAlign w:val="bottom"/>
            <w:tcBorders>
              <w:top w:val="single" w:sz="8" w:color="7A04DD"/>
            </w:tcBorders>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281"/>
        </w:trPr>
        <w:tc>
          <w:tcPr>
            <w:tcW w:w="740" w:type="dxa"/>
            <w:vAlign w:val="bottom"/>
            <w:gridSpan w:val="3"/>
          </w:tcPr>
          <w:p>
            <w:pPr>
              <w:jc w:val="right"/>
              <w:ind w:right="140"/>
              <w:spacing w:after="0"/>
              <w:rPr>
                <w:sz w:val="20"/>
                <w:szCs w:val="20"/>
                <w:color w:val="auto"/>
              </w:rPr>
            </w:pPr>
            <w:r>
              <w:rPr>
                <w:rFonts w:ascii="Calibri" w:cs="Calibri" w:eastAsia="Calibri" w:hAnsi="Calibri"/>
                <w:sz w:val="18"/>
                <w:szCs w:val="18"/>
                <w:color w:val="51555C"/>
              </w:rPr>
              <w:t>101.INS</w:t>
            </w:r>
          </w:p>
        </w:tc>
        <w:tc>
          <w:tcPr>
            <w:tcW w:w="5220" w:type="dxa"/>
            <w:vAlign w:val="bottom"/>
            <w:gridSpan w:val="7"/>
          </w:tcPr>
          <w:p>
            <w:pPr>
              <w:spacing w:after="0"/>
              <w:rPr>
                <w:sz w:val="20"/>
                <w:szCs w:val="20"/>
                <w:color w:val="auto"/>
              </w:rPr>
            </w:pPr>
            <w:r>
              <w:rPr>
                <w:rFonts w:ascii="Calibri" w:cs="Calibri" w:eastAsia="Calibri" w:hAnsi="Calibri"/>
                <w:sz w:val="18"/>
                <w:szCs w:val="18"/>
                <w:color w:val="51555C"/>
                <w:w w:val="97"/>
              </w:rPr>
              <w:t>Inline XBRL Instance Document - the Instance Document does not appear</w:t>
            </w:r>
          </w:p>
        </w:tc>
      </w:tr>
      <w:tr>
        <w:trPr>
          <w:trHeight w:val="216"/>
        </w:trPr>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20" w:type="dxa"/>
            <w:vAlign w:val="bottom"/>
            <w:gridSpan w:val="7"/>
          </w:tcPr>
          <w:p>
            <w:pPr>
              <w:spacing w:after="0" w:line="216" w:lineRule="exact"/>
              <w:rPr>
                <w:sz w:val="20"/>
                <w:szCs w:val="20"/>
                <w:color w:val="auto"/>
              </w:rPr>
            </w:pPr>
            <w:r>
              <w:rPr>
                <w:rFonts w:ascii="Calibri" w:cs="Calibri" w:eastAsia="Calibri" w:hAnsi="Calibri"/>
                <w:sz w:val="18"/>
                <w:szCs w:val="18"/>
                <w:color w:val="51555C"/>
                <w:w w:val="98"/>
              </w:rPr>
              <w:t>in the interactve data fle because its XBRL tags are embedded within the</w:t>
            </w:r>
          </w:p>
        </w:tc>
      </w:tr>
      <w:tr>
        <w:trPr>
          <w:trHeight w:val="216"/>
        </w:trPr>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20" w:type="dxa"/>
            <w:vAlign w:val="bottom"/>
            <w:gridSpan w:val="7"/>
          </w:tcPr>
          <w:p>
            <w:pPr>
              <w:spacing w:after="0" w:line="216" w:lineRule="exact"/>
              <w:rPr>
                <w:sz w:val="20"/>
                <w:szCs w:val="20"/>
                <w:color w:val="auto"/>
              </w:rPr>
            </w:pPr>
            <w:r>
              <w:rPr>
                <w:rFonts w:ascii="Calibri" w:cs="Calibri" w:eastAsia="Calibri" w:hAnsi="Calibri"/>
                <w:sz w:val="18"/>
                <w:szCs w:val="18"/>
                <w:color w:val="51555C"/>
              </w:rPr>
              <w:t>Inline XBRL Document.</w:t>
            </w:r>
          </w:p>
        </w:tc>
      </w:tr>
      <w:tr>
        <w:trPr>
          <w:trHeight w:val="270"/>
        </w:trPr>
        <w:tc>
          <w:tcPr>
            <w:tcW w:w="740" w:type="dxa"/>
            <w:vAlign w:val="bottom"/>
            <w:gridSpan w:val="3"/>
          </w:tcPr>
          <w:p>
            <w:pPr>
              <w:jc w:val="right"/>
              <w:ind w:right="140"/>
              <w:spacing w:after="0"/>
              <w:rPr>
                <w:sz w:val="20"/>
                <w:szCs w:val="20"/>
                <w:color w:val="auto"/>
              </w:rPr>
            </w:pPr>
            <w:r>
              <w:rPr>
                <w:rFonts w:ascii="Calibri" w:cs="Calibri" w:eastAsia="Calibri" w:hAnsi="Calibri"/>
                <w:sz w:val="18"/>
                <w:szCs w:val="18"/>
                <w:color w:val="51555C"/>
                <w:w w:val="95"/>
              </w:rPr>
              <w:t>101.SCH</w:t>
            </w:r>
          </w:p>
        </w:tc>
        <w:tc>
          <w:tcPr>
            <w:tcW w:w="5220" w:type="dxa"/>
            <w:vAlign w:val="bottom"/>
            <w:gridSpan w:val="7"/>
          </w:tcPr>
          <w:p>
            <w:pPr>
              <w:spacing w:after="0"/>
              <w:rPr>
                <w:sz w:val="20"/>
                <w:szCs w:val="20"/>
                <w:color w:val="auto"/>
              </w:rPr>
            </w:pPr>
            <w:r>
              <w:rPr>
                <w:rFonts w:ascii="Calibri" w:cs="Calibri" w:eastAsia="Calibri" w:hAnsi="Calibri"/>
                <w:sz w:val="18"/>
                <w:szCs w:val="18"/>
                <w:color w:val="51555C"/>
              </w:rPr>
              <w:t>Inline XBRL Taxonomy Extension Schema Document.</w:t>
            </w:r>
          </w:p>
        </w:tc>
      </w:tr>
      <w:tr>
        <w:trPr>
          <w:trHeight w:val="270"/>
        </w:trPr>
        <w:tc>
          <w:tcPr>
            <w:tcW w:w="740" w:type="dxa"/>
            <w:vAlign w:val="bottom"/>
            <w:gridSpan w:val="3"/>
          </w:tcPr>
          <w:p>
            <w:pPr>
              <w:jc w:val="right"/>
              <w:ind w:right="140"/>
              <w:spacing w:after="0"/>
              <w:rPr>
                <w:sz w:val="20"/>
                <w:szCs w:val="20"/>
                <w:color w:val="auto"/>
              </w:rPr>
            </w:pPr>
            <w:r>
              <w:rPr>
                <w:rFonts w:ascii="Calibri" w:cs="Calibri" w:eastAsia="Calibri" w:hAnsi="Calibri"/>
                <w:sz w:val="18"/>
                <w:szCs w:val="18"/>
                <w:color w:val="51555C"/>
                <w:w w:val="97"/>
              </w:rPr>
              <w:t>101.CAL</w:t>
            </w:r>
          </w:p>
        </w:tc>
        <w:tc>
          <w:tcPr>
            <w:tcW w:w="5220" w:type="dxa"/>
            <w:vAlign w:val="bottom"/>
            <w:gridSpan w:val="7"/>
          </w:tcPr>
          <w:p>
            <w:pPr>
              <w:spacing w:after="0"/>
              <w:rPr>
                <w:sz w:val="20"/>
                <w:szCs w:val="20"/>
                <w:color w:val="auto"/>
              </w:rPr>
            </w:pPr>
            <w:r>
              <w:rPr>
                <w:rFonts w:ascii="Calibri" w:cs="Calibri" w:eastAsia="Calibri" w:hAnsi="Calibri"/>
                <w:sz w:val="18"/>
                <w:szCs w:val="18"/>
                <w:color w:val="51555C"/>
              </w:rPr>
              <w:t>Inline XBRL Taxonomy Extension Calculaton Linkbase Document.</w:t>
            </w:r>
          </w:p>
        </w:tc>
      </w:tr>
      <w:tr>
        <w:trPr>
          <w:trHeight w:val="270"/>
        </w:trPr>
        <w:tc>
          <w:tcPr>
            <w:tcW w:w="740" w:type="dxa"/>
            <w:vAlign w:val="bottom"/>
            <w:gridSpan w:val="3"/>
          </w:tcPr>
          <w:p>
            <w:pPr>
              <w:jc w:val="right"/>
              <w:ind w:right="140"/>
              <w:spacing w:after="0"/>
              <w:rPr>
                <w:sz w:val="20"/>
                <w:szCs w:val="20"/>
                <w:color w:val="auto"/>
              </w:rPr>
            </w:pPr>
            <w:r>
              <w:rPr>
                <w:rFonts w:ascii="Calibri" w:cs="Calibri" w:eastAsia="Calibri" w:hAnsi="Calibri"/>
                <w:sz w:val="18"/>
                <w:szCs w:val="18"/>
                <w:color w:val="51555C"/>
                <w:w w:val="96"/>
              </w:rPr>
              <w:t>101.DEF</w:t>
            </w:r>
          </w:p>
        </w:tc>
        <w:tc>
          <w:tcPr>
            <w:tcW w:w="5220" w:type="dxa"/>
            <w:vAlign w:val="bottom"/>
            <w:gridSpan w:val="7"/>
          </w:tcPr>
          <w:p>
            <w:pPr>
              <w:spacing w:after="0"/>
              <w:rPr>
                <w:sz w:val="20"/>
                <w:szCs w:val="20"/>
                <w:color w:val="auto"/>
              </w:rPr>
            </w:pPr>
            <w:r>
              <w:rPr>
                <w:rFonts w:ascii="Calibri" w:cs="Calibri" w:eastAsia="Calibri" w:hAnsi="Calibri"/>
                <w:sz w:val="18"/>
                <w:szCs w:val="18"/>
                <w:color w:val="51555C"/>
              </w:rPr>
              <w:t>Inline XBRL Taxonomy Extension Defniton Linkbase Document.</w:t>
            </w:r>
          </w:p>
        </w:tc>
      </w:tr>
      <w:tr>
        <w:trPr>
          <w:trHeight w:val="270"/>
        </w:trPr>
        <w:tc>
          <w:tcPr>
            <w:tcW w:w="740" w:type="dxa"/>
            <w:vAlign w:val="bottom"/>
            <w:gridSpan w:val="3"/>
          </w:tcPr>
          <w:p>
            <w:pPr>
              <w:jc w:val="right"/>
              <w:ind w:right="140"/>
              <w:spacing w:after="0"/>
              <w:rPr>
                <w:sz w:val="20"/>
                <w:szCs w:val="20"/>
                <w:color w:val="auto"/>
              </w:rPr>
            </w:pPr>
            <w:r>
              <w:rPr>
                <w:rFonts w:ascii="Calibri" w:cs="Calibri" w:eastAsia="Calibri" w:hAnsi="Calibri"/>
                <w:sz w:val="18"/>
                <w:szCs w:val="18"/>
                <w:color w:val="51555C"/>
                <w:w w:val="97"/>
              </w:rPr>
              <w:t>101.LAB</w:t>
            </w:r>
          </w:p>
        </w:tc>
        <w:tc>
          <w:tcPr>
            <w:tcW w:w="5220" w:type="dxa"/>
            <w:vAlign w:val="bottom"/>
            <w:gridSpan w:val="7"/>
          </w:tcPr>
          <w:p>
            <w:pPr>
              <w:spacing w:after="0"/>
              <w:rPr>
                <w:sz w:val="20"/>
                <w:szCs w:val="20"/>
                <w:color w:val="auto"/>
              </w:rPr>
            </w:pPr>
            <w:r>
              <w:rPr>
                <w:rFonts w:ascii="Calibri" w:cs="Calibri" w:eastAsia="Calibri" w:hAnsi="Calibri"/>
                <w:sz w:val="18"/>
                <w:szCs w:val="18"/>
                <w:color w:val="51555C"/>
              </w:rPr>
              <w:t>Inline XBRL Taxonomy Extension Label Linkbase Document.</w:t>
            </w:r>
          </w:p>
        </w:tc>
      </w:tr>
      <w:tr>
        <w:trPr>
          <w:trHeight w:val="270"/>
        </w:trPr>
        <w:tc>
          <w:tcPr>
            <w:tcW w:w="740" w:type="dxa"/>
            <w:vAlign w:val="bottom"/>
            <w:gridSpan w:val="3"/>
          </w:tcPr>
          <w:p>
            <w:pPr>
              <w:jc w:val="right"/>
              <w:ind w:right="140"/>
              <w:spacing w:after="0"/>
              <w:rPr>
                <w:sz w:val="20"/>
                <w:szCs w:val="20"/>
                <w:color w:val="auto"/>
              </w:rPr>
            </w:pPr>
            <w:r>
              <w:rPr>
                <w:rFonts w:ascii="Calibri" w:cs="Calibri" w:eastAsia="Calibri" w:hAnsi="Calibri"/>
                <w:sz w:val="18"/>
                <w:szCs w:val="18"/>
                <w:color w:val="51555C"/>
                <w:w w:val="96"/>
              </w:rPr>
              <w:t>101.PRE</w:t>
            </w:r>
          </w:p>
        </w:tc>
        <w:tc>
          <w:tcPr>
            <w:tcW w:w="5220" w:type="dxa"/>
            <w:vAlign w:val="bottom"/>
            <w:gridSpan w:val="7"/>
          </w:tcPr>
          <w:p>
            <w:pPr>
              <w:spacing w:after="0"/>
              <w:rPr>
                <w:sz w:val="20"/>
                <w:szCs w:val="20"/>
                <w:color w:val="auto"/>
              </w:rPr>
            </w:pPr>
            <w:r>
              <w:rPr>
                <w:rFonts w:ascii="Calibri" w:cs="Calibri" w:eastAsia="Calibri" w:hAnsi="Calibri"/>
                <w:sz w:val="18"/>
                <w:szCs w:val="18"/>
                <w:color w:val="51555C"/>
              </w:rPr>
              <w:t>Inline XBRL Taxonomy Extension Presentaton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-1956435</wp:posOffset>
            </wp:positionV>
            <wp:extent cx="7132320" cy="3429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-1270635</wp:posOffset>
            </wp:positionV>
            <wp:extent cx="7132320" cy="4457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-652780</wp:posOffset>
            </wp:positionV>
            <wp:extent cx="713232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3086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5" w:lineRule="exact"/>
        <w:rPr>
          <w:sz w:val="20"/>
          <w:szCs w:val="20"/>
          <w:color w:val="auto"/>
        </w:rPr>
      </w:pPr>
    </w:p>
    <w:p>
      <w:pPr>
        <w:ind w:left="1220" w:right="80" w:hanging="417"/>
        <w:spacing w:after="0" w:line="235" w:lineRule="auto"/>
        <w:tabs>
          <w:tab w:leader="none" w:pos="1220" w:val="left"/>
        </w:tabs>
        <w:numPr>
          <w:ilvl w:val="0"/>
          <w:numId w:val="38"/>
        </w:numPr>
        <w:rPr>
          <w:rFonts w:ascii="Calibri" w:cs="Calibri" w:eastAsia="Calibri" w:hAnsi="Calibri"/>
          <w:sz w:val="18"/>
          <w:szCs w:val="18"/>
          <w:color w:val="51555C"/>
        </w:rPr>
      </w:pPr>
      <w:r>
        <w:rPr>
          <w:rFonts w:ascii="Calibri" w:cs="Calibri" w:eastAsia="Calibri" w:hAnsi="Calibri"/>
          <w:sz w:val="18"/>
          <w:szCs w:val="18"/>
          <w:color w:val="51555C"/>
        </w:rPr>
        <w:t>Cover Page Interactve Data File (formated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8"/>
          <w:szCs w:val="18"/>
          <w:color w:val="51555C"/>
        </w:rPr>
        <w:t>X</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color w:val="51555C"/>
        </w:rPr>
        <w:t>X</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color w:val="51555C"/>
        </w:rPr>
        <w:t>X</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color w:val="51555C"/>
        </w:rPr>
        <w:t>X</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color w:val="51555C"/>
        </w:rPr>
        <w:t>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alibri" w:cs="Calibri" w:eastAsia="Calibri" w:hAnsi="Calibri"/>
          <w:sz w:val="18"/>
          <w:szCs w:val="18"/>
          <w:color w:val="51555C"/>
        </w:rPr>
        <w:t>X</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color w:val="51555C"/>
        </w:rPr>
        <w:t>X</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color w:val="51555C"/>
        </w:rPr>
        <w:t>X</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color w:val="51555C"/>
        </w:rPr>
        <w:t>X</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color w:val="51555C"/>
        </w:rPr>
        <w:t>X</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color w:val="51555C"/>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648970</wp:posOffset>
            </wp:positionV>
            <wp:extent cx="659765"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2">
            <w:col w:w="6440" w:space="560"/>
            <w:col w:w="4260"/>
          </w:cols>
          <w:pgMar w:left="320" w:top="11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tcPr>
          <w:p>
            <w:pPr>
              <w:ind w:left="7820"/>
              <w:spacing w:after="0"/>
              <w:rPr>
                <w:sz w:val="20"/>
                <w:szCs w:val="20"/>
                <w:color w:val="auto"/>
              </w:rPr>
            </w:pPr>
            <w:r>
              <w:rPr>
                <w:rFonts w:ascii="Calibri" w:cs="Calibri" w:eastAsia="Calibri" w:hAnsi="Calibri"/>
                <w:sz w:val="14"/>
                <w:szCs w:val="14"/>
                <w:color w:val="51555C"/>
              </w:rPr>
              <w:t>Third Quarter 2024 Form 10-Q</w:t>
            </w:r>
          </w:p>
        </w:tc>
        <w:tc>
          <w:tcPr>
            <w:tcW w:w="900" w:type="dxa"/>
            <w:vAlign w:val="bottom"/>
          </w:tcPr>
          <w:p>
            <w:pPr>
              <w:jc w:val="right"/>
              <w:spacing w:after="0"/>
              <w:rPr>
                <w:sz w:val="20"/>
                <w:szCs w:val="20"/>
                <w:color w:val="auto"/>
              </w:rPr>
            </w:pPr>
            <w:r>
              <w:rPr>
                <w:rFonts w:ascii="Calibri" w:cs="Calibri" w:eastAsia="Calibri" w:hAnsi="Calibri"/>
                <w:sz w:val="14"/>
                <w:szCs w:val="14"/>
                <w:color w:val="51555C"/>
              </w:rPr>
              <w:t>55</w:t>
            </w:r>
          </w:p>
        </w:tc>
      </w:tr>
      <w:tr>
        <w:trPr>
          <w:trHeight w:val="351"/>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0"/>
        <w:spacing w:after="0"/>
        <w:rPr>
          <w:sz w:val="20"/>
          <w:szCs w:val="20"/>
          <w:color w:val="auto"/>
        </w:rPr>
      </w:pPr>
      <w:r>
        <w:rPr>
          <w:sz w:val="1"/>
          <w:szCs w:val="1"/>
          <w:color w:val="auto"/>
        </w:rPr>
        <w:drawing>
          <wp:inline distT="0" distB="0" distL="0" distR="0">
            <wp:extent cx="248285" cy="24892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Calibri" w:cs="Calibri" w:eastAsia="Calibri" w:hAnsi="Calibri"/>
          <w:sz w:val="40"/>
          <w:szCs w:val="40"/>
          <w:b w:val="1"/>
          <w:bCs w:val="1"/>
          <w:color w:val="50535A"/>
        </w:rPr>
        <w:t xml:space="preserve"> SIGNATURES</w:t>
      </w:r>
    </w:p>
    <w:p>
      <w:pPr>
        <w:spacing w:after="0" w:line="29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Pursuant to the requirements of the Securites Exchange Act of 1934, the Registrant has duly caused this Report to be signed on its behalf by the undersigned thereunto duly authorized.</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220" w:type="dxa"/>
            <w:vAlign w:val="bottom"/>
            <w:gridSpan w:val="2"/>
          </w:tcPr>
          <w:p>
            <w:pPr>
              <w:ind w:left="560"/>
              <w:spacing w:after="0"/>
              <w:rPr>
                <w:sz w:val="20"/>
                <w:szCs w:val="20"/>
                <w:color w:val="auto"/>
              </w:rPr>
            </w:pPr>
            <w:r>
              <w:rPr>
                <w:rFonts w:ascii="Calibri" w:cs="Calibri" w:eastAsia="Calibri" w:hAnsi="Calibri"/>
                <w:sz w:val="18"/>
                <w:szCs w:val="18"/>
                <w:b w:val="1"/>
                <w:bCs w:val="1"/>
                <w:color w:val="51555C"/>
              </w:rPr>
              <w:t>BLACKBAUD, INC.</w:t>
            </w:r>
          </w:p>
        </w:tc>
      </w:tr>
      <w:tr>
        <w:trPr>
          <w:trHeight w:val="540"/>
        </w:trPr>
        <w:tc>
          <w:tcPr>
            <w:tcW w:w="520" w:type="dxa"/>
            <w:vAlign w:val="bottom"/>
          </w:tcPr>
          <w:p>
            <w:pPr>
              <w:ind w:left="20"/>
              <w:spacing w:after="0"/>
              <w:rPr>
                <w:sz w:val="20"/>
                <w:szCs w:val="20"/>
                <w:color w:val="auto"/>
              </w:rPr>
            </w:pPr>
            <w:r>
              <w:rPr>
                <w:rFonts w:ascii="Calibri" w:cs="Calibri" w:eastAsia="Calibri" w:hAnsi="Calibri"/>
                <w:sz w:val="18"/>
                <w:szCs w:val="18"/>
                <w:color w:val="51555C"/>
              </w:rPr>
              <w:t>Date:</w:t>
            </w:r>
          </w:p>
        </w:tc>
        <w:tc>
          <w:tcPr>
            <w:tcW w:w="3460" w:type="dxa"/>
            <w:vAlign w:val="bottom"/>
          </w:tcPr>
          <w:p>
            <w:pPr>
              <w:ind w:left="140"/>
              <w:spacing w:after="0"/>
              <w:rPr>
                <w:sz w:val="20"/>
                <w:szCs w:val="20"/>
                <w:color w:val="auto"/>
              </w:rPr>
            </w:pPr>
            <w:r>
              <w:rPr>
                <w:rFonts w:ascii="Calibri" w:cs="Calibri" w:eastAsia="Calibri" w:hAnsi="Calibri"/>
                <w:sz w:val="18"/>
                <w:szCs w:val="18"/>
                <w:color w:val="51555C"/>
              </w:rPr>
              <w:t>October 30, 2024</w:t>
            </w:r>
          </w:p>
        </w:tc>
        <w:tc>
          <w:tcPr>
            <w:tcW w:w="1000" w:type="dxa"/>
            <w:vAlign w:val="bottom"/>
          </w:tcPr>
          <w:p>
            <w:pPr>
              <w:ind w:left="560"/>
              <w:spacing w:after="0"/>
              <w:rPr>
                <w:sz w:val="20"/>
                <w:szCs w:val="20"/>
                <w:color w:val="auto"/>
              </w:rPr>
            </w:pPr>
            <w:r>
              <w:rPr>
                <w:rFonts w:ascii="Calibri" w:cs="Calibri" w:eastAsia="Calibri" w:hAnsi="Calibri"/>
                <w:sz w:val="18"/>
                <w:szCs w:val="18"/>
                <w:color w:val="51555C"/>
              </w:rPr>
              <w:t>By:</w:t>
            </w:r>
          </w:p>
        </w:tc>
        <w:tc>
          <w:tcPr>
            <w:tcW w:w="6220" w:type="dxa"/>
            <w:vAlign w:val="bottom"/>
          </w:tcPr>
          <w:p>
            <w:pPr>
              <w:ind w:left="20"/>
              <w:spacing w:after="0"/>
              <w:rPr>
                <w:sz w:val="20"/>
                <w:szCs w:val="20"/>
                <w:color w:val="auto"/>
              </w:rPr>
            </w:pPr>
            <w:r>
              <w:rPr>
                <w:rFonts w:ascii="Calibri" w:cs="Calibri" w:eastAsia="Calibri" w:hAnsi="Calibri"/>
                <w:sz w:val="18"/>
                <w:szCs w:val="18"/>
                <w:color w:val="51555C"/>
              </w:rPr>
              <w:t>/s/ Michael P. Gianoni</w:t>
            </w:r>
          </w:p>
        </w:tc>
      </w:tr>
      <w:tr>
        <w:trPr>
          <w:trHeight w:val="51"/>
        </w:trPr>
        <w:tc>
          <w:tcPr>
            <w:tcW w:w="5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20" w:type="dxa"/>
            <w:vAlign w:val="bottom"/>
            <w:tcBorders>
              <w:bottom w:val="single" w:sz="8" w:color="auto"/>
            </w:tcBorders>
          </w:tcPr>
          <w:p>
            <w:pPr>
              <w:spacing w:after="0"/>
              <w:rPr>
                <w:sz w:val="4"/>
                <w:szCs w:val="4"/>
                <w:color w:val="auto"/>
              </w:rPr>
            </w:pPr>
          </w:p>
        </w:tc>
      </w:tr>
      <w:tr>
        <w:trPr>
          <w:trHeight w:val="213"/>
        </w:trPr>
        <w:tc>
          <w:tcPr>
            <w:tcW w:w="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20" w:type="dxa"/>
            <w:vAlign w:val="bottom"/>
          </w:tcPr>
          <w:p>
            <w:pPr>
              <w:ind w:left="20"/>
              <w:spacing w:after="0" w:line="213" w:lineRule="exact"/>
              <w:rPr>
                <w:sz w:val="20"/>
                <w:szCs w:val="20"/>
                <w:color w:val="auto"/>
              </w:rPr>
            </w:pPr>
            <w:r>
              <w:rPr>
                <w:rFonts w:ascii="Calibri" w:cs="Calibri" w:eastAsia="Calibri" w:hAnsi="Calibri"/>
                <w:sz w:val="18"/>
                <w:szCs w:val="18"/>
                <w:color w:val="51555C"/>
              </w:rPr>
              <w:t>Michael P. Gianoni</w:t>
            </w:r>
          </w:p>
        </w:tc>
      </w:tr>
      <w:tr>
        <w:trPr>
          <w:trHeight w:val="270"/>
        </w:trPr>
        <w:tc>
          <w:tcPr>
            <w:tcW w:w="5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20" w:type="dxa"/>
            <w:vAlign w:val="bottom"/>
          </w:tcPr>
          <w:p>
            <w:pPr>
              <w:ind w:left="20"/>
              <w:spacing w:after="0"/>
              <w:rPr>
                <w:sz w:val="20"/>
                <w:szCs w:val="20"/>
                <w:color w:val="auto"/>
              </w:rPr>
            </w:pPr>
            <w:r>
              <w:rPr>
                <w:rFonts w:ascii="Calibri" w:cs="Calibri" w:eastAsia="Calibri" w:hAnsi="Calibri"/>
                <w:sz w:val="18"/>
                <w:szCs w:val="18"/>
                <w:color w:val="51555C"/>
              </w:rPr>
              <w:t>Chief Executve Ofcer, President and Vice Chairman of the Board</w:t>
            </w:r>
          </w:p>
        </w:tc>
      </w:tr>
      <w:tr>
        <w:trPr>
          <w:trHeight w:val="270"/>
        </w:trPr>
        <w:tc>
          <w:tcPr>
            <w:tcW w:w="5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20" w:type="dxa"/>
            <w:vAlign w:val="bottom"/>
          </w:tcPr>
          <w:p>
            <w:pPr>
              <w:ind w:left="20"/>
              <w:spacing w:after="0"/>
              <w:rPr>
                <w:sz w:val="20"/>
                <w:szCs w:val="20"/>
                <w:color w:val="auto"/>
              </w:rPr>
            </w:pPr>
            <w:r>
              <w:rPr>
                <w:rFonts w:ascii="Calibri" w:cs="Calibri" w:eastAsia="Calibri" w:hAnsi="Calibri"/>
                <w:sz w:val="18"/>
                <w:szCs w:val="18"/>
                <w:color w:val="51555C"/>
              </w:rPr>
              <w:t>(Principal Executve Ofcer)</w:t>
            </w:r>
          </w:p>
        </w:tc>
      </w:tr>
      <w:tr>
        <w:trPr>
          <w:trHeight w:val="540"/>
        </w:trPr>
        <w:tc>
          <w:tcPr>
            <w:tcW w:w="520" w:type="dxa"/>
            <w:vAlign w:val="bottom"/>
          </w:tcPr>
          <w:p>
            <w:pPr>
              <w:ind w:left="20"/>
              <w:spacing w:after="0"/>
              <w:rPr>
                <w:sz w:val="20"/>
                <w:szCs w:val="20"/>
                <w:color w:val="auto"/>
              </w:rPr>
            </w:pPr>
            <w:r>
              <w:rPr>
                <w:rFonts w:ascii="Calibri" w:cs="Calibri" w:eastAsia="Calibri" w:hAnsi="Calibri"/>
                <w:sz w:val="18"/>
                <w:szCs w:val="18"/>
                <w:color w:val="51555C"/>
              </w:rPr>
              <w:t>Date:</w:t>
            </w:r>
          </w:p>
        </w:tc>
        <w:tc>
          <w:tcPr>
            <w:tcW w:w="3460" w:type="dxa"/>
            <w:vAlign w:val="bottom"/>
          </w:tcPr>
          <w:p>
            <w:pPr>
              <w:ind w:left="140"/>
              <w:spacing w:after="0"/>
              <w:rPr>
                <w:sz w:val="20"/>
                <w:szCs w:val="20"/>
                <w:color w:val="auto"/>
              </w:rPr>
            </w:pPr>
            <w:r>
              <w:rPr>
                <w:rFonts w:ascii="Calibri" w:cs="Calibri" w:eastAsia="Calibri" w:hAnsi="Calibri"/>
                <w:sz w:val="18"/>
                <w:szCs w:val="18"/>
                <w:color w:val="51555C"/>
              </w:rPr>
              <w:t>October 30, 2024</w:t>
            </w:r>
          </w:p>
        </w:tc>
        <w:tc>
          <w:tcPr>
            <w:tcW w:w="1000" w:type="dxa"/>
            <w:vAlign w:val="bottom"/>
          </w:tcPr>
          <w:p>
            <w:pPr>
              <w:ind w:left="560"/>
              <w:spacing w:after="0"/>
              <w:rPr>
                <w:sz w:val="20"/>
                <w:szCs w:val="20"/>
                <w:color w:val="auto"/>
              </w:rPr>
            </w:pPr>
            <w:r>
              <w:rPr>
                <w:rFonts w:ascii="Calibri" w:cs="Calibri" w:eastAsia="Calibri" w:hAnsi="Calibri"/>
                <w:sz w:val="18"/>
                <w:szCs w:val="18"/>
                <w:color w:val="51555C"/>
              </w:rPr>
              <w:t>By:</w:t>
            </w:r>
          </w:p>
        </w:tc>
        <w:tc>
          <w:tcPr>
            <w:tcW w:w="6220" w:type="dxa"/>
            <w:vAlign w:val="bottom"/>
          </w:tcPr>
          <w:p>
            <w:pPr>
              <w:ind w:left="20"/>
              <w:spacing w:after="0"/>
              <w:rPr>
                <w:sz w:val="20"/>
                <w:szCs w:val="20"/>
                <w:color w:val="auto"/>
              </w:rPr>
            </w:pPr>
            <w:r>
              <w:rPr>
                <w:rFonts w:ascii="Calibri" w:cs="Calibri" w:eastAsia="Calibri" w:hAnsi="Calibri"/>
                <w:sz w:val="18"/>
                <w:szCs w:val="18"/>
                <w:color w:val="51555C"/>
              </w:rPr>
              <w:t>/s/ Anthony W. Boor</w:t>
            </w:r>
          </w:p>
        </w:tc>
      </w:tr>
      <w:tr>
        <w:trPr>
          <w:trHeight w:val="51"/>
        </w:trPr>
        <w:tc>
          <w:tcPr>
            <w:tcW w:w="5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20" w:type="dxa"/>
            <w:vAlign w:val="bottom"/>
            <w:tcBorders>
              <w:bottom w:val="single" w:sz="8" w:color="auto"/>
            </w:tcBorders>
          </w:tcPr>
          <w:p>
            <w:pPr>
              <w:spacing w:after="0"/>
              <w:rPr>
                <w:sz w:val="4"/>
                <w:szCs w:val="4"/>
                <w:color w:val="auto"/>
              </w:rPr>
            </w:pPr>
          </w:p>
        </w:tc>
      </w:tr>
      <w:tr>
        <w:trPr>
          <w:trHeight w:val="213"/>
        </w:trPr>
        <w:tc>
          <w:tcPr>
            <w:tcW w:w="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20" w:type="dxa"/>
            <w:vAlign w:val="bottom"/>
          </w:tcPr>
          <w:p>
            <w:pPr>
              <w:ind w:left="20"/>
              <w:spacing w:after="0" w:line="213" w:lineRule="exact"/>
              <w:rPr>
                <w:sz w:val="20"/>
                <w:szCs w:val="20"/>
                <w:color w:val="auto"/>
              </w:rPr>
            </w:pPr>
            <w:r>
              <w:rPr>
                <w:rFonts w:ascii="Calibri" w:cs="Calibri" w:eastAsia="Calibri" w:hAnsi="Calibri"/>
                <w:sz w:val="18"/>
                <w:szCs w:val="18"/>
                <w:color w:val="51555C"/>
              </w:rPr>
              <w:t>Anthony W. Boor</w:t>
            </w:r>
          </w:p>
        </w:tc>
      </w:tr>
      <w:tr>
        <w:trPr>
          <w:trHeight w:val="270"/>
        </w:trPr>
        <w:tc>
          <w:tcPr>
            <w:tcW w:w="5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20" w:type="dxa"/>
            <w:vAlign w:val="bottom"/>
          </w:tcPr>
          <w:p>
            <w:pPr>
              <w:ind w:left="20"/>
              <w:spacing w:after="0"/>
              <w:rPr>
                <w:sz w:val="20"/>
                <w:szCs w:val="20"/>
                <w:color w:val="auto"/>
              </w:rPr>
            </w:pPr>
            <w:r>
              <w:rPr>
                <w:rFonts w:ascii="Calibri" w:cs="Calibri" w:eastAsia="Calibri" w:hAnsi="Calibri"/>
                <w:sz w:val="18"/>
                <w:szCs w:val="18"/>
                <w:color w:val="51555C"/>
              </w:rPr>
              <w:t>Executve Vice President and Chief Financial Ofcer</w:t>
            </w:r>
          </w:p>
        </w:tc>
      </w:tr>
      <w:tr>
        <w:trPr>
          <w:trHeight w:val="270"/>
        </w:trPr>
        <w:tc>
          <w:tcPr>
            <w:tcW w:w="5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20" w:type="dxa"/>
            <w:vAlign w:val="bottom"/>
          </w:tcPr>
          <w:p>
            <w:pPr>
              <w:ind w:left="20"/>
              <w:spacing w:after="0"/>
              <w:rPr>
                <w:sz w:val="20"/>
                <w:szCs w:val="20"/>
                <w:color w:val="auto"/>
              </w:rPr>
            </w:pPr>
            <w:r>
              <w:rPr>
                <w:rFonts w:ascii="Calibri" w:cs="Calibri" w:eastAsia="Calibri" w:hAnsi="Calibri"/>
                <w:sz w:val="18"/>
                <w:szCs w:val="18"/>
                <w:color w:val="51555C"/>
              </w:rPr>
              <w:t>(Principal Financial and Accountng Ofcer)</w:t>
            </w:r>
          </w:p>
        </w:tc>
      </w:tr>
      <w:tr>
        <w:trPr>
          <w:trHeight w:val="705"/>
        </w:trPr>
        <w:tc>
          <w:tcPr>
            <w:tcW w:w="520" w:type="dxa"/>
            <w:vAlign w:val="bottom"/>
          </w:tcPr>
          <w:p>
            <w:pPr>
              <w:spacing w:after="0"/>
              <w:rPr>
                <w:sz w:val="20"/>
                <w:szCs w:val="20"/>
                <w:color w:val="auto"/>
              </w:rPr>
            </w:pPr>
            <w:r>
              <w:rPr>
                <w:rFonts w:ascii="Calibri" w:cs="Calibri" w:eastAsia="Calibri" w:hAnsi="Calibri"/>
                <w:sz w:val="14"/>
                <w:szCs w:val="14"/>
                <w:color w:val="51555C"/>
              </w:rPr>
              <w:t>56</w:t>
            </w:r>
          </w:p>
        </w:tc>
        <w:tc>
          <w:tcPr>
            <w:tcW w:w="3460" w:type="dxa"/>
            <w:vAlign w:val="bottom"/>
          </w:tcPr>
          <w:p>
            <w:pPr>
              <w:ind w:left="1100"/>
              <w:spacing w:after="0"/>
              <w:rPr>
                <w:sz w:val="20"/>
                <w:szCs w:val="20"/>
                <w:color w:val="auto"/>
              </w:rPr>
            </w:pPr>
            <w:r>
              <w:rPr>
                <w:rFonts w:ascii="Calibri" w:cs="Calibri" w:eastAsia="Calibri" w:hAnsi="Calibri"/>
                <w:sz w:val="14"/>
                <w:szCs w:val="14"/>
                <w:color w:val="51555C"/>
              </w:rPr>
              <w:t>Third Quarter 2024 Form 10-Q</w:t>
            </w:r>
          </w:p>
        </w:tc>
        <w:tc>
          <w:tcPr>
            <w:tcW w:w="1000" w:type="dxa"/>
            <w:vAlign w:val="bottom"/>
          </w:tcPr>
          <w:p>
            <w:pPr>
              <w:spacing w:after="0"/>
              <w:rPr>
                <w:sz w:val="24"/>
                <w:szCs w:val="24"/>
                <w:color w:val="auto"/>
              </w:rPr>
            </w:pPr>
          </w:p>
        </w:tc>
        <w:tc>
          <w:tcPr>
            <w:tcW w:w="6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-132715</wp:posOffset>
            </wp:positionV>
            <wp:extent cx="65151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7" w:name="page58"/>
    <w:bookmarkEnd w:id="57"/>
    <w:p>
      <w:pPr>
        <w:jc w:val="right"/>
        <w:spacing w:after="0"/>
        <w:rPr>
          <w:sz w:val="20"/>
          <w:szCs w:val="20"/>
          <w:color w:val="auto"/>
        </w:rPr>
      </w:pPr>
      <w:r>
        <w:rPr>
          <w:rFonts w:ascii="Calibri" w:cs="Calibri" w:eastAsia="Calibri" w:hAnsi="Calibri"/>
          <w:sz w:val="18"/>
          <w:szCs w:val="18"/>
          <w:b w:val="1"/>
          <w:bCs w:val="1"/>
          <w:color w:val="51555C"/>
        </w:rPr>
        <w:t>EXHIBIT 31.1</w:t>
      </w:r>
    </w:p>
    <w:p>
      <w:pPr>
        <w:jc w:val="center"/>
        <w:spacing w:after="0" w:line="235" w:lineRule="auto"/>
        <w:rPr>
          <w:sz w:val="20"/>
          <w:szCs w:val="20"/>
          <w:color w:val="auto"/>
        </w:rPr>
      </w:pPr>
      <w:r>
        <w:rPr>
          <w:rFonts w:ascii="Calibri" w:cs="Calibri" w:eastAsia="Calibri" w:hAnsi="Calibri"/>
          <w:sz w:val="18"/>
          <w:szCs w:val="18"/>
          <w:b w:val="1"/>
          <w:bCs w:val="1"/>
          <w:color w:val="51555C"/>
        </w:rPr>
        <w:t>Blackbaud, Inc.</w:t>
      </w:r>
    </w:p>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CERTIFICATION PURSUANT TO SECTION 302 OF THE SARBANES-OXLEY ACT OF 2002</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I, Michael P. Gianoni, certfy that:</w:t>
      </w:r>
    </w:p>
    <w:p>
      <w:pPr>
        <w:spacing w:after="0" w:line="158" w:lineRule="exact"/>
        <w:rPr>
          <w:sz w:val="20"/>
          <w:szCs w:val="20"/>
          <w:color w:val="auto"/>
        </w:rPr>
      </w:pPr>
    </w:p>
    <w:p>
      <w:pPr>
        <w:ind w:left="640" w:hanging="308"/>
        <w:spacing w:after="0"/>
        <w:tabs>
          <w:tab w:leader="none" w:pos="640" w:val="left"/>
        </w:tabs>
        <w:numPr>
          <w:ilvl w:val="0"/>
          <w:numId w:val="39"/>
        </w:numPr>
        <w:rPr>
          <w:rFonts w:ascii="Calibri" w:cs="Calibri" w:eastAsia="Calibri" w:hAnsi="Calibri"/>
          <w:sz w:val="18"/>
          <w:szCs w:val="18"/>
          <w:color w:val="51555C"/>
        </w:rPr>
      </w:pPr>
      <w:r>
        <w:rPr>
          <w:rFonts w:ascii="Calibri" w:cs="Calibri" w:eastAsia="Calibri" w:hAnsi="Calibri"/>
          <w:sz w:val="18"/>
          <w:szCs w:val="18"/>
          <w:color w:val="51555C"/>
        </w:rPr>
        <w:t>I have reviewed this quarterly report on Form 10-Q of Blackbaud, Inc.;</w:t>
      </w:r>
    </w:p>
    <w:p>
      <w:pPr>
        <w:spacing w:after="0" w:line="163" w:lineRule="exact"/>
        <w:rPr>
          <w:rFonts w:ascii="Calibri" w:cs="Calibri" w:eastAsia="Calibri" w:hAnsi="Calibri"/>
          <w:sz w:val="18"/>
          <w:szCs w:val="18"/>
          <w:color w:val="51555C"/>
        </w:rPr>
      </w:pPr>
    </w:p>
    <w:p>
      <w:pPr>
        <w:jc w:val="both"/>
        <w:ind w:left="660" w:right="140" w:hanging="328"/>
        <w:spacing w:after="0" w:line="235" w:lineRule="auto"/>
        <w:tabs>
          <w:tab w:leader="none" w:pos="645" w:val="left"/>
        </w:tabs>
        <w:numPr>
          <w:ilvl w:val="0"/>
          <w:numId w:val="39"/>
        </w:numPr>
        <w:rPr>
          <w:rFonts w:ascii="Calibri" w:cs="Calibri" w:eastAsia="Calibri" w:hAnsi="Calibri"/>
          <w:sz w:val="18"/>
          <w:szCs w:val="18"/>
          <w:color w:val="51555C"/>
        </w:rPr>
      </w:pPr>
      <w:r>
        <w:rPr>
          <w:rFonts w:ascii="Calibri" w:cs="Calibri" w:eastAsia="Calibri" w:hAnsi="Calibri"/>
          <w:sz w:val="18"/>
          <w:szCs w:val="18"/>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alibri" w:cs="Calibri" w:eastAsia="Calibri" w:hAnsi="Calibri"/>
          <w:sz w:val="18"/>
          <w:szCs w:val="18"/>
          <w:color w:val="51555C"/>
        </w:rPr>
      </w:pPr>
    </w:p>
    <w:p>
      <w:pPr>
        <w:ind w:left="660" w:right="220" w:hanging="328"/>
        <w:spacing w:after="0" w:line="235" w:lineRule="auto"/>
        <w:tabs>
          <w:tab w:leader="none" w:pos="645" w:val="left"/>
        </w:tabs>
        <w:numPr>
          <w:ilvl w:val="0"/>
          <w:numId w:val="39"/>
        </w:numPr>
        <w:rPr>
          <w:rFonts w:ascii="Calibri" w:cs="Calibri" w:eastAsia="Calibri" w:hAnsi="Calibri"/>
          <w:sz w:val="18"/>
          <w:szCs w:val="18"/>
          <w:color w:val="51555C"/>
        </w:rPr>
      </w:pPr>
      <w:r>
        <w:rPr>
          <w:rFonts w:ascii="Calibri" w:cs="Calibri" w:eastAsia="Calibri" w:hAnsi="Calibri"/>
          <w:sz w:val="18"/>
          <w:szCs w:val="18"/>
          <w:color w:val="51555C"/>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63" w:lineRule="exact"/>
        <w:rPr>
          <w:rFonts w:ascii="Calibri" w:cs="Calibri" w:eastAsia="Calibri" w:hAnsi="Calibri"/>
          <w:sz w:val="18"/>
          <w:szCs w:val="18"/>
          <w:color w:val="51555C"/>
        </w:rPr>
      </w:pPr>
    </w:p>
    <w:p>
      <w:pPr>
        <w:ind w:left="660" w:right="80" w:hanging="328"/>
        <w:spacing w:after="0" w:line="235" w:lineRule="auto"/>
        <w:tabs>
          <w:tab w:leader="none" w:pos="645" w:val="left"/>
        </w:tabs>
        <w:numPr>
          <w:ilvl w:val="0"/>
          <w:numId w:val="39"/>
        </w:numPr>
        <w:rPr>
          <w:rFonts w:ascii="Calibri" w:cs="Calibri" w:eastAsia="Calibri" w:hAnsi="Calibri"/>
          <w:sz w:val="18"/>
          <w:szCs w:val="18"/>
          <w:color w:val="51555C"/>
        </w:rPr>
      </w:pPr>
      <w:r>
        <w:rPr>
          <w:rFonts w:ascii="Calibri" w:cs="Calibri" w:eastAsia="Calibri" w:hAnsi="Calibri"/>
          <w:sz w:val="18"/>
          <w:szCs w:val="18"/>
          <w:color w:val="51555C"/>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64" w:lineRule="exact"/>
        <w:rPr>
          <w:rFonts w:ascii="Calibri" w:cs="Calibri" w:eastAsia="Calibri" w:hAnsi="Calibri"/>
          <w:sz w:val="18"/>
          <w:szCs w:val="18"/>
          <w:color w:val="51555C"/>
        </w:rPr>
      </w:pPr>
    </w:p>
    <w:p>
      <w:pPr>
        <w:ind w:left="980" w:right="140" w:hanging="324"/>
        <w:spacing w:after="0" w:line="235" w:lineRule="auto"/>
        <w:tabs>
          <w:tab w:leader="none" w:pos="973" w:val="left"/>
        </w:tabs>
        <w:numPr>
          <w:ilvl w:val="1"/>
          <w:numId w:val="39"/>
        </w:numPr>
        <w:rPr>
          <w:rFonts w:ascii="Calibri" w:cs="Calibri" w:eastAsia="Calibri" w:hAnsi="Calibri"/>
          <w:sz w:val="18"/>
          <w:szCs w:val="18"/>
          <w:color w:val="51555C"/>
        </w:rPr>
      </w:pPr>
      <w:r>
        <w:rPr>
          <w:rFonts w:ascii="Calibri" w:cs="Calibri" w:eastAsia="Calibri" w:hAnsi="Calibri"/>
          <w:sz w:val="18"/>
          <w:szCs w:val="18"/>
          <w:color w:val="51555C"/>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64" w:lineRule="exact"/>
        <w:rPr>
          <w:rFonts w:ascii="Calibri" w:cs="Calibri" w:eastAsia="Calibri" w:hAnsi="Calibri"/>
          <w:sz w:val="18"/>
          <w:szCs w:val="18"/>
          <w:color w:val="51555C"/>
        </w:rPr>
      </w:pPr>
    </w:p>
    <w:p>
      <w:pPr>
        <w:ind w:left="980" w:right="460" w:hanging="324"/>
        <w:spacing w:after="0" w:line="235" w:lineRule="auto"/>
        <w:tabs>
          <w:tab w:leader="none" w:pos="968" w:val="left"/>
        </w:tabs>
        <w:numPr>
          <w:ilvl w:val="1"/>
          <w:numId w:val="39"/>
        </w:numPr>
        <w:rPr>
          <w:rFonts w:ascii="Calibri" w:cs="Calibri" w:eastAsia="Calibri" w:hAnsi="Calibri"/>
          <w:sz w:val="18"/>
          <w:szCs w:val="18"/>
          <w:color w:val="51555C"/>
        </w:rPr>
      </w:pPr>
      <w:r>
        <w:rPr>
          <w:rFonts w:ascii="Calibri" w:cs="Calibri" w:eastAsia="Calibri" w:hAnsi="Calibri"/>
          <w:sz w:val="18"/>
          <w:szCs w:val="18"/>
          <w:color w:val="51555C"/>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64" w:lineRule="exact"/>
        <w:rPr>
          <w:rFonts w:ascii="Calibri" w:cs="Calibri" w:eastAsia="Calibri" w:hAnsi="Calibri"/>
          <w:sz w:val="18"/>
          <w:szCs w:val="18"/>
          <w:color w:val="51555C"/>
        </w:rPr>
      </w:pPr>
    </w:p>
    <w:p>
      <w:pPr>
        <w:jc w:val="both"/>
        <w:ind w:left="980" w:right="560" w:hanging="324"/>
        <w:spacing w:after="0" w:line="258" w:lineRule="auto"/>
        <w:tabs>
          <w:tab w:leader="none" w:pos="977" w:val="left"/>
        </w:tabs>
        <w:numPr>
          <w:ilvl w:val="1"/>
          <w:numId w:val="39"/>
        </w:numPr>
        <w:rPr>
          <w:rFonts w:ascii="Calibri" w:cs="Calibri" w:eastAsia="Calibri" w:hAnsi="Calibri"/>
          <w:sz w:val="17"/>
          <w:szCs w:val="17"/>
          <w:color w:val="51555C"/>
        </w:rPr>
      </w:pPr>
      <w:r>
        <w:rPr>
          <w:rFonts w:ascii="Calibri" w:cs="Calibri" w:eastAsia="Calibri" w:hAnsi="Calibri"/>
          <w:sz w:val="17"/>
          <w:szCs w:val="17"/>
          <w:color w:val="51555C"/>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47" w:lineRule="exact"/>
        <w:rPr>
          <w:rFonts w:ascii="Calibri" w:cs="Calibri" w:eastAsia="Calibri" w:hAnsi="Calibri"/>
          <w:sz w:val="17"/>
          <w:szCs w:val="17"/>
          <w:color w:val="51555C"/>
        </w:rPr>
      </w:pPr>
    </w:p>
    <w:p>
      <w:pPr>
        <w:ind w:left="980" w:right="180" w:hanging="324"/>
        <w:spacing w:after="0" w:line="235" w:lineRule="auto"/>
        <w:tabs>
          <w:tab w:leader="none" w:pos="968" w:val="left"/>
        </w:tabs>
        <w:numPr>
          <w:ilvl w:val="1"/>
          <w:numId w:val="39"/>
        </w:numPr>
        <w:rPr>
          <w:rFonts w:ascii="Calibri" w:cs="Calibri" w:eastAsia="Calibri" w:hAnsi="Calibri"/>
          <w:sz w:val="18"/>
          <w:szCs w:val="18"/>
          <w:color w:val="51555C"/>
        </w:rPr>
      </w:pPr>
      <w:r>
        <w:rPr>
          <w:rFonts w:ascii="Calibri" w:cs="Calibri" w:eastAsia="Calibri" w:hAnsi="Calibri"/>
          <w:sz w:val="18"/>
          <w:szCs w:val="18"/>
          <w:color w:val="51555C"/>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64" w:lineRule="exact"/>
        <w:rPr>
          <w:rFonts w:ascii="Calibri" w:cs="Calibri" w:eastAsia="Calibri" w:hAnsi="Calibri"/>
          <w:sz w:val="18"/>
          <w:szCs w:val="18"/>
          <w:color w:val="51555C"/>
        </w:rPr>
      </w:pPr>
    </w:p>
    <w:p>
      <w:pPr>
        <w:ind w:left="660" w:right="160" w:hanging="328"/>
        <w:spacing w:after="0" w:line="235" w:lineRule="auto"/>
        <w:tabs>
          <w:tab w:leader="none" w:pos="645" w:val="left"/>
        </w:tabs>
        <w:numPr>
          <w:ilvl w:val="0"/>
          <w:numId w:val="39"/>
        </w:numPr>
        <w:rPr>
          <w:rFonts w:ascii="Calibri" w:cs="Calibri" w:eastAsia="Calibri" w:hAnsi="Calibri"/>
          <w:sz w:val="18"/>
          <w:szCs w:val="18"/>
          <w:color w:val="51555C"/>
        </w:rPr>
      </w:pPr>
      <w:r>
        <w:rPr>
          <w:rFonts w:ascii="Calibri" w:cs="Calibri" w:eastAsia="Calibri" w:hAnsi="Calibri"/>
          <w:sz w:val="18"/>
          <w:szCs w:val="18"/>
          <w:color w:val="51555C"/>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63" w:lineRule="exact"/>
        <w:rPr>
          <w:rFonts w:ascii="Calibri" w:cs="Calibri" w:eastAsia="Calibri" w:hAnsi="Calibri"/>
          <w:sz w:val="18"/>
          <w:szCs w:val="18"/>
          <w:color w:val="51555C"/>
        </w:rPr>
      </w:pPr>
    </w:p>
    <w:p>
      <w:pPr>
        <w:ind w:left="980" w:right="180" w:hanging="324"/>
        <w:spacing w:after="0" w:line="235" w:lineRule="auto"/>
        <w:tabs>
          <w:tab w:leader="none" w:pos="973" w:val="left"/>
        </w:tabs>
        <w:numPr>
          <w:ilvl w:val="1"/>
          <w:numId w:val="39"/>
        </w:numPr>
        <w:rPr>
          <w:rFonts w:ascii="Calibri" w:cs="Calibri" w:eastAsia="Calibri" w:hAnsi="Calibri"/>
          <w:sz w:val="18"/>
          <w:szCs w:val="18"/>
          <w:color w:val="51555C"/>
        </w:rPr>
      </w:pPr>
      <w:r>
        <w:rPr>
          <w:rFonts w:ascii="Calibri" w:cs="Calibri" w:eastAsia="Calibri" w:hAnsi="Calibri"/>
          <w:sz w:val="18"/>
          <w:szCs w:val="18"/>
          <w:color w:val="51555C"/>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63" w:lineRule="exact"/>
        <w:rPr>
          <w:rFonts w:ascii="Calibri" w:cs="Calibri" w:eastAsia="Calibri" w:hAnsi="Calibri"/>
          <w:sz w:val="18"/>
          <w:szCs w:val="18"/>
          <w:color w:val="51555C"/>
        </w:rPr>
      </w:pPr>
    </w:p>
    <w:p>
      <w:pPr>
        <w:ind w:left="980" w:right="40" w:hanging="324"/>
        <w:spacing w:after="0" w:line="235" w:lineRule="auto"/>
        <w:tabs>
          <w:tab w:leader="none" w:pos="968" w:val="left"/>
        </w:tabs>
        <w:numPr>
          <w:ilvl w:val="1"/>
          <w:numId w:val="39"/>
        </w:numPr>
        <w:rPr>
          <w:rFonts w:ascii="Calibri" w:cs="Calibri" w:eastAsia="Calibri" w:hAnsi="Calibri"/>
          <w:sz w:val="18"/>
          <w:szCs w:val="18"/>
          <w:color w:val="51555C"/>
        </w:rPr>
      </w:pPr>
      <w:r>
        <w:rPr>
          <w:rFonts w:ascii="Calibri" w:cs="Calibri" w:eastAsia="Calibri" w:hAnsi="Calibri"/>
          <w:sz w:val="18"/>
          <w:szCs w:val="18"/>
          <w:color w:val="51555C"/>
        </w:rPr>
        <w:t>any fraud, whether or not material, that involves management or other employees who have a signifcant role in the registrant’s internal control over fnancial reportng.</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240" w:type="dxa"/>
            <w:vAlign w:val="bottom"/>
          </w:tcPr>
          <w:p>
            <w:pPr>
              <w:spacing w:after="0"/>
              <w:rPr>
                <w:sz w:val="20"/>
                <w:szCs w:val="20"/>
                <w:color w:val="auto"/>
              </w:rPr>
            </w:pPr>
            <w:r>
              <w:rPr>
                <w:rFonts w:ascii="Calibri" w:cs="Calibri" w:eastAsia="Calibri" w:hAnsi="Calibri"/>
                <w:sz w:val="18"/>
                <w:szCs w:val="18"/>
                <w:color w:val="51555C"/>
              </w:rPr>
              <w:t>Date:   October 30, 2024</w:t>
            </w:r>
          </w:p>
        </w:tc>
        <w:tc>
          <w:tcPr>
            <w:tcW w:w="1840" w:type="dxa"/>
            <w:vAlign w:val="bottom"/>
          </w:tcPr>
          <w:p>
            <w:pPr>
              <w:ind w:left="1360"/>
              <w:spacing w:after="0"/>
              <w:rPr>
                <w:sz w:val="20"/>
                <w:szCs w:val="20"/>
                <w:color w:val="auto"/>
              </w:rPr>
            </w:pPr>
            <w:r>
              <w:rPr>
                <w:rFonts w:ascii="Calibri" w:cs="Calibri" w:eastAsia="Calibri" w:hAnsi="Calibri"/>
                <w:sz w:val="18"/>
                <w:szCs w:val="18"/>
                <w:color w:val="51555C"/>
              </w:rPr>
              <w:t>By:</w:t>
            </w:r>
          </w:p>
        </w:tc>
        <w:tc>
          <w:tcPr>
            <w:tcW w:w="6100" w:type="dxa"/>
            <w:vAlign w:val="bottom"/>
          </w:tcPr>
          <w:p>
            <w:pPr>
              <w:ind w:left="20"/>
              <w:spacing w:after="0"/>
              <w:rPr>
                <w:sz w:val="20"/>
                <w:szCs w:val="20"/>
                <w:color w:val="auto"/>
              </w:rPr>
            </w:pPr>
            <w:r>
              <w:rPr>
                <w:rFonts w:ascii="Calibri" w:cs="Calibri" w:eastAsia="Calibri" w:hAnsi="Calibri"/>
                <w:sz w:val="18"/>
                <w:szCs w:val="18"/>
                <w:color w:val="51555C"/>
              </w:rPr>
              <w:t>/s/ Michael P. Gianoni</w:t>
            </w:r>
          </w:p>
        </w:tc>
      </w:tr>
      <w:tr>
        <w:trPr>
          <w:trHeight w:val="23"/>
        </w:trPr>
        <w:tc>
          <w:tcPr>
            <w:tcW w:w="3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r>
      <w:tr>
        <w:trPr>
          <w:trHeight w:val="208"/>
        </w:trPr>
        <w:tc>
          <w:tcPr>
            <w:tcW w:w="3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100" w:type="dxa"/>
            <w:vAlign w:val="bottom"/>
          </w:tcPr>
          <w:p>
            <w:pPr>
              <w:ind w:left="20"/>
              <w:spacing w:after="0" w:line="208" w:lineRule="exact"/>
              <w:rPr>
                <w:sz w:val="20"/>
                <w:szCs w:val="20"/>
                <w:color w:val="auto"/>
              </w:rPr>
            </w:pPr>
            <w:r>
              <w:rPr>
                <w:rFonts w:ascii="Calibri" w:cs="Calibri" w:eastAsia="Calibri" w:hAnsi="Calibri"/>
                <w:sz w:val="18"/>
                <w:szCs w:val="18"/>
                <w:color w:val="51555C"/>
              </w:rPr>
              <w:t>Michael P. Gianoni</w:t>
            </w:r>
          </w:p>
        </w:tc>
      </w:tr>
      <w:tr>
        <w:trPr>
          <w:trHeight w:val="221"/>
        </w:trPr>
        <w:tc>
          <w:tcPr>
            <w:tcW w:w="3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Calibri" w:cs="Calibri" w:eastAsia="Calibri" w:hAnsi="Calibri"/>
                <w:sz w:val="18"/>
                <w:szCs w:val="18"/>
                <w:color w:val="51555C"/>
              </w:rPr>
              <w:t>Chief Executve Ofcer, President and Vice Chairman of the Board</w:t>
            </w:r>
          </w:p>
        </w:tc>
      </w:tr>
      <w:tr>
        <w:trPr>
          <w:trHeight w:val="229"/>
        </w:trPr>
        <w:tc>
          <w:tcPr>
            <w:tcW w:w="3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Calibri" w:cs="Calibri" w:eastAsia="Calibri" w:hAnsi="Calibri"/>
                <w:sz w:val="18"/>
                <w:szCs w:val="18"/>
                <w:color w:val="51555C"/>
              </w:rPr>
              <w:t>(Principal Executve Ofcer)</w:t>
            </w:r>
          </w:p>
        </w:tc>
      </w:tr>
    </w:tbl>
    <w:p>
      <w:pPr>
        <w:sectPr>
          <w:pgSz w:w="11900" w:h="16838" w:orient="portrait"/>
          <w:cols w:equalWidth="0" w:num="1">
            <w:col w:w="11240"/>
          </w:cols>
          <w:pgMar w:left="320" w:top="882" w:right="339" w:bottom="1440" w:gutter="0" w:footer="0" w:header="0"/>
        </w:sectPr>
      </w:pPr>
    </w:p>
    <w:bookmarkStart w:id="58" w:name="page59"/>
    <w:bookmarkEnd w:id="58"/>
    <w:p>
      <w:pPr>
        <w:jc w:val="right"/>
        <w:spacing w:after="0"/>
        <w:rPr>
          <w:sz w:val="20"/>
          <w:szCs w:val="20"/>
          <w:color w:val="auto"/>
        </w:rPr>
      </w:pPr>
      <w:r>
        <w:rPr>
          <w:rFonts w:ascii="Calibri" w:cs="Calibri" w:eastAsia="Calibri" w:hAnsi="Calibri"/>
          <w:sz w:val="18"/>
          <w:szCs w:val="18"/>
          <w:b w:val="1"/>
          <w:bCs w:val="1"/>
          <w:color w:val="51555C"/>
        </w:rPr>
        <w:t>EXHIBIT 31.2</w:t>
      </w:r>
    </w:p>
    <w:p>
      <w:pPr>
        <w:jc w:val="center"/>
        <w:spacing w:after="0" w:line="235" w:lineRule="auto"/>
        <w:rPr>
          <w:sz w:val="20"/>
          <w:szCs w:val="20"/>
          <w:color w:val="auto"/>
        </w:rPr>
      </w:pPr>
      <w:r>
        <w:rPr>
          <w:rFonts w:ascii="Calibri" w:cs="Calibri" w:eastAsia="Calibri" w:hAnsi="Calibri"/>
          <w:sz w:val="18"/>
          <w:szCs w:val="18"/>
          <w:b w:val="1"/>
          <w:bCs w:val="1"/>
          <w:color w:val="51555C"/>
        </w:rPr>
        <w:t>Blackbaud, Inc.</w:t>
      </w:r>
    </w:p>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CERTIFICATION PURSUANT TO SECTION 302 OF THE SARBANES-OXLEY ACT OF 2002</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I, Anthony W. Boor, certfy that:</w:t>
      </w:r>
    </w:p>
    <w:p>
      <w:pPr>
        <w:spacing w:after="0" w:line="158" w:lineRule="exact"/>
        <w:rPr>
          <w:sz w:val="20"/>
          <w:szCs w:val="20"/>
          <w:color w:val="auto"/>
        </w:rPr>
      </w:pPr>
    </w:p>
    <w:p>
      <w:pPr>
        <w:ind w:left="640" w:hanging="308"/>
        <w:spacing w:after="0"/>
        <w:tabs>
          <w:tab w:leader="none" w:pos="640" w:val="left"/>
        </w:tabs>
        <w:numPr>
          <w:ilvl w:val="0"/>
          <w:numId w:val="40"/>
        </w:numPr>
        <w:rPr>
          <w:rFonts w:ascii="Calibri" w:cs="Calibri" w:eastAsia="Calibri" w:hAnsi="Calibri"/>
          <w:sz w:val="18"/>
          <w:szCs w:val="18"/>
          <w:color w:val="51555C"/>
        </w:rPr>
      </w:pPr>
      <w:r>
        <w:rPr>
          <w:rFonts w:ascii="Calibri" w:cs="Calibri" w:eastAsia="Calibri" w:hAnsi="Calibri"/>
          <w:sz w:val="18"/>
          <w:szCs w:val="18"/>
          <w:color w:val="51555C"/>
        </w:rPr>
        <w:t>I have reviewed this quarterly report on Form 10-Q of Blackbaud, Inc.;</w:t>
      </w:r>
    </w:p>
    <w:p>
      <w:pPr>
        <w:spacing w:after="0" w:line="163" w:lineRule="exact"/>
        <w:rPr>
          <w:rFonts w:ascii="Calibri" w:cs="Calibri" w:eastAsia="Calibri" w:hAnsi="Calibri"/>
          <w:sz w:val="18"/>
          <w:szCs w:val="18"/>
          <w:color w:val="51555C"/>
        </w:rPr>
      </w:pPr>
    </w:p>
    <w:p>
      <w:pPr>
        <w:jc w:val="both"/>
        <w:ind w:left="660" w:right="140" w:hanging="328"/>
        <w:spacing w:after="0" w:line="235" w:lineRule="auto"/>
        <w:tabs>
          <w:tab w:leader="none" w:pos="645" w:val="left"/>
        </w:tabs>
        <w:numPr>
          <w:ilvl w:val="0"/>
          <w:numId w:val="40"/>
        </w:numPr>
        <w:rPr>
          <w:rFonts w:ascii="Calibri" w:cs="Calibri" w:eastAsia="Calibri" w:hAnsi="Calibri"/>
          <w:sz w:val="18"/>
          <w:szCs w:val="18"/>
          <w:color w:val="51555C"/>
        </w:rPr>
      </w:pPr>
      <w:r>
        <w:rPr>
          <w:rFonts w:ascii="Calibri" w:cs="Calibri" w:eastAsia="Calibri" w:hAnsi="Calibri"/>
          <w:sz w:val="18"/>
          <w:szCs w:val="18"/>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alibri" w:cs="Calibri" w:eastAsia="Calibri" w:hAnsi="Calibri"/>
          <w:sz w:val="18"/>
          <w:szCs w:val="18"/>
          <w:color w:val="51555C"/>
        </w:rPr>
      </w:pPr>
    </w:p>
    <w:p>
      <w:pPr>
        <w:ind w:left="660" w:right="220" w:hanging="328"/>
        <w:spacing w:after="0" w:line="235" w:lineRule="auto"/>
        <w:tabs>
          <w:tab w:leader="none" w:pos="645" w:val="left"/>
        </w:tabs>
        <w:numPr>
          <w:ilvl w:val="0"/>
          <w:numId w:val="40"/>
        </w:numPr>
        <w:rPr>
          <w:rFonts w:ascii="Calibri" w:cs="Calibri" w:eastAsia="Calibri" w:hAnsi="Calibri"/>
          <w:sz w:val="18"/>
          <w:szCs w:val="18"/>
          <w:color w:val="51555C"/>
        </w:rPr>
      </w:pPr>
      <w:r>
        <w:rPr>
          <w:rFonts w:ascii="Calibri" w:cs="Calibri" w:eastAsia="Calibri" w:hAnsi="Calibri"/>
          <w:sz w:val="18"/>
          <w:szCs w:val="18"/>
          <w:color w:val="51555C"/>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63" w:lineRule="exact"/>
        <w:rPr>
          <w:rFonts w:ascii="Calibri" w:cs="Calibri" w:eastAsia="Calibri" w:hAnsi="Calibri"/>
          <w:sz w:val="18"/>
          <w:szCs w:val="18"/>
          <w:color w:val="51555C"/>
        </w:rPr>
      </w:pPr>
    </w:p>
    <w:p>
      <w:pPr>
        <w:ind w:left="660" w:right="80" w:hanging="328"/>
        <w:spacing w:after="0" w:line="235" w:lineRule="auto"/>
        <w:tabs>
          <w:tab w:leader="none" w:pos="645" w:val="left"/>
        </w:tabs>
        <w:numPr>
          <w:ilvl w:val="0"/>
          <w:numId w:val="40"/>
        </w:numPr>
        <w:rPr>
          <w:rFonts w:ascii="Calibri" w:cs="Calibri" w:eastAsia="Calibri" w:hAnsi="Calibri"/>
          <w:sz w:val="18"/>
          <w:szCs w:val="18"/>
          <w:color w:val="51555C"/>
        </w:rPr>
      </w:pPr>
      <w:r>
        <w:rPr>
          <w:rFonts w:ascii="Calibri" w:cs="Calibri" w:eastAsia="Calibri" w:hAnsi="Calibri"/>
          <w:sz w:val="18"/>
          <w:szCs w:val="18"/>
          <w:color w:val="51555C"/>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64" w:lineRule="exact"/>
        <w:rPr>
          <w:rFonts w:ascii="Calibri" w:cs="Calibri" w:eastAsia="Calibri" w:hAnsi="Calibri"/>
          <w:sz w:val="18"/>
          <w:szCs w:val="18"/>
          <w:color w:val="51555C"/>
        </w:rPr>
      </w:pPr>
    </w:p>
    <w:p>
      <w:pPr>
        <w:ind w:left="980" w:right="140" w:hanging="324"/>
        <w:spacing w:after="0" w:line="235" w:lineRule="auto"/>
        <w:tabs>
          <w:tab w:leader="none" w:pos="973" w:val="left"/>
        </w:tabs>
        <w:numPr>
          <w:ilvl w:val="1"/>
          <w:numId w:val="40"/>
        </w:numPr>
        <w:rPr>
          <w:rFonts w:ascii="Calibri" w:cs="Calibri" w:eastAsia="Calibri" w:hAnsi="Calibri"/>
          <w:sz w:val="18"/>
          <w:szCs w:val="18"/>
          <w:color w:val="51555C"/>
        </w:rPr>
      </w:pPr>
      <w:r>
        <w:rPr>
          <w:rFonts w:ascii="Calibri" w:cs="Calibri" w:eastAsia="Calibri" w:hAnsi="Calibri"/>
          <w:sz w:val="18"/>
          <w:szCs w:val="18"/>
          <w:color w:val="51555C"/>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64" w:lineRule="exact"/>
        <w:rPr>
          <w:rFonts w:ascii="Calibri" w:cs="Calibri" w:eastAsia="Calibri" w:hAnsi="Calibri"/>
          <w:sz w:val="18"/>
          <w:szCs w:val="18"/>
          <w:color w:val="51555C"/>
        </w:rPr>
      </w:pPr>
    </w:p>
    <w:p>
      <w:pPr>
        <w:ind w:left="980" w:right="460" w:hanging="324"/>
        <w:spacing w:after="0" w:line="235" w:lineRule="auto"/>
        <w:tabs>
          <w:tab w:leader="none" w:pos="968" w:val="left"/>
        </w:tabs>
        <w:numPr>
          <w:ilvl w:val="1"/>
          <w:numId w:val="40"/>
        </w:numPr>
        <w:rPr>
          <w:rFonts w:ascii="Calibri" w:cs="Calibri" w:eastAsia="Calibri" w:hAnsi="Calibri"/>
          <w:sz w:val="18"/>
          <w:szCs w:val="18"/>
          <w:color w:val="51555C"/>
        </w:rPr>
      </w:pPr>
      <w:r>
        <w:rPr>
          <w:rFonts w:ascii="Calibri" w:cs="Calibri" w:eastAsia="Calibri" w:hAnsi="Calibri"/>
          <w:sz w:val="18"/>
          <w:szCs w:val="18"/>
          <w:color w:val="51555C"/>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64" w:lineRule="exact"/>
        <w:rPr>
          <w:rFonts w:ascii="Calibri" w:cs="Calibri" w:eastAsia="Calibri" w:hAnsi="Calibri"/>
          <w:sz w:val="18"/>
          <w:szCs w:val="18"/>
          <w:color w:val="51555C"/>
        </w:rPr>
      </w:pPr>
    </w:p>
    <w:p>
      <w:pPr>
        <w:jc w:val="both"/>
        <w:ind w:left="980" w:right="560" w:hanging="324"/>
        <w:spacing w:after="0" w:line="258" w:lineRule="auto"/>
        <w:tabs>
          <w:tab w:leader="none" w:pos="977" w:val="left"/>
        </w:tabs>
        <w:numPr>
          <w:ilvl w:val="1"/>
          <w:numId w:val="40"/>
        </w:numPr>
        <w:rPr>
          <w:rFonts w:ascii="Calibri" w:cs="Calibri" w:eastAsia="Calibri" w:hAnsi="Calibri"/>
          <w:sz w:val="17"/>
          <w:szCs w:val="17"/>
          <w:color w:val="51555C"/>
        </w:rPr>
      </w:pPr>
      <w:r>
        <w:rPr>
          <w:rFonts w:ascii="Calibri" w:cs="Calibri" w:eastAsia="Calibri" w:hAnsi="Calibri"/>
          <w:sz w:val="17"/>
          <w:szCs w:val="17"/>
          <w:color w:val="51555C"/>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47" w:lineRule="exact"/>
        <w:rPr>
          <w:rFonts w:ascii="Calibri" w:cs="Calibri" w:eastAsia="Calibri" w:hAnsi="Calibri"/>
          <w:sz w:val="17"/>
          <w:szCs w:val="17"/>
          <w:color w:val="51555C"/>
        </w:rPr>
      </w:pPr>
    </w:p>
    <w:p>
      <w:pPr>
        <w:ind w:left="980" w:right="180" w:hanging="324"/>
        <w:spacing w:after="0" w:line="235" w:lineRule="auto"/>
        <w:tabs>
          <w:tab w:leader="none" w:pos="968" w:val="left"/>
        </w:tabs>
        <w:numPr>
          <w:ilvl w:val="1"/>
          <w:numId w:val="40"/>
        </w:numPr>
        <w:rPr>
          <w:rFonts w:ascii="Calibri" w:cs="Calibri" w:eastAsia="Calibri" w:hAnsi="Calibri"/>
          <w:sz w:val="18"/>
          <w:szCs w:val="18"/>
          <w:color w:val="51555C"/>
        </w:rPr>
      </w:pPr>
      <w:r>
        <w:rPr>
          <w:rFonts w:ascii="Calibri" w:cs="Calibri" w:eastAsia="Calibri" w:hAnsi="Calibri"/>
          <w:sz w:val="18"/>
          <w:szCs w:val="18"/>
          <w:color w:val="51555C"/>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64" w:lineRule="exact"/>
        <w:rPr>
          <w:rFonts w:ascii="Calibri" w:cs="Calibri" w:eastAsia="Calibri" w:hAnsi="Calibri"/>
          <w:sz w:val="18"/>
          <w:szCs w:val="18"/>
          <w:color w:val="51555C"/>
        </w:rPr>
      </w:pPr>
    </w:p>
    <w:p>
      <w:pPr>
        <w:ind w:left="660" w:right="160" w:hanging="328"/>
        <w:spacing w:after="0" w:line="235" w:lineRule="auto"/>
        <w:tabs>
          <w:tab w:leader="none" w:pos="645" w:val="left"/>
        </w:tabs>
        <w:numPr>
          <w:ilvl w:val="0"/>
          <w:numId w:val="40"/>
        </w:numPr>
        <w:rPr>
          <w:rFonts w:ascii="Calibri" w:cs="Calibri" w:eastAsia="Calibri" w:hAnsi="Calibri"/>
          <w:sz w:val="18"/>
          <w:szCs w:val="18"/>
          <w:color w:val="51555C"/>
        </w:rPr>
      </w:pPr>
      <w:r>
        <w:rPr>
          <w:rFonts w:ascii="Calibri" w:cs="Calibri" w:eastAsia="Calibri" w:hAnsi="Calibri"/>
          <w:sz w:val="18"/>
          <w:szCs w:val="18"/>
          <w:color w:val="51555C"/>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63" w:lineRule="exact"/>
        <w:rPr>
          <w:rFonts w:ascii="Calibri" w:cs="Calibri" w:eastAsia="Calibri" w:hAnsi="Calibri"/>
          <w:sz w:val="18"/>
          <w:szCs w:val="18"/>
          <w:color w:val="51555C"/>
        </w:rPr>
      </w:pPr>
    </w:p>
    <w:p>
      <w:pPr>
        <w:ind w:left="980" w:right="180" w:hanging="324"/>
        <w:spacing w:after="0" w:line="235" w:lineRule="auto"/>
        <w:tabs>
          <w:tab w:leader="none" w:pos="973" w:val="left"/>
        </w:tabs>
        <w:numPr>
          <w:ilvl w:val="1"/>
          <w:numId w:val="40"/>
        </w:numPr>
        <w:rPr>
          <w:rFonts w:ascii="Calibri" w:cs="Calibri" w:eastAsia="Calibri" w:hAnsi="Calibri"/>
          <w:sz w:val="18"/>
          <w:szCs w:val="18"/>
          <w:color w:val="51555C"/>
        </w:rPr>
      </w:pPr>
      <w:r>
        <w:rPr>
          <w:rFonts w:ascii="Calibri" w:cs="Calibri" w:eastAsia="Calibri" w:hAnsi="Calibri"/>
          <w:sz w:val="18"/>
          <w:szCs w:val="18"/>
          <w:color w:val="51555C"/>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63" w:lineRule="exact"/>
        <w:rPr>
          <w:rFonts w:ascii="Calibri" w:cs="Calibri" w:eastAsia="Calibri" w:hAnsi="Calibri"/>
          <w:sz w:val="18"/>
          <w:szCs w:val="18"/>
          <w:color w:val="51555C"/>
        </w:rPr>
      </w:pPr>
    </w:p>
    <w:p>
      <w:pPr>
        <w:ind w:left="980" w:right="40" w:hanging="324"/>
        <w:spacing w:after="0" w:line="235" w:lineRule="auto"/>
        <w:tabs>
          <w:tab w:leader="none" w:pos="968" w:val="left"/>
        </w:tabs>
        <w:numPr>
          <w:ilvl w:val="1"/>
          <w:numId w:val="40"/>
        </w:numPr>
        <w:rPr>
          <w:rFonts w:ascii="Calibri" w:cs="Calibri" w:eastAsia="Calibri" w:hAnsi="Calibri"/>
          <w:sz w:val="18"/>
          <w:szCs w:val="18"/>
          <w:color w:val="51555C"/>
        </w:rPr>
      </w:pPr>
      <w:r>
        <w:rPr>
          <w:rFonts w:ascii="Calibri" w:cs="Calibri" w:eastAsia="Calibri" w:hAnsi="Calibri"/>
          <w:sz w:val="18"/>
          <w:szCs w:val="18"/>
          <w:color w:val="51555C"/>
        </w:rPr>
        <w:t>any fraud, whether or not material, that involves management or other employees who have a signifcant role in the registrant’s internal control over fnancial reportng.</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240" w:type="dxa"/>
            <w:vAlign w:val="bottom"/>
          </w:tcPr>
          <w:p>
            <w:pPr>
              <w:spacing w:after="0"/>
              <w:rPr>
                <w:sz w:val="20"/>
                <w:szCs w:val="20"/>
                <w:color w:val="auto"/>
              </w:rPr>
            </w:pPr>
            <w:r>
              <w:rPr>
                <w:rFonts w:ascii="Calibri" w:cs="Calibri" w:eastAsia="Calibri" w:hAnsi="Calibri"/>
                <w:sz w:val="18"/>
                <w:szCs w:val="18"/>
                <w:color w:val="51555C"/>
              </w:rPr>
              <w:t>Date:   October 30, 2024</w:t>
            </w:r>
          </w:p>
        </w:tc>
        <w:tc>
          <w:tcPr>
            <w:tcW w:w="1840" w:type="dxa"/>
            <w:vAlign w:val="bottom"/>
          </w:tcPr>
          <w:p>
            <w:pPr>
              <w:ind w:left="1360"/>
              <w:spacing w:after="0"/>
              <w:rPr>
                <w:sz w:val="20"/>
                <w:szCs w:val="20"/>
                <w:color w:val="auto"/>
              </w:rPr>
            </w:pPr>
            <w:r>
              <w:rPr>
                <w:rFonts w:ascii="Calibri" w:cs="Calibri" w:eastAsia="Calibri" w:hAnsi="Calibri"/>
                <w:sz w:val="18"/>
                <w:szCs w:val="18"/>
                <w:color w:val="51555C"/>
              </w:rPr>
              <w:t>By:</w:t>
            </w:r>
          </w:p>
        </w:tc>
        <w:tc>
          <w:tcPr>
            <w:tcW w:w="6100" w:type="dxa"/>
            <w:vAlign w:val="bottom"/>
          </w:tcPr>
          <w:p>
            <w:pPr>
              <w:ind w:left="20"/>
              <w:spacing w:after="0"/>
              <w:rPr>
                <w:sz w:val="20"/>
                <w:szCs w:val="20"/>
                <w:color w:val="auto"/>
              </w:rPr>
            </w:pPr>
            <w:r>
              <w:rPr>
                <w:rFonts w:ascii="Calibri" w:cs="Calibri" w:eastAsia="Calibri" w:hAnsi="Calibri"/>
                <w:sz w:val="18"/>
                <w:szCs w:val="18"/>
                <w:color w:val="51555C"/>
              </w:rPr>
              <w:t>/s/ Anthony W. Boor</w:t>
            </w:r>
          </w:p>
        </w:tc>
      </w:tr>
      <w:tr>
        <w:trPr>
          <w:trHeight w:val="23"/>
        </w:trPr>
        <w:tc>
          <w:tcPr>
            <w:tcW w:w="3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r>
      <w:tr>
        <w:trPr>
          <w:trHeight w:val="208"/>
        </w:trPr>
        <w:tc>
          <w:tcPr>
            <w:tcW w:w="3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100" w:type="dxa"/>
            <w:vAlign w:val="bottom"/>
          </w:tcPr>
          <w:p>
            <w:pPr>
              <w:ind w:left="20"/>
              <w:spacing w:after="0" w:line="208" w:lineRule="exact"/>
              <w:rPr>
                <w:sz w:val="20"/>
                <w:szCs w:val="20"/>
                <w:color w:val="auto"/>
              </w:rPr>
            </w:pPr>
            <w:r>
              <w:rPr>
                <w:rFonts w:ascii="Calibri" w:cs="Calibri" w:eastAsia="Calibri" w:hAnsi="Calibri"/>
                <w:sz w:val="18"/>
                <w:szCs w:val="18"/>
                <w:color w:val="51555C"/>
              </w:rPr>
              <w:t>Anthony W. Boor</w:t>
            </w:r>
          </w:p>
        </w:tc>
      </w:tr>
      <w:tr>
        <w:trPr>
          <w:trHeight w:val="221"/>
        </w:trPr>
        <w:tc>
          <w:tcPr>
            <w:tcW w:w="3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Calibri" w:cs="Calibri" w:eastAsia="Calibri" w:hAnsi="Calibri"/>
                <w:sz w:val="18"/>
                <w:szCs w:val="18"/>
                <w:color w:val="51555C"/>
              </w:rPr>
              <w:t>Executve Vice President and Chief Financial Ofcer</w:t>
            </w:r>
          </w:p>
        </w:tc>
      </w:tr>
      <w:tr>
        <w:trPr>
          <w:trHeight w:val="229"/>
        </w:trPr>
        <w:tc>
          <w:tcPr>
            <w:tcW w:w="3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Calibri" w:cs="Calibri" w:eastAsia="Calibri" w:hAnsi="Calibri"/>
                <w:sz w:val="18"/>
                <w:szCs w:val="18"/>
                <w:color w:val="51555C"/>
              </w:rPr>
              <w:t>(Principal Financial and Accountng Ofcer)</w:t>
            </w:r>
          </w:p>
        </w:tc>
      </w:tr>
    </w:tbl>
    <w:p>
      <w:pPr>
        <w:sectPr>
          <w:pgSz w:w="11900" w:h="16838" w:orient="portrait"/>
          <w:cols w:equalWidth="0" w:num="1">
            <w:col w:w="11240"/>
          </w:cols>
          <w:pgMar w:left="320" w:top="882" w:right="339" w:bottom="1440" w:gutter="0" w:footer="0" w:header="0"/>
        </w:sectPr>
      </w:pPr>
    </w:p>
    <w:bookmarkStart w:id="59" w:name="page60"/>
    <w:bookmarkEnd w:id="59"/>
    <w:p>
      <w:pPr>
        <w:jc w:val="right"/>
        <w:spacing w:after="0"/>
        <w:rPr>
          <w:sz w:val="20"/>
          <w:szCs w:val="20"/>
          <w:color w:val="auto"/>
        </w:rPr>
      </w:pPr>
      <w:r>
        <w:rPr>
          <w:rFonts w:ascii="Calibri" w:cs="Calibri" w:eastAsia="Calibri" w:hAnsi="Calibri"/>
          <w:sz w:val="18"/>
          <w:szCs w:val="18"/>
          <w:b w:val="1"/>
          <w:bCs w:val="1"/>
          <w:color w:val="51555C"/>
        </w:rPr>
        <w:t>EXHIBIT 32.1</w:t>
      </w:r>
    </w:p>
    <w:p>
      <w:pPr>
        <w:jc w:val="center"/>
        <w:spacing w:after="0" w:line="235" w:lineRule="auto"/>
        <w:rPr>
          <w:sz w:val="20"/>
          <w:szCs w:val="20"/>
          <w:color w:val="auto"/>
        </w:rPr>
      </w:pPr>
      <w:r>
        <w:rPr>
          <w:rFonts w:ascii="Calibri" w:cs="Calibri" w:eastAsia="Calibri" w:hAnsi="Calibri"/>
          <w:sz w:val="18"/>
          <w:szCs w:val="18"/>
          <w:b w:val="1"/>
          <w:bCs w:val="1"/>
          <w:color w:val="51555C"/>
        </w:rPr>
        <w:t>Blackbaud, Inc.</w:t>
      </w:r>
    </w:p>
    <w:p>
      <w:pPr>
        <w:spacing w:after="0" w:line="159" w:lineRule="exact"/>
        <w:rPr>
          <w:sz w:val="20"/>
          <w:szCs w:val="20"/>
          <w:color w:val="auto"/>
        </w:rPr>
      </w:pPr>
    </w:p>
    <w:p>
      <w:pPr>
        <w:ind w:left="3160"/>
        <w:spacing w:after="0"/>
        <w:rPr>
          <w:sz w:val="20"/>
          <w:szCs w:val="20"/>
          <w:color w:val="auto"/>
        </w:rPr>
      </w:pPr>
      <w:r>
        <w:rPr>
          <w:rFonts w:ascii="Calibri" w:cs="Calibri" w:eastAsia="Calibri" w:hAnsi="Calibri"/>
          <w:sz w:val="18"/>
          <w:szCs w:val="18"/>
          <w:b w:val="1"/>
          <w:bCs w:val="1"/>
          <w:color w:val="51555C"/>
        </w:rPr>
        <w:t>CERTIFICATION PURSUANT TO 18 U.S.C. SECTION 1350, AS ADOPTED</w:t>
      </w:r>
    </w:p>
    <w:p>
      <w:pPr>
        <w:ind w:left="3200"/>
        <w:spacing w:after="0" w:line="235" w:lineRule="auto"/>
        <w:rPr>
          <w:sz w:val="20"/>
          <w:szCs w:val="20"/>
          <w:color w:val="auto"/>
        </w:rPr>
      </w:pPr>
      <w:r>
        <w:rPr>
          <w:rFonts w:ascii="Calibri" w:cs="Calibri" w:eastAsia="Calibri" w:hAnsi="Calibri"/>
          <w:sz w:val="18"/>
          <w:szCs w:val="18"/>
          <w:b w:val="1"/>
          <w:bCs w:val="1"/>
          <w:color w:val="51555C"/>
        </w:rPr>
        <w:t>PURSUANT TO SECTION 906 OF THE SARBANES-OXLEY ACT OF 2002</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connecton with the Quarterly Report on Form 10-Q of Blackbaud, Inc. (the “Company”) for the period ended September 30, 2024 as fled with the Securites and Exchange Commission on or about the date hereof (the “Report”), I, Michael P. Gianoni, Chief Executve Ofcer, President and Vice Chairman of the Board, hereby certfy, pursuant to 18 U.S.C. 1350, as adopted pursuant to Secton 906 of the Sarbanes-Oxley Act of 2002, that, to my knowledge:</w:t>
      </w:r>
    </w:p>
    <w:p>
      <w:pPr>
        <w:spacing w:after="0" w:line="160" w:lineRule="exact"/>
        <w:rPr>
          <w:sz w:val="20"/>
          <w:szCs w:val="20"/>
          <w:color w:val="auto"/>
        </w:rPr>
      </w:pPr>
    </w:p>
    <w:p>
      <w:pPr>
        <w:ind w:left="640" w:hanging="308"/>
        <w:spacing w:after="0"/>
        <w:tabs>
          <w:tab w:leader="none" w:pos="640" w:val="left"/>
        </w:tabs>
        <w:numPr>
          <w:ilvl w:val="0"/>
          <w:numId w:val="41"/>
        </w:numPr>
        <w:rPr>
          <w:rFonts w:ascii="Calibri" w:cs="Calibri" w:eastAsia="Calibri" w:hAnsi="Calibri"/>
          <w:sz w:val="18"/>
          <w:szCs w:val="18"/>
          <w:color w:val="51555C"/>
        </w:rPr>
      </w:pPr>
      <w:r>
        <w:rPr>
          <w:rFonts w:ascii="Calibri" w:cs="Calibri" w:eastAsia="Calibri" w:hAnsi="Calibri"/>
          <w:sz w:val="18"/>
          <w:szCs w:val="18"/>
          <w:color w:val="51555C"/>
        </w:rPr>
        <w:t>The Report fully complies with the requirements of Secton 13(a) or 15(d) of the Securites Exchange Act of 1934; and</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0"/>
          <w:numId w:val="41"/>
        </w:numPr>
        <w:rPr>
          <w:rFonts w:ascii="Calibri" w:cs="Calibri" w:eastAsia="Calibri" w:hAnsi="Calibri"/>
          <w:sz w:val="18"/>
          <w:szCs w:val="18"/>
          <w:color w:val="51555C"/>
        </w:rPr>
      </w:pPr>
      <w:r>
        <w:rPr>
          <w:rFonts w:ascii="Calibri" w:cs="Calibri" w:eastAsia="Calibri" w:hAnsi="Calibri"/>
          <w:sz w:val="18"/>
          <w:szCs w:val="18"/>
          <w:color w:val="51555C"/>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240" w:type="dxa"/>
            <w:vAlign w:val="bottom"/>
          </w:tcPr>
          <w:p>
            <w:pPr>
              <w:spacing w:after="0"/>
              <w:rPr>
                <w:sz w:val="20"/>
                <w:szCs w:val="20"/>
                <w:color w:val="auto"/>
              </w:rPr>
            </w:pPr>
            <w:r>
              <w:rPr>
                <w:rFonts w:ascii="Calibri" w:cs="Calibri" w:eastAsia="Calibri" w:hAnsi="Calibri"/>
                <w:sz w:val="18"/>
                <w:szCs w:val="18"/>
                <w:color w:val="51555C"/>
              </w:rPr>
              <w:t>Date:   October 30, 2024</w:t>
            </w:r>
          </w:p>
        </w:tc>
        <w:tc>
          <w:tcPr>
            <w:tcW w:w="1860" w:type="dxa"/>
            <w:vAlign w:val="bottom"/>
          </w:tcPr>
          <w:p>
            <w:pPr>
              <w:ind w:left="1360"/>
              <w:spacing w:after="0"/>
              <w:rPr>
                <w:sz w:val="20"/>
                <w:szCs w:val="20"/>
                <w:color w:val="auto"/>
              </w:rPr>
            </w:pPr>
            <w:r>
              <w:rPr>
                <w:rFonts w:ascii="Calibri" w:cs="Calibri" w:eastAsia="Calibri" w:hAnsi="Calibri"/>
                <w:sz w:val="18"/>
                <w:szCs w:val="18"/>
                <w:color w:val="51555C"/>
              </w:rPr>
              <w:t>By:</w:t>
            </w:r>
          </w:p>
        </w:tc>
        <w:tc>
          <w:tcPr>
            <w:tcW w:w="6100" w:type="dxa"/>
            <w:vAlign w:val="bottom"/>
          </w:tcPr>
          <w:p>
            <w:pPr>
              <w:spacing w:after="0"/>
              <w:rPr>
                <w:sz w:val="20"/>
                <w:szCs w:val="20"/>
                <w:color w:val="auto"/>
              </w:rPr>
            </w:pPr>
            <w:r>
              <w:rPr>
                <w:rFonts w:ascii="Calibri" w:cs="Calibri" w:eastAsia="Calibri" w:hAnsi="Calibri"/>
                <w:sz w:val="18"/>
                <w:szCs w:val="18"/>
                <w:color w:val="51555C"/>
              </w:rPr>
              <w:t>/s/ Michael P. Gianoni</w:t>
            </w:r>
          </w:p>
        </w:tc>
      </w:tr>
      <w:tr>
        <w:trPr>
          <w:trHeight w:val="23"/>
        </w:trPr>
        <w:tc>
          <w:tcPr>
            <w:tcW w:w="3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r>
      <w:tr>
        <w:trPr>
          <w:trHeight w:val="208"/>
        </w:trPr>
        <w:tc>
          <w:tcPr>
            <w:tcW w:w="3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100" w:type="dxa"/>
            <w:vAlign w:val="bottom"/>
          </w:tcPr>
          <w:p>
            <w:pPr>
              <w:spacing w:after="0" w:line="208" w:lineRule="exact"/>
              <w:rPr>
                <w:sz w:val="20"/>
                <w:szCs w:val="20"/>
                <w:color w:val="auto"/>
              </w:rPr>
            </w:pPr>
            <w:r>
              <w:rPr>
                <w:rFonts w:ascii="Calibri" w:cs="Calibri" w:eastAsia="Calibri" w:hAnsi="Calibri"/>
                <w:sz w:val="18"/>
                <w:szCs w:val="18"/>
                <w:color w:val="51555C"/>
              </w:rPr>
              <w:t>Michael P. Gianoni</w:t>
            </w:r>
          </w:p>
        </w:tc>
      </w:tr>
      <w:tr>
        <w:trPr>
          <w:trHeight w:val="221"/>
        </w:trPr>
        <w:tc>
          <w:tcPr>
            <w:tcW w:w="3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Calibri" w:cs="Calibri" w:eastAsia="Calibri" w:hAnsi="Calibri"/>
                <w:sz w:val="18"/>
                <w:szCs w:val="18"/>
                <w:color w:val="51555C"/>
              </w:rPr>
              <w:t>Chief Executve Ofcer, President and Vice Chairman of the Board</w:t>
            </w:r>
          </w:p>
        </w:tc>
      </w:tr>
      <w:tr>
        <w:trPr>
          <w:trHeight w:val="230"/>
        </w:trPr>
        <w:tc>
          <w:tcPr>
            <w:tcW w:w="3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Calibri" w:cs="Calibri" w:eastAsia="Calibri" w:hAnsi="Calibri"/>
                <w:sz w:val="18"/>
                <w:szCs w:val="18"/>
                <w:color w:val="51555C"/>
              </w:rPr>
              <w:t>(Principal Executve Ofcer)</w:t>
            </w:r>
          </w:p>
        </w:tc>
      </w:tr>
    </w:tbl>
    <w:p>
      <w:pPr>
        <w:sectPr>
          <w:pgSz w:w="11900" w:h="16838" w:orient="portrait"/>
          <w:cols w:equalWidth="0" w:num="1">
            <w:col w:w="11240"/>
          </w:cols>
          <w:pgMar w:left="320" w:top="882" w:right="339" w:bottom="1440" w:gutter="0" w:footer="0" w:header="0"/>
        </w:sectPr>
      </w:pPr>
    </w:p>
    <w:bookmarkStart w:id="60" w:name="page61"/>
    <w:bookmarkEnd w:id="60"/>
    <w:p>
      <w:pPr>
        <w:jc w:val="right"/>
        <w:spacing w:after="0"/>
        <w:rPr>
          <w:sz w:val="20"/>
          <w:szCs w:val="20"/>
          <w:color w:val="auto"/>
        </w:rPr>
      </w:pPr>
      <w:r>
        <w:rPr>
          <w:rFonts w:ascii="Calibri" w:cs="Calibri" w:eastAsia="Calibri" w:hAnsi="Calibri"/>
          <w:sz w:val="18"/>
          <w:szCs w:val="18"/>
          <w:b w:val="1"/>
          <w:bCs w:val="1"/>
          <w:color w:val="51555C"/>
        </w:rPr>
        <w:t>EXHIBIT 32.2</w:t>
      </w:r>
    </w:p>
    <w:p>
      <w:pPr>
        <w:jc w:val="center"/>
        <w:spacing w:after="0" w:line="235" w:lineRule="auto"/>
        <w:rPr>
          <w:sz w:val="20"/>
          <w:szCs w:val="20"/>
          <w:color w:val="auto"/>
        </w:rPr>
      </w:pPr>
      <w:r>
        <w:rPr>
          <w:rFonts w:ascii="Calibri" w:cs="Calibri" w:eastAsia="Calibri" w:hAnsi="Calibri"/>
          <w:sz w:val="18"/>
          <w:szCs w:val="18"/>
          <w:b w:val="1"/>
          <w:bCs w:val="1"/>
          <w:color w:val="51555C"/>
        </w:rPr>
        <w:t>Blackbaud, Inc.</w:t>
      </w:r>
    </w:p>
    <w:p>
      <w:pPr>
        <w:spacing w:after="0" w:line="159" w:lineRule="exact"/>
        <w:rPr>
          <w:sz w:val="20"/>
          <w:szCs w:val="20"/>
          <w:color w:val="auto"/>
        </w:rPr>
      </w:pPr>
    </w:p>
    <w:p>
      <w:pPr>
        <w:ind w:left="3160"/>
        <w:spacing w:after="0"/>
        <w:rPr>
          <w:sz w:val="20"/>
          <w:szCs w:val="20"/>
          <w:color w:val="auto"/>
        </w:rPr>
      </w:pPr>
      <w:r>
        <w:rPr>
          <w:rFonts w:ascii="Calibri" w:cs="Calibri" w:eastAsia="Calibri" w:hAnsi="Calibri"/>
          <w:sz w:val="18"/>
          <w:szCs w:val="18"/>
          <w:b w:val="1"/>
          <w:bCs w:val="1"/>
          <w:color w:val="51555C"/>
        </w:rPr>
        <w:t>CERTIFICATION PURSUANT TO 18 U.S.C. SECTION 1350, AS ADOPTED</w:t>
      </w:r>
    </w:p>
    <w:p>
      <w:pPr>
        <w:ind w:left="3200"/>
        <w:spacing w:after="0" w:line="235" w:lineRule="auto"/>
        <w:rPr>
          <w:sz w:val="20"/>
          <w:szCs w:val="20"/>
          <w:color w:val="auto"/>
        </w:rPr>
      </w:pPr>
      <w:r>
        <w:rPr>
          <w:rFonts w:ascii="Calibri" w:cs="Calibri" w:eastAsia="Calibri" w:hAnsi="Calibri"/>
          <w:sz w:val="18"/>
          <w:szCs w:val="18"/>
          <w:b w:val="1"/>
          <w:bCs w:val="1"/>
          <w:color w:val="51555C"/>
        </w:rPr>
        <w:t>PURSUANT TO SECTION 906 OF THE SARBANES-OXLEY ACT OF 2002</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connecton with the Quarterly Report on Form 10-Q of Blackbaud, Inc. (the “Company”) for the period ended September 30, 2024 as fled with the Securites and Exchange Commission on or about the date hereof (the “Report”), I, Anthony W. Boor, Executve Vice President and Chief Financial Ofcer, hereby certfy, pursuant to 18 U.S.C. 1350, as adopted pursuant to Secton 906 of the Sarbanes-Oxley Act of 2002, that, to my knowledge:</w:t>
      </w:r>
    </w:p>
    <w:p>
      <w:pPr>
        <w:spacing w:after="0" w:line="160" w:lineRule="exact"/>
        <w:rPr>
          <w:sz w:val="20"/>
          <w:szCs w:val="20"/>
          <w:color w:val="auto"/>
        </w:rPr>
      </w:pPr>
    </w:p>
    <w:p>
      <w:pPr>
        <w:ind w:left="640" w:hanging="308"/>
        <w:spacing w:after="0"/>
        <w:tabs>
          <w:tab w:leader="none" w:pos="640" w:val="left"/>
        </w:tabs>
        <w:numPr>
          <w:ilvl w:val="0"/>
          <w:numId w:val="42"/>
        </w:numPr>
        <w:rPr>
          <w:rFonts w:ascii="Calibri" w:cs="Calibri" w:eastAsia="Calibri" w:hAnsi="Calibri"/>
          <w:sz w:val="18"/>
          <w:szCs w:val="18"/>
          <w:color w:val="51555C"/>
        </w:rPr>
      </w:pPr>
      <w:r>
        <w:rPr>
          <w:rFonts w:ascii="Calibri" w:cs="Calibri" w:eastAsia="Calibri" w:hAnsi="Calibri"/>
          <w:sz w:val="18"/>
          <w:szCs w:val="18"/>
          <w:color w:val="51555C"/>
        </w:rPr>
        <w:t>The Report fully complies with the requirements of Secton 13(a) or 15(d) of the Securites Exchange Act of 1934; and</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0"/>
          <w:numId w:val="42"/>
        </w:numPr>
        <w:rPr>
          <w:rFonts w:ascii="Calibri" w:cs="Calibri" w:eastAsia="Calibri" w:hAnsi="Calibri"/>
          <w:sz w:val="18"/>
          <w:szCs w:val="18"/>
          <w:color w:val="51555C"/>
        </w:rPr>
      </w:pPr>
      <w:r>
        <w:rPr>
          <w:rFonts w:ascii="Calibri" w:cs="Calibri" w:eastAsia="Calibri" w:hAnsi="Calibri"/>
          <w:sz w:val="18"/>
          <w:szCs w:val="18"/>
          <w:color w:val="51555C"/>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240" w:type="dxa"/>
            <w:vAlign w:val="bottom"/>
          </w:tcPr>
          <w:p>
            <w:pPr>
              <w:spacing w:after="0"/>
              <w:rPr>
                <w:sz w:val="20"/>
                <w:szCs w:val="20"/>
                <w:color w:val="auto"/>
              </w:rPr>
            </w:pPr>
            <w:r>
              <w:rPr>
                <w:rFonts w:ascii="Calibri" w:cs="Calibri" w:eastAsia="Calibri" w:hAnsi="Calibri"/>
                <w:sz w:val="18"/>
                <w:szCs w:val="18"/>
                <w:color w:val="51555C"/>
              </w:rPr>
              <w:t>Date:   October 30, 2024</w:t>
            </w:r>
          </w:p>
        </w:tc>
        <w:tc>
          <w:tcPr>
            <w:tcW w:w="1860" w:type="dxa"/>
            <w:vAlign w:val="bottom"/>
          </w:tcPr>
          <w:p>
            <w:pPr>
              <w:ind w:left="1360"/>
              <w:spacing w:after="0"/>
              <w:rPr>
                <w:sz w:val="20"/>
                <w:szCs w:val="20"/>
                <w:color w:val="auto"/>
              </w:rPr>
            </w:pPr>
            <w:r>
              <w:rPr>
                <w:rFonts w:ascii="Calibri" w:cs="Calibri" w:eastAsia="Calibri" w:hAnsi="Calibri"/>
                <w:sz w:val="18"/>
                <w:szCs w:val="18"/>
                <w:color w:val="51555C"/>
              </w:rPr>
              <w:t>By:</w:t>
            </w:r>
          </w:p>
        </w:tc>
        <w:tc>
          <w:tcPr>
            <w:tcW w:w="6100" w:type="dxa"/>
            <w:vAlign w:val="bottom"/>
          </w:tcPr>
          <w:p>
            <w:pPr>
              <w:spacing w:after="0"/>
              <w:rPr>
                <w:sz w:val="20"/>
                <w:szCs w:val="20"/>
                <w:color w:val="auto"/>
              </w:rPr>
            </w:pPr>
            <w:r>
              <w:rPr>
                <w:rFonts w:ascii="Calibri" w:cs="Calibri" w:eastAsia="Calibri" w:hAnsi="Calibri"/>
                <w:sz w:val="18"/>
                <w:szCs w:val="18"/>
                <w:color w:val="51555C"/>
              </w:rPr>
              <w:t>/s/ Anthony W. Boor</w:t>
            </w:r>
          </w:p>
        </w:tc>
      </w:tr>
      <w:tr>
        <w:trPr>
          <w:trHeight w:val="23"/>
        </w:trPr>
        <w:tc>
          <w:tcPr>
            <w:tcW w:w="3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r>
      <w:tr>
        <w:trPr>
          <w:trHeight w:val="208"/>
        </w:trPr>
        <w:tc>
          <w:tcPr>
            <w:tcW w:w="3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100" w:type="dxa"/>
            <w:vAlign w:val="bottom"/>
          </w:tcPr>
          <w:p>
            <w:pPr>
              <w:spacing w:after="0" w:line="208" w:lineRule="exact"/>
              <w:rPr>
                <w:sz w:val="20"/>
                <w:szCs w:val="20"/>
                <w:color w:val="auto"/>
              </w:rPr>
            </w:pPr>
            <w:r>
              <w:rPr>
                <w:rFonts w:ascii="Calibri" w:cs="Calibri" w:eastAsia="Calibri" w:hAnsi="Calibri"/>
                <w:sz w:val="18"/>
                <w:szCs w:val="18"/>
                <w:color w:val="51555C"/>
              </w:rPr>
              <w:t>Anthony W. Boor</w:t>
            </w:r>
          </w:p>
        </w:tc>
      </w:tr>
      <w:tr>
        <w:trPr>
          <w:trHeight w:val="221"/>
        </w:trPr>
        <w:tc>
          <w:tcPr>
            <w:tcW w:w="3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Calibri" w:cs="Calibri" w:eastAsia="Calibri" w:hAnsi="Calibri"/>
                <w:sz w:val="18"/>
                <w:szCs w:val="18"/>
                <w:color w:val="51555C"/>
              </w:rPr>
              <w:t>Executve Vice President and Chief Financial Ofcer</w:t>
            </w:r>
          </w:p>
        </w:tc>
      </w:tr>
      <w:tr>
        <w:trPr>
          <w:trHeight w:val="230"/>
        </w:trPr>
        <w:tc>
          <w:tcPr>
            <w:tcW w:w="3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Calibri" w:cs="Calibri" w:eastAsia="Calibri" w:hAnsi="Calibri"/>
                <w:sz w:val="18"/>
                <w:szCs w:val="18"/>
                <w:color w:val="51555C"/>
              </w:rPr>
              <w:t>(Principal Financial and Accountng Ofcer)</w:t>
            </w:r>
          </w:p>
        </w:tc>
      </w:tr>
    </w:tbl>
    <w:p>
      <w:pPr>
        <w:spacing w:after="0" w:line="1" w:lineRule="exact"/>
        <w:rPr>
          <w:sz w:val="20"/>
          <w:szCs w:val="20"/>
          <w:color w:val="auto"/>
        </w:rPr>
      </w:pP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6"/>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lvl w:ilvl="1">
      <w:lvlJc w:val="left"/>
      <w:lvlText w:val="•"/>
      <w:numFmt w:val="bullet"/>
      <w:start w:val="1"/>
    </w:lvl>
  </w:abstractNum>
  <w:abstractNum w:abstractNumId="12">
    <w:nsid w:val="71F32454"/>
    <w:multiLevelType w:val="hybridMultilevel"/>
    <w:lvl w:ilvl="0">
      <w:lvlJc w:val="left"/>
      <w:lvlText w:val="-"/>
      <w:numFmt w:val="bullet"/>
      <w:start w:val="1"/>
    </w:lvl>
    <w:lvl w:ilvl="1">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lvl w:ilvl="1">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3"/>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04"/>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2024-10-30T15:56:35Z</dcterms:created>
  <dcterms:modified xsi:type="dcterms:W3CDTF">2024-10-30T15:56:35Z</dcterms:modified>
</cp:coreProperties>
</file>